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28E" w:rsidRDefault="00BA528E" w:rsidP="00BA528E">
      <w:pPr>
        <w:spacing w:line="480" w:lineRule="auto"/>
        <w:jc w:val="center"/>
        <w:rPr>
          <w:b/>
          <w:sz w:val="40"/>
          <w:szCs w:val="40"/>
        </w:rPr>
      </w:pPr>
      <w:r>
        <w:rPr>
          <w:noProof/>
          <w:lang w:eastAsia="en-GB"/>
        </w:rPr>
        <w:drawing>
          <wp:inline distT="0" distB="0" distL="0" distR="0" wp14:anchorId="70FACE82" wp14:editId="60D13E65">
            <wp:extent cx="2368550" cy="1193735"/>
            <wp:effectExtent l="19050" t="0" r="0" b="0"/>
            <wp:docPr id="8" name="Picture 1" descr="C:\Users\CRAPPY~1\AppData\Local\Temp\Rar$DI00.841\tuoslogo_key_cmyk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Y~1\AppData\Local\Temp\Rar$DI00.841\tuoslogo_key_cmyk_hi.jpg"/>
                    <pic:cNvPicPr>
                      <a:picLocks noChangeAspect="1" noChangeArrowheads="1"/>
                    </pic:cNvPicPr>
                  </pic:nvPicPr>
                  <pic:blipFill>
                    <a:blip r:embed="rId8" cstate="print"/>
                    <a:srcRect l="1977" t="4255" r="26137" b="5106"/>
                    <a:stretch>
                      <a:fillRect/>
                    </a:stretch>
                  </pic:blipFill>
                  <pic:spPr bwMode="auto">
                    <a:xfrm>
                      <a:off x="0" y="0"/>
                      <a:ext cx="2374118" cy="1196541"/>
                    </a:xfrm>
                    <a:prstGeom prst="rect">
                      <a:avLst/>
                    </a:prstGeom>
                    <a:noFill/>
                    <a:ln w="9525">
                      <a:noFill/>
                      <a:miter lim="800000"/>
                      <a:headEnd/>
                      <a:tailEnd/>
                    </a:ln>
                  </pic:spPr>
                </pic:pic>
              </a:graphicData>
            </a:graphic>
          </wp:inline>
        </w:drawing>
      </w:r>
    </w:p>
    <w:p w:rsidR="00BA528E" w:rsidRDefault="00BA528E" w:rsidP="00BA528E">
      <w:pPr>
        <w:spacing w:line="480" w:lineRule="auto"/>
        <w:jc w:val="center"/>
        <w:rPr>
          <w:b/>
          <w:sz w:val="40"/>
          <w:szCs w:val="40"/>
        </w:rPr>
      </w:pPr>
    </w:p>
    <w:p w:rsidR="00BA528E" w:rsidRPr="00CC2541" w:rsidRDefault="00BA528E" w:rsidP="00BA528E">
      <w:pPr>
        <w:jc w:val="center"/>
        <w:rPr>
          <w:b/>
          <w:sz w:val="48"/>
          <w:szCs w:val="48"/>
        </w:rPr>
      </w:pPr>
      <w:r w:rsidRPr="00CC2541">
        <w:rPr>
          <w:b/>
          <w:sz w:val="48"/>
          <w:szCs w:val="48"/>
        </w:rPr>
        <w:t xml:space="preserve">An Isothermal Titration Calorimetry Study: Complex </w:t>
      </w:r>
      <w:r>
        <w:rPr>
          <w:b/>
          <w:sz w:val="48"/>
          <w:szCs w:val="48"/>
        </w:rPr>
        <w:t>Binding Isotherms o</w:t>
      </w:r>
      <w:r w:rsidRPr="00CC2541">
        <w:rPr>
          <w:b/>
          <w:sz w:val="48"/>
          <w:szCs w:val="48"/>
        </w:rPr>
        <w:t xml:space="preserve">btained </w:t>
      </w:r>
      <w:r>
        <w:rPr>
          <w:b/>
          <w:sz w:val="48"/>
          <w:szCs w:val="48"/>
        </w:rPr>
        <w:t>from</w:t>
      </w:r>
      <w:r w:rsidRPr="00CC2541">
        <w:rPr>
          <w:b/>
          <w:sz w:val="48"/>
          <w:szCs w:val="48"/>
        </w:rPr>
        <w:t xml:space="preserve"> the Interaction between Phytate and Tannins with Proteins</w:t>
      </w:r>
    </w:p>
    <w:p w:rsidR="00BA528E" w:rsidRPr="00824AB8" w:rsidRDefault="00BA528E" w:rsidP="00BA528E">
      <w:pPr>
        <w:jc w:val="center"/>
        <w:rPr>
          <w:b/>
          <w:sz w:val="52"/>
          <w:szCs w:val="52"/>
        </w:rPr>
      </w:pPr>
    </w:p>
    <w:p w:rsidR="00BA528E" w:rsidRDefault="00BA528E" w:rsidP="00BA528E">
      <w:pPr>
        <w:pStyle w:val="NoSpacing"/>
        <w:spacing w:line="276" w:lineRule="auto"/>
        <w:jc w:val="center"/>
        <w:rPr>
          <w:b/>
          <w:sz w:val="40"/>
          <w:szCs w:val="40"/>
        </w:rPr>
      </w:pPr>
      <w:r w:rsidRPr="00824AB8">
        <w:rPr>
          <w:b/>
          <w:sz w:val="40"/>
          <w:szCs w:val="40"/>
        </w:rPr>
        <w:t>Samuel James Darby</w:t>
      </w:r>
    </w:p>
    <w:p w:rsidR="00BA528E" w:rsidRPr="00824AB8" w:rsidRDefault="00BA528E" w:rsidP="00BA528E">
      <w:pPr>
        <w:pStyle w:val="NoSpacing"/>
        <w:spacing w:line="276" w:lineRule="auto"/>
        <w:jc w:val="center"/>
        <w:rPr>
          <w:b/>
          <w:sz w:val="40"/>
          <w:szCs w:val="40"/>
        </w:rPr>
      </w:pPr>
    </w:p>
    <w:p w:rsidR="00BA528E" w:rsidRDefault="00BA528E" w:rsidP="00BA528E">
      <w:pPr>
        <w:pStyle w:val="NoSpacing"/>
        <w:spacing w:line="276" w:lineRule="auto"/>
        <w:jc w:val="center"/>
        <w:rPr>
          <w:sz w:val="40"/>
          <w:szCs w:val="40"/>
        </w:rPr>
      </w:pPr>
      <w:r w:rsidRPr="00824AB8">
        <w:rPr>
          <w:sz w:val="40"/>
          <w:szCs w:val="40"/>
        </w:rPr>
        <w:t xml:space="preserve">A Dissertation Submitted </w:t>
      </w:r>
      <w:r>
        <w:rPr>
          <w:sz w:val="40"/>
          <w:szCs w:val="40"/>
        </w:rPr>
        <w:t>for</w:t>
      </w:r>
      <w:r w:rsidRPr="00824AB8">
        <w:rPr>
          <w:sz w:val="40"/>
          <w:szCs w:val="40"/>
        </w:rPr>
        <w:t xml:space="preserve"> the Degree of Doctor of Philosophy</w:t>
      </w:r>
      <w:r>
        <w:rPr>
          <w:sz w:val="40"/>
          <w:szCs w:val="40"/>
        </w:rPr>
        <w:t xml:space="preserve"> </w:t>
      </w:r>
    </w:p>
    <w:p w:rsidR="00BA528E" w:rsidRPr="00824AB8" w:rsidRDefault="00BA528E" w:rsidP="00BA528E">
      <w:pPr>
        <w:pStyle w:val="NoSpacing"/>
        <w:spacing w:line="276" w:lineRule="auto"/>
        <w:jc w:val="center"/>
        <w:rPr>
          <w:sz w:val="40"/>
          <w:szCs w:val="40"/>
        </w:rPr>
      </w:pPr>
    </w:p>
    <w:p w:rsidR="00BA528E" w:rsidRPr="00CC2541" w:rsidRDefault="00BA528E" w:rsidP="00BA528E">
      <w:pPr>
        <w:pStyle w:val="NoSpacing"/>
        <w:spacing w:line="276" w:lineRule="auto"/>
        <w:jc w:val="center"/>
        <w:rPr>
          <w:sz w:val="36"/>
          <w:szCs w:val="36"/>
        </w:rPr>
      </w:pPr>
      <w:r w:rsidRPr="00CC2541">
        <w:rPr>
          <w:sz w:val="36"/>
          <w:szCs w:val="36"/>
        </w:rPr>
        <w:t>Department of Chemical and Biological Engineering</w:t>
      </w:r>
    </w:p>
    <w:p w:rsidR="00BA528E" w:rsidRPr="00CC2541" w:rsidRDefault="00BA528E" w:rsidP="00BA528E">
      <w:pPr>
        <w:pStyle w:val="NoSpacing"/>
        <w:spacing w:line="276" w:lineRule="auto"/>
        <w:jc w:val="center"/>
        <w:rPr>
          <w:sz w:val="36"/>
          <w:szCs w:val="36"/>
        </w:rPr>
      </w:pPr>
      <w:r w:rsidRPr="00CC2541">
        <w:rPr>
          <w:sz w:val="36"/>
          <w:szCs w:val="36"/>
        </w:rPr>
        <w:t>University of Sheffield</w:t>
      </w:r>
    </w:p>
    <w:p w:rsidR="00A500EE" w:rsidRDefault="00E07298" w:rsidP="00BA528E">
      <w:pPr>
        <w:pStyle w:val="NoSpacing"/>
        <w:spacing w:line="276" w:lineRule="auto"/>
        <w:jc w:val="center"/>
        <w:rPr>
          <w:sz w:val="36"/>
          <w:szCs w:val="36"/>
        </w:rPr>
        <w:sectPr w:rsidR="00A500EE" w:rsidSect="00A500EE">
          <w:footerReference w:type="default" r:id="rId9"/>
          <w:pgSz w:w="11906" w:h="16838"/>
          <w:pgMar w:top="1440" w:right="1440" w:bottom="1440" w:left="2268" w:header="709" w:footer="709" w:gutter="0"/>
          <w:pgNumType w:fmt="lowerRoman" w:start="1"/>
          <w:cols w:space="708"/>
          <w:titlePg/>
          <w:docGrid w:linePitch="360"/>
        </w:sectPr>
      </w:pPr>
      <w:r w:rsidRPr="00E07298">
        <w:rPr>
          <w:noProof/>
          <w:color w:val="FFFFFF" w:themeColor="background1"/>
          <w:sz w:val="36"/>
          <w:szCs w:val="36"/>
          <w:lang w:eastAsia="en-GB"/>
        </w:rPr>
        <w:pict>
          <v:rect id="_x0000_s1213" style="position:absolute;left:0;text-align:left;margin-left:212.4pt;margin-top:91.85pt;width:18.6pt;height:13.8pt;z-index:251865088" strokecolor="white [3212]"/>
        </w:pict>
      </w:r>
      <w:r w:rsidR="00BA528E" w:rsidRPr="00CC2541">
        <w:rPr>
          <w:sz w:val="36"/>
          <w:szCs w:val="36"/>
        </w:rPr>
        <w:t>February 2016</w:t>
      </w:r>
    </w:p>
    <w:p w:rsidR="00BA528E" w:rsidRPr="00CC2541" w:rsidRDefault="00BA528E" w:rsidP="00BA528E">
      <w:pPr>
        <w:pStyle w:val="NoSpacing"/>
        <w:spacing w:line="276" w:lineRule="auto"/>
        <w:jc w:val="center"/>
        <w:rPr>
          <w:sz w:val="36"/>
          <w:szCs w:val="36"/>
        </w:rPr>
      </w:pPr>
    </w:p>
    <w:p w:rsidR="00B018B8" w:rsidRPr="00B018B8" w:rsidRDefault="00B018B8" w:rsidP="00E81846">
      <w:pPr>
        <w:pStyle w:val="Heading1"/>
        <w:numPr>
          <w:ilvl w:val="0"/>
          <w:numId w:val="0"/>
        </w:numPr>
        <w:spacing w:line="480" w:lineRule="auto"/>
        <w:jc w:val="center"/>
        <w:rPr>
          <w:rFonts w:asciiTheme="minorHAnsi" w:hAnsiTheme="minorHAnsi" w:cstheme="minorBidi"/>
          <w:color w:val="auto"/>
          <w:sz w:val="22"/>
          <w:szCs w:val="22"/>
        </w:rPr>
      </w:pPr>
      <w:bookmarkStart w:id="0" w:name="_Toc459130646"/>
      <w:r>
        <w:t>Publications</w:t>
      </w:r>
      <w:bookmarkEnd w:id="0"/>
    </w:p>
    <w:p w:rsidR="00B018B8" w:rsidRPr="00BA528E" w:rsidRDefault="00B018B8" w:rsidP="00655BE2">
      <w:pPr>
        <w:spacing w:line="480" w:lineRule="auto"/>
        <w:jc w:val="center"/>
        <w:rPr>
          <w:rFonts w:cstheme="minorHAnsi"/>
          <w:color w:val="222222"/>
          <w:shd w:val="clear" w:color="auto" w:fill="FFFFFF"/>
        </w:rPr>
      </w:pPr>
      <w:r w:rsidRPr="00BA528E">
        <w:rPr>
          <w:rFonts w:cstheme="minorHAnsi"/>
          <w:color w:val="222222"/>
          <w:shd w:val="clear" w:color="auto" w:fill="FFFFFF"/>
        </w:rPr>
        <w:t xml:space="preserve">Kilmister, R.L., Faulkner, P., Downey, M.O., </w:t>
      </w:r>
      <w:r w:rsidRPr="00BA528E">
        <w:rPr>
          <w:rFonts w:cstheme="minorHAnsi"/>
          <w:b/>
          <w:color w:val="222222"/>
          <w:shd w:val="clear" w:color="auto" w:fill="FFFFFF"/>
        </w:rPr>
        <w:t>Darby, S.J.</w:t>
      </w:r>
      <w:r w:rsidRPr="00BA528E">
        <w:rPr>
          <w:rFonts w:cstheme="minorHAnsi"/>
          <w:color w:val="222222"/>
          <w:shd w:val="clear" w:color="auto" w:fill="FFFFFF"/>
        </w:rPr>
        <w:t xml:space="preserve"> and Falconer, R.J., 2016. The complexity of condensed tannin binding to bovine serum albumin–An isothermal titration calorimetry study.</w:t>
      </w:r>
      <w:r w:rsidRPr="00BA528E">
        <w:rPr>
          <w:rStyle w:val="apple-converted-space"/>
          <w:rFonts w:cstheme="minorHAnsi"/>
          <w:color w:val="222222"/>
          <w:shd w:val="clear" w:color="auto" w:fill="FFFFFF"/>
        </w:rPr>
        <w:t> </w:t>
      </w:r>
      <w:r w:rsidRPr="00BA528E">
        <w:rPr>
          <w:rFonts w:cstheme="minorHAnsi"/>
          <w:i/>
          <w:iCs/>
          <w:color w:val="222222"/>
          <w:shd w:val="clear" w:color="auto" w:fill="FFFFFF"/>
        </w:rPr>
        <w:t>Food chemistry</w:t>
      </w:r>
      <w:r w:rsidRPr="00BA528E">
        <w:rPr>
          <w:rFonts w:cstheme="minorHAnsi"/>
          <w:color w:val="222222"/>
          <w:shd w:val="clear" w:color="auto" w:fill="FFFFFF"/>
        </w:rPr>
        <w:t>,</w:t>
      </w:r>
      <w:r w:rsidRPr="00BA528E">
        <w:rPr>
          <w:rStyle w:val="apple-converted-space"/>
          <w:rFonts w:cstheme="minorHAnsi"/>
          <w:color w:val="222222"/>
          <w:shd w:val="clear" w:color="auto" w:fill="FFFFFF"/>
        </w:rPr>
        <w:t> </w:t>
      </w:r>
      <w:r w:rsidRPr="00BA528E">
        <w:rPr>
          <w:rFonts w:cstheme="minorHAnsi"/>
          <w:i/>
          <w:iCs/>
          <w:color w:val="222222"/>
          <w:shd w:val="clear" w:color="auto" w:fill="FFFFFF"/>
        </w:rPr>
        <w:t>190</w:t>
      </w:r>
      <w:r w:rsidRPr="00BA528E">
        <w:rPr>
          <w:rFonts w:cstheme="minorHAnsi"/>
          <w:color w:val="222222"/>
          <w:shd w:val="clear" w:color="auto" w:fill="FFFFFF"/>
        </w:rPr>
        <w:t>, pp.173-178.</w:t>
      </w:r>
    </w:p>
    <w:p w:rsidR="009C7E08" w:rsidRPr="00BA528E" w:rsidRDefault="003F1A6F" w:rsidP="003F1A6F">
      <w:pPr>
        <w:spacing w:line="480" w:lineRule="auto"/>
        <w:jc w:val="center"/>
        <w:rPr>
          <w:rFonts w:cstheme="minorHAnsi"/>
        </w:rPr>
      </w:pPr>
      <w:r w:rsidRPr="00BA528E">
        <w:rPr>
          <w:rFonts w:cstheme="minorHAnsi"/>
          <w:b/>
          <w:color w:val="222222"/>
          <w:shd w:val="clear" w:color="auto" w:fill="FFFFFF"/>
        </w:rPr>
        <w:t>Darby, S.J.,</w:t>
      </w:r>
      <w:r w:rsidRPr="00BA528E">
        <w:rPr>
          <w:rFonts w:cstheme="minorHAnsi"/>
          <w:color w:val="222222"/>
          <w:shd w:val="clear" w:color="auto" w:fill="FFFFFF"/>
        </w:rPr>
        <w:t xml:space="preserve"> Platts, L., Daniel, M.S., Cowieson, A.J. and Falconer, R.J., 2016. An isothermal titration calorimetry study of phytate binding to lysozyme.</w:t>
      </w:r>
      <w:r w:rsidRPr="00BA528E">
        <w:rPr>
          <w:rStyle w:val="apple-converted-space"/>
          <w:rFonts w:cstheme="minorHAnsi"/>
          <w:color w:val="222222"/>
          <w:shd w:val="clear" w:color="auto" w:fill="FFFFFF"/>
        </w:rPr>
        <w:t> </w:t>
      </w:r>
      <w:r w:rsidRPr="00BA528E">
        <w:rPr>
          <w:rFonts w:cstheme="minorHAnsi"/>
          <w:i/>
          <w:iCs/>
          <w:color w:val="222222"/>
          <w:shd w:val="clear" w:color="auto" w:fill="FFFFFF"/>
        </w:rPr>
        <w:t>Journal of Thermal Analysis and Calorimetry</w:t>
      </w:r>
      <w:r w:rsidRPr="00BA528E">
        <w:rPr>
          <w:rFonts w:cstheme="minorHAnsi"/>
          <w:color w:val="222222"/>
          <w:shd w:val="clear" w:color="auto" w:fill="FFFFFF"/>
        </w:rPr>
        <w:t>, pp.1-8.</w:t>
      </w: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9C7E08" w:rsidRDefault="009C7E08" w:rsidP="00FC2815">
      <w:pPr>
        <w:spacing w:line="480" w:lineRule="auto"/>
      </w:pPr>
    </w:p>
    <w:p w:rsidR="00E73B73" w:rsidRDefault="00E73B73" w:rsidP="008441C6">
      <w:pPr>
        <w:pStyle w:val="Heading1"/>
        <w:numPr>
          <w:ilvl w:val="0"/>
          <w:numId w:val="0"/>
        </w:numPr>
        <w:spacing w:line="480" w:lineRule="auto"/>
        <w:ind w:left="431" w:hanging="431"/>
        <w:jc w:val="center"/>
      </w:pPr>
      <w:bookmarkStart w:id="1" w:name="_Toc459130647"/>
      <w:r>
        <w:lastRenderedPageBreak/>
        <w:t>Acknowledgments</w:t>
      </w:r>
      <w:bookmarkEnd w:id="1"/>
    </w:p>
    <w:p w:rsidR="00E73B73" w:rsidRDefault="00E73B73" w:rsidP="00E73B73">
      <w:pPr>
        <w:spacing w:line="480" w:lineRule="auto"/>
      </w:pPr>
      <w:r>
        <w:t xml:space="preserve">I’d like to thank Dr Robert Falconer who always had his door open. I’d also like to thank Dr Jon Howse and Professor Catherine Biggs for their help. </w:t>
      </w:r>
    </w:p>
    <w:p w:rsidR="00E73B73" w:rsidRDefault="00E73B73" w:rsidP="00E73B73">
      <w:pPr>
        <w:spacing w:line="480" w:lineRule="auto"/>
      </w:pPr>
      <w:r>
        <w:t xml:space="preserve">I would also like to acknowledge the financial support provided by the EPSRC and to thank both the departments of chemical and biological engineering and molecular biology and biotechnology at the University of Sheffield. </w:t>
      </w:r>
    </w:p>
    <w:p w:rsidR="00E73B73" w:rsidRDefault="00E73B73" w:rsidP="00E73B73">
      <w:pPr>
        <w:spacing w:line="480" w:lineRule="auto"/>
      </w:pPr>
      <w:r>
        <w:t>I am grateful to Dr Jordan Bye and Lauren Platts for their valuable contributions to my work. I’d also like to thank Kimberly Anderson</w:t>
      </w:r>
      <w:r w:rsidR="003352F8">
        <w:t xml:space="preserve"> and Richard Archer</w:t>
      </w:r>
      <w:r>
        <w:t xml:space="preserve"> for </w:t>
      </w:r>
      <w:r w:rsidR="003352F8">
        <w:t>their</w:t>
      </w:r>
      <w:r>
        <w:t xml:space="preserve"> technical assistance. </w:t>
      </w:r>
      <w:r w:rsidR="002B7197">
        <w:t xml:space="preserve">I’d also like to thank my best friend Robyn for proofreading some of my literature review.  </w:t>
      </w:r>
    </w:p>
    <w:p w:rsidR="00E73B73" w:rsidRDefault="00E73B73" w:rsidP="00E73B73">
      <w:pPr>
        <w:spacing w:line="480" w:lineRule="auto"/>
      </w:pPr>
      <w:r>
        <w:t>Finally, a special thanks to all my friends in Sheffield</w:t>
      </w:r>
      <w:r w:rsidR="0050110E">
        <w:t xml:space="preserve"> that made this time what it is</w:t>
      </w:r>
      <w:r>
        <w:t xml:space="preserve">.     </w:t>
      </w:r>
    </w:p>
    <w:p w:rsidR="00E73B73" w:rsidRDefault="00E73B73" w:rsidP="00E73B73">
      <w:pPr>
        <w:spacing w:line="480" w:lineRule="auto"/>
      </w:pPr>
      <w:r>
        <w:t xml:space="preserve">I’d like to thank my Grandparents for their unwavering emotional support. </w:t>
      </w:r>
    </w:p>
    <w:p w:rsidR="009C7E08" w:rsidRDefault="009C7E08" w:rsidP="00FC2815">
      <w:pPr>
        <w:spacing w:line="480" w:lineRule="auto"/>
      </w:pPr>
    </w:p>
    <w:p w:rsidR="00E73B73" w:rsidRDefault="00E73B73" w:rsidP="00FC2815">
      <w:pPr>
        <w:spacing w:line="480" w:lineRule="auto"/>
      </w:pPr>
    </w:p>
    <w:p w:rsidR="00BA50F4" w:rsidRDefault="00BA50F4" w:rsidP="00FC2815">
      <w:pPr>
        <w:spacing w:line="480" w:lineRule="auto"/>
      </w:pPr>
    </w:p>
    <w:p w:rsidR="00E73B73" w:rsidRDefault="00E73B73" w:rsidP="00FC2815">
      <w:pPr>
        <w:spacing w:line="480" w:lineRule="auto"/>
      </w:pPr>
    </w:p>
    <w:p w:rsidR="00E73B73" w:rsidRDefault="00E73B73" w:rsidP="00FC2815">
      <w:pPr>
        <w:spacing w:line="480" w:lineRule="auto"/>
      </w:pPr>
    </w:p>
    <w:p w:rsidR="00E73B73" w:rsidRDefault="00E73B73" w:rsidP="00FC2815">
      <w:pPr>
        <w:spacing w:line="480" w:lineRule="auto"/>
      </w:pPr>
    </w:p>
    <w:p w:rsidR="00E73B73" w:rsidRDefault="00E73B73" w:rsidP="00FC2815">
      <w:pPr>
        <w:spacing w:line="480" w:lineRule="auto"/>
      </w:pPr>
    </w:p>
    <w:p w:rsidR="00E73B73" w:rsidRDefault="00E73B73" w:rsidP="00FC2815">
      <w:pPr>
        <w:spacing w:line="480" w:lineRule="auto"/>
      </w:pPr>
    </w:p>
    <w:p w:rsidR="004826F3" w:rsidRPr="004826F3" w:rsidRDefault="004826F3" w:rsidP="00655BE2">
      <w:pPr>
        <w:pStyle w:val="Heading1"/>
        <w:numPr>
          <w:ilvl w:val="0"/>
          <w:numId w:val="0"/>
        </w:numPr>
        <w:spacing w:line="480" w:lineRule="auto"/>
        <w:ind w:left="432" w:hanging="432"/>
      </w:pPr>
      <w:bookmarkStart w:id="2" w:name="_Toc459130648"/>
      <w:r w:rsidRPr="004826F3">
        <w:lastRenderedPageBreak/>
        <w:t>Summary</w:t>
      </w:r>
      <w:bookmarkEnd w:id="2"/>
    </w:p>
    <w:p w:rsidR="00366E0B" w:rsidRDefault="00366E0B" w:rsidP="00366E0B">
      <w:pPr>
        <w:spacing w:line="480" w:lineRule="auto"/>
        <w:jc w:val="both"/>
      </w:pPr>
      <w:r>
        <w:t>In a</w:t>
      </w:r>
      <w:r w:rsidR="00A55079">
        <w:t xml:space="preserve"> single</w:t>
      </w:r>
      <w:r>
        <w:t xml:space="preserve"> </w:t>
      </w:r>
      <w:r w:rsidR="00A55079">
        <w:t>Isothermal Titration Calorimetry (ITC) experiment</w:t>
      </w:r>
      <w:r>
        <w:t>, the Gibbs free energy (∆</w:t>
      </w:r>
      <w:r w:rsidRPr="00F619CC">
        <w:rPr>
          <w:i/>
        </w:rPr>
        <w:t>G</w:t>
      </w:r>
      <w:r>
        <w:t>), the enthalpy (∆</w:t>
      </w:r>
      <w:r w:rsidRPr="00F619CC">
        <w:rPr>
          <w:i/>
        </w:rPr>
        <w:t>H</w:t>
      </w:r>
      <w:r>
        <w:t>), entropy (∆</w:t>
      </w:r>
      <w:r w:rsidRPr="00F619CC">
        <w:rPr>
          <w:i/>
        </w:rPr>
        <w:t>S</w:t>
      </w:r>
      <w:r>
        <w:t>), specific heat capacity (</w:t>
      </w:r>
      <w:r w:rsidRPr="00A4683A">
        <w:rPr>
          <w:bCs/>
          <w:iCs/>
        </w:rPr>
        <w:t>Δ</w:t>
      </w:r>
      <w:r w:rsidRPr="00420A14">
        <w:rPr>
          <w:bCs/>
          <w:i/>
          <w:iCs/>
        </w:rPr>
        <w:t>C</w:t>
      </w:r>
      <w:r w:rsidRPr="00420A14">
        <w:rPr>
          <w:bCs/>
          <w:i/>
          <w:iCs/>
          <w:vertAlign w:val="subscript"/>
        </w:rPr>
        <w:t>p</w:t>
      </w:r>
      <w:r>
        <w:rPr>
          <w:bCs/>
          <w:iCs/>
        </w:rPr>
        <w:t>) and stoichiometry of binding (</w:t>
      </w:r>
      <w:r w:rsidRPr="0050110E">
        <w:rPr>
          <w:bCs/>
          <w:i/>
          <w:iCs/>
        </w:rPr>
        <w:t>n</w:t>
      </w:r>
      <w:r>
        <w:rPr>
          <w:bCs/>
          <w:iCs/>
        </w:rPr>
        <w:t>)</w:t>
      </w:r>
      <w:r>
        <w:t xml:space="preserve"> can be identified. Non-sigmoidal binding isotherms are particularly difficult to interpret, yet these are routinely found in </w:t>
      </w:r>
      <w:r w:rsidR="00A55079">
        <w:t>ITC studies</w:t>
      </w:r>
      <w:r>
        <w:t xml:space="preserve">. </w:t>
      </w:r>
    </w:p>
    <w:p w:rsidR="00366E0B" w:rsidRDefault="00366E0B" w:rsidP="00366E0B">
      <w:pPr>
        <w:spacing w:line="480" w:lineRule="auto"/>
        <w:jc w:val="both"/>
      </w:pPr>
      <w:r>
        <w:rPr>
          <w:rFonts w:cs="Arial"/>
          <w:bCs/>
          <w:color w:val="000000" w:themeColor="text1"/>
          <w:shd w:val="clear" w:color="auto" w:fill="FFFFFF"/>
        </w:rPr>
        <w:t>ITC binding studies at 25</w:t>
      </w:r>
      <w:r w:rsidR="006F2757">
        <w:rPr>
          <w:rFonts w:cs="Arial"/>
          <w:bCs/>
          <w:color w:val="000000" w:themeColor="text1"/>
          <w:shd w:val="clear" w:color="auto" w:fill="FFFFFF"/>
        </w:rPr>
        <w:t xml:space="preserve"> </w:t>
      </w:r>
      <w:r>
        <w:rPr>
          <w:rFonts w:cs="Arial"/>
          <w:bCs/>
          <w:color w:val="000000" w:themeColor="text1"/>
          <w:shd w:val="clear" w:color="auto" w:fill="FFFFFF"/>
        </w:rPr>
        <w:t xml:space="preserve">°C between tannins and </w:t>
      </w:r>
      <w:r w:rsidR="00DF5E54">
        <w:rPr>
          <w:rFonts w:cs="Arial"/>
          <w:bCs/>
          <w:color w:val="000000" w:themeColor="text1"/>
          <w:shd w:val="clear" w:color="auto" w:fill="FFFFFF"/>
        </w:rPr>
        <w:t xml:space="preserve">bovine serum albumin </w:t>
      </w:r>
      <w:r>
        <w:rPr>
          <w:rFonts w:cs="Arial"/>
          <w:bCs/>
          <w:color w:val="000000" w:themeColor="text1"/>
          <w:shd w:val="clear" w:color="auto" w:fill="FFFFFF"/>
        </w:rPr>
        <w:t>(BSA) produced biphasic binding isotherms that were suggested to be indicators of positive cooperative binding. However, reducing the temperature to 10</w:t>
      </w:r>
      <w:r w:rsidR="006F2757">
        <w:rPr>
          <w:rFonts w:cs="Arial"/>
          <w:bCs/>
          <w:color w:val="000000" w:themeColor="text1"/>
          <w:shd w:val="clear" w:color="auto" w:fill="FFFFFF"/>
        </w:rPr>
        <w:t xml:space="preserve"> </w:t>
      </w:r>
      <w:r>
        <w:rPr>
          <w:rFonts w:cs="Arial"/>
          <w:bCs/>
          <w:color w:val="000000" w:themeColor="text1"/>
          <w:shd w:val="clear" w:color="auto" w:fill="FFFFFF"/>
        </w:rPr>
        <w:t xml:space="preserve">°C produced monophasic binding isotherms, which raised questions regarding the validity of these binding isotherms being classified as positively cooperative binding. The biphasic binding isotherm had two separate temperature dependences, with the initial stage producing a positive </w:t>
      </w:r>
      <w:r w:rsidRPr="00A4683A">
        <w:rPr>
          <w:bCs/>
          <w:iCs/>
        </w:rPr>
        <w:t>Δ</w:t>
      </w:r>
      <w:r w:rsidRPr="00420A14">
        <w:rPr>
          <w:bCs/>
          <w:i/>
          <w:iCs/>
        </w:rPr>
        <w:t>C</w:t>
      </w:r>
      <w:r w:rsidRPr="00420A14">
        <w:rPr>
          <w:bCs/>
          <w:i/>
          <w:iCs/>
          <w:vertAlign w:val="subscript"/>
        </w:rPr>
        <w:t>p</w:t>
      </w:r>
      <w:r>
        <w:rPr>
          <w:bCs/>
          <w:i/>
          <w:iCs/>
          <w:vertAlign w:val="subscript"/>
        </w:rPr>
        <w:t xml:space="preserve"> </w:t>
      </w:r>
      <w:r>
        <w:rPr>
          <w:bCs/>
          <w:iCs/>
        </w:rPr>
        <w:t xml:space="preserve">and the second stage a negative one. Subsequently, this binding isotherm was suggested to essentially be a composite of two </w:t>
      </w:r>
      <w:r w:rsidR="000D518B">
        <w:rPr>
          <w:bCs/>
          <w:iCs/>
        </w:rPr>
        <w:t>crosslinking</w:t>
      </w:r>
      <w:r>
        <w:rPr>
          <w:bCs/>
          <w:iCs/>
        </w:rPr>
        <w:t xml:space="preserve"> events. </w:t>
      </w:r>
    </w:p>
    <w:p w:rsidR="00366E0B" w:rsidRDefault="00366E0B" w:rsidP="00366E0B">
      <w:pPr>
        <w:spacing w:line="480" w:lineRule="auto"/>
        <w:jc w:val="both"/>
      </w:pPr>
      <w:r>
        <w:t xml:space="preserve">This idea of two different crosslinking events rather than positive cooperativity was supported by an ITC study on a </w:t>
      </w:r>
      <w:r w:rsidR="00A55079">
        <w:t xml:space="preserve">phytate-lysozyme interaction.  </w:t>
      </w:r>
      <w:r>
        <w:t xml:space="preserve">The ITC study showed that </w:t>
      </w:r>
      <w:r w:rsidRPr="00625984">
        <w:rPr>
          <w:i/>
        </w:rPr>
        <w:t>n</w:t>
      </w:r>
      <w:r>
        <w:t xml:space="preserve"> became lower with decreasing temperature suggesting a crosslinking process </w:t>
      </w:r>
      <w:r w:rsidR="00A55079">
        <w:t>became more extensive.</w:t>
      </w:r>
      <w:r>
        <w:t xml:space="preserve"> </w:t>
      </w:r>
      <w:r w:rsidR="00A55079">
        <w:t xml:space="preserve">Consequently, phytate may be less able to impair protein bioavailability at lower temperatures. </w:t>
      </w:r>
    </w:p>
    <w:p w:rsidR="004F0E25" w:rsidRPr="004F0E25" w:rsidRDefault="004F0E25" w:rsidP="00366E0B">
      <w:pPr>
        <w:spacing w:line="480" w:lineRule="auto"/>
        <w:jc w:val="both"/>
        <w:rPr>
          <w:rFonts w:cs="Arial"/>
          <w:bCs/>
          <w:color w:val="000000" w:themeColor="text1"/>
          <w:shd w:val="clear" w:color="auto" w:fill="FFFFFF"/>
        </w:rPr>
      </w:pPr>
      <w:r w:rsidRPr="00BC0E5F">
        <w:rPr>
          <w:rFonts w:cs="Arial"/>
          <w:bCs/>
          <w:color w:val="000000" w:themeColor="text1"/>
          <w:shd w:val="clear" w:color="auto" w:fill="FFFFFF"/>
        </w:rPr>
        <w:t xml:space="preserve">Continuous </w:t>
      </w:r>
      <w:r w:rsidR="00A47192" w:rsidRPr="00BC0E5F">
        <w:rPr>
          <w:rFonts w:cs="Arial"/>
          <w:bCs/>
          <w:color w:val="000000" w:themeColor="text1"/>
          <w:shd w:val="clear" w:color="auto" w:fill="FFFFFF"/>
        </w:rPr>
        <w:t xml:space="preserve">Isothermal Titration Calorimetry </w:t>
      </w:r>
      <w:r w:rsidRPr="00BC0E5F">
        <w:rPr>
          <w:rFonts w:cs="Arial"/>
          <w:bCs/>
          <w:color w:val="000000" w:themeColor="text1"/>
          <w:shd w:val="clear" w:color="auto" w:fill="FFFFFF"/>
        </w:rPr>
        <w:t>(cITC) is a technique based on a continuous slow injection of titrant.</w:t>
      </w:r>
      <w:r>
        <w:rPr>
          <w:rFonts w:cs="Arial"/>
          <w:bCs/>
          <w:color w:val="000000" w:themeColor="text1"/>
          <w:shd w:val="clear" w:color="auto" w:fill="FFFFFF"/>
        </w:rPr>
        <w:t xml:space="preserve"> The cITC binding isotherms</w:t>
      </w:r>
      <w:r w:rsidR="00A55079">
        <w:rPr>
          <w:rFonts w:cs="Arial"/>
          <w:bCs/>
          <w:color w:val="000000" w:themeColor="text1"/>
          <w:shd w:val="clear" w:color="auto" w:fill="FFFFFF"/>
        </w:rPr>
        <w:t xml:space="preserve"> obtained from the lysozyme-phytate interaction</w:t>
      </w:r>
      <w:r>
        <w:rPr>
          <w:rFonts w:cs="Arial"/>
          <w:bCs/>
          <w:color w:val="000000" w:themeColor="text1"/>
          <w:shd w:val="clear" w:color="auto" w:fill="FFFFFF"/>
        </w:rPr>
        <w:t xml:space="preserve"> indicated that positive binding cooperativity was not occurring. </w:t>
      </w:r>
    </w:p>
    <w:p w:rsidR="00366E0B" w:rsidRDefault="00366E0B" w:rsidP="00366E0B">
      <w:pPr>
        <w:spacing w:line="480" w:lineRule="auto"/>
        <w:jc w:val="both"/>
      </w:pPr>
      <w:r>
        <w:t xml:space="preserve">To determine how phytate can be transported around the blood, an ITC study was performed using phytate and BSA in phosphate buffered saline pH 7.4. No binding was detected meaning that BSA does not transport phytate around the blood. However, in 10 </w:t>
      </w:r>
      <w:r>
        <w:lastRenderedPageBreak/>
        <w:t xml:space="preserve">mM ammonium acetate at pH 4 binding between BSA and phytate occurred. Conclusively, this reinforces earlier work that binding assays should be done in physiological conditions otherwise findings could be spurious.  </w:t>
      </w:r>
    </w:p>
    <w:p w:rsidR="00050649" w:rsidRDefault="00050649"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p w:rsidR="00655BE2" w:rsidRDefault="00655BE2" w:rsidP="00050649">
      <w:pPr>
        <w:spacing w:line="480" w:lineRule="auto"/>
        <w:rPr>
          <w:b/>
        </w:rPr>
      </w:pPr>
    </w:p>
    <w:bookmarkStart w:id="3" w:name="_Toc459130649" w:displacedByCustomXml="next"/>
    <w:sdt>
      <w:sdtPr>
        <w:rPr>
          <w:rFonts w:asciiTheme="minorHAnsi" w:eastAsiaTheme="minorHAnsi" w:hAnsiTheme="minorHAnsi" w:cstheme="minorBidi"/>
          <w:b w:val="0"/>
          <w:bCs w:val="0"/>
          <w:color w:val="auto"/>
          <w:sz w:val="22"/>
          <w:szCs w:val="22"/>
        </w:rPr>
        <w:id w:val="22838628"/>
        <w:docPartObj>
          <w:docPartGallery w:val="Table of Contents"/>
          <w:docPartUnique/>
        </w:docPartObj>
      </w:sdtPr>
      <w:sdtContent>
        <w:p w:rsidR="0083333F" w:rsidRDefault="0083333F" w:rsidP="0052714F">
          <w:pPr>
            <w:pStyle w:val="Heading1"/>
            <w:numPr>
              <w:ilvl w:val="0"/>
              <w:numId w:val="0"/>
            </w:numPr>
            <w:tabs>
              <w:tab w:val="left" w:pos="2700"/>
            </w:tabs>
          </w:pPr>
          <w:r>
            <w:t>Contents</w:t>
          </w:r>
          <w:bookmarkEnd w:id="3"/>
          <w:r w:rsidR="0052714F">
            <w:tab/>
          </w:r>
        </w:p>
        <w:p w:rsidR="00610E48" w:rsidRDefault="0075172E">
          <w:pPr>
            <w:pStyle w:val="TOC1"/>
            <w:rPr>
              <w:rFonts w:eastAsiaTheme="minorEastAsia"/>
              <w:noProof/>
              <w:lang w:eastAsia="en-GB"/>
            </w:rPr>
          </w:pPr>
          <w:r>
            <w:fldChar w:fldCharType="begin"/>
          </w:r>
          <w:r w:rsidR="0083333F">
            <w:instrText xml:space="preserve"> TOC \o "1-3" \h \z \u </w:instrText>
          </w:r>
          <w:r>
            <w:fldChar w:fldCharType="separate"/>
          </w:r>
          <w:hyperlink w:anchor="_Toc459130646" w:history="1">
            <w:r w:rsidR="00610E48" w:rsidRPr="00E82DAD">
              <w:rPr>
                <w:rStyle w:val="Hyperlink"/>
                <w:noProof/>
              </w:rPr>
              <w:t>Publications</w:t>
            </w:r>
            <w:r w:rsidR="00610E48">
              <w:rPr>
                <w:noProof/>
                <w:webHidden/>
              </w:rPr>
              <w:tab/>
            </w:r>
            <w:r w:rsidR="00610E48">
              <w:rPr>
                <w:noProof/>
                <w:webHidden/>
              </w:rPr>
              <w:fldChar w:fldCharType="begin"/>
            </w:r>
            <w:r w:rsidR="00610E48">
              <w:rPr>
                <w:noProof/>
                <w:webHidden/>
              </w:rPr>
              <w:instrText xml:space="preserve"> PAGEREF _Toc459130646 \h </w:instrText>
            </w:r>
            <w:r w:rsidR="00610E48">
              <w:rPr>
                <w:noProof/>
                <w:webHidden/>
              </w:rPr>
            </w:r>
            <w:r w:rsidR="00610E48">
              <w:rPr>
                <w:noProof/>
                <w:webHidden/>
              </w:rPr>
              <w:fldChar w:fldCharType="separate"/>
            </w:r>
            <w:r w:rsidR="00610E48">
              <w:rPr>
                <w:noProof/>
                <w:webHidden/>
              </w:rPr>
              <w:t>i</w:t>
            </w:r>
            <w:r w:rsidR="00610E48">
              <w:rPr>
                <w:noProof/>
                <w:webHidden/>
              </w:rPr>
              <w:fldChar w:fldCharType="end"/>
            </w:r>
          </w:hyperlink>
        </w:p>
        <w:p w:rsidR="00610E48" w:rsidRDefault="00610E48">
          <w:pPr>
            <w:pStyle w:val="TOC1"/>
            <w:rPr>
              <w:rFonts w:eastAsiaTheme="minorEastAsia"/>
              <w:noProof/>
              <w:lang w:eastAsia="en-GB"/>
            </w:rPr>
          </w:pPr>
          <w:hyperlink w:anchor="_Toc459130647" w:history="1">
            <w:r w:rsidRPr="00E82DAD">
              <w:rPr>
                <w:rStyle w:val="Hyperlink"/>
                <w:noProof/>
              </w:rPr>
              <w:t>Acknowledgments</w:t>
            </w:r>
            <w:r>
              <w:rPr>
                <w:noProof/>
                <w:webHidden/>
              </w:rPr>
              <w:tab/>
            </w:r>
            <w:r>
              <w:rPr>
                <w:noProof/>
                <w:webHidden/>
              </w:rPr>
              <w:fldChar w:fldCharType="begin"/>
            </w:r>
            <w:r>
              <w:rPr>
                <w:noProof/>
                <w:webHidden/>
              </w:rPr>
              <w:instrText xml:space="preserve"> PAGEREF _Toc459130647 \h </w:instrText>
            </w:r>
            <w:r>
              <w:rPr>
                <w:noProof/>
                <w:webHidden/>
              </w:rPr>
            </w:r>
            <w:r>
              <w:rPr>
                <w:noProof/>
                <w:webHidden/>
              </w:rPr>
              <w:fldChar w:fldCharType="separate"/>
            </w:r>
            <w:r>
              <w:rPr>
                <w:noProof/>
                <w:webHidden/>
              </w:rPr>
              <w:t>ii</w:t>
            </w:r>
            <w:r>
              <w:rPr>
                <w:noProof/>
                <w:webHidden/>
              </w:rPr>
              <w:fldChar w:fldCharType="end"/>
            </w:r>
          </w:hyperlink>
        </w:p>
        <w:p w:rsidR="00610E48" w:rsidRDefault="00610E48">
          <w:pPr>
            <w:pStyle w:val="TOC1"/>
            <w:rPr>
              <w:rFonts w:eastAsiaTheme="minorEastAsia"/>
              <w:noProof/>
              <w:lang w:eastAsia="en-GB"/>
            </w:rPr>
          </w:pPr>
          <w:hyperlink w:anchor="_Toc459130648" w:history="1">
            <w:r w:rsidRPr="00E82DAD">
              <w:rPr>
                <w:rStyle w:val="Hyperlink"/>
                <w:noProof/>
              </w:rPr>
              <w:t>Summary</w:t>
            </w:r>
            <w:r>
              <w:rPr>
                <w:noProof/>
                <w:webHidden/>
              </w:rPr>
              <w:tab/>
            </w:r>
            <w:r>
              <w:rPr>
                <w:noProof/>
                <w:webHidden/>
              </w:rPr>
              <w:fldChar w:fldCharType="begin"/>
            </w:r>
            <w:r>
              <w:rPr>
                <w:noProof/>
                <w:webHidden/>
              </w:rPr>
              <w:instrText xml:space="preserve"> PAGEREF _Toc459130648 \h </w:instrText>
            </w:r>
            <w:r>
              <w:rPr>
                <w:noProof/>
                <w:webHidden/>
              </w:rPr>
            </w:r>
            <w:r>
              <w:rPr>
                <w:noProof/>
                <w:webHidden/>
              </w:rPr>
              <w:fldChar w:fldCharType="separate"/>
            </w:r>
            <w:r>
              <w:rPr>
                <w:noProof/>
                <w:webHidden/>
              </w:rPr>
              <w:t>iii</w:t>
            </w:r>
            <w:r>
              <w:rPr>
                <w:noProof/>
                <w:webHidden/>
              </w:rPr>
              <w:fldChar w:fldCharType="end"/>
            </w:r>
          </w:hyperlink>
        </w:p>
        <w:p w:rsidR="00610E48" w:rsidRDefault="00610E48">
          <w:pPr>
            <w:pStyle w:val="TOC1"/>
            <w:rPr>
              <w:rFonts w:eastAsiaTheme="minorEastAsia"/>
              <w:noProof/>
              <w:lang w:eastAsia="en-GB"/>
            </w:rPr>
          </w:pPr>
          <w:hyperlink w:anchor="_Toc459130649" w:history="1">
            <w:r w:rsidRPr="00E82DAD">
              <w:rPr>
                <w:rStyle w:val="Hyperlink"/>
                <w:noProof/>
              </w:rPr>
              <w:t>Contents</w:t>
            </w:r>
            <w:r>
              <w:rPr>
                <w:noProof/>
                <w:webHidden/>
              </w:rPr>
              <w:tab/>
            </w:r>
            <w:r>
              <w:rPr>
                <w:noProof/>
                <w:webHidden/>
              </w:rPr>
              <w:fldChar w:fldCharType="begin"/>
            </w:r>
            <w:r>
              <w:rPr>
                <w:noProof/>
                <w:webHidden/>
              </w:rPr>
              <w:instrText xml:space="preserve"> PAGEREF _Toc459130649 \h </w:instrText>
            </w:r>
            <w:r>
              <w:rPr>
                <w:noProof/>
                <w:webHidden/>
              </w:rPr>
            </w:r>
            <w:r>
              <w:rPr>
                <w:noProof/>
                <w:webHidden/>
              </w:rPr>
              <w:fldChar w:fldCharType="separate"/>
            </w:r>
            <w:r>
              <w:rPr>
                <w:noProof/>
                <w:webHidden/>
              </w:rPr>
              <w:t>v</w:t>
            </w:r>
            <w:r>
              <w:rPr>
                <w:noProof/>
                <w:webHidden/>
              </w:rPr>
              <w:fldChar w:fldCharType="end"/>
            </w:r>
          </w:hyperlink>
        </w:p>
        <w:p w:rsidR="00610E48" w:rsidRDefault="00610E48">
          <w:pPr>
            <w:pStyle w:val="TOC1"/>
            <w:tabs>
              <w:tab w:val="left" w:pos="440"/>
            </w:tabs>
            <w:rPr>
              <w:rFonts w:eastAsiaTheme="minorEastAsia"/>
              <w:noProof/>
              <w:lang w:eastAsia="en-GB"/>
            </w:rPr>
          </w:pPr>
          <w:hyperlink w:anchor="_Toc459130650" w:history="1">
            <w:r w:rsidRPr="00E82DAD">
              <w:rPr>
                <w:rStyle w:val="Hyperlink"/>
                <w:noProof/>
              </w:rPr>
              <w:t>1</w:t>
            </w:r>
            <w:r>
              <w:rPr>
                <w:rFonts w:eastAsiaTheme="minorEastAsia"/>
                <w:noProof/>
                <w:lang w:eastAsia="en-GB"/>
              </w:rPr>
              <w:tab/>
            </w:r>
            <w:r w:rsidRPr="00E82DAD">
              <w:rPr>
                <w:rStyle w:val="Hyperlink"/>
                <w:noProof/>
              </w:rPr>
              <w:t>Chapter 1: A Literature Review: A View of Binding Interactions from Water</w:t>
            </w:r>
            <w:r>
              <w:rPr>
                <w:noProof/>
                <w:webHidden/>
              </w:rPr>
              <w:tab/>
            </w:r>
            <w:r>
              <w:rPr>
                <w:noProof/>
                <w:webHidden/>
              </w:rPr>
              <w:fldChar w:fldCharType="begin"/>
            </w:r>
            <w:r>
              <w:rPr>
                <w:noProof/>
                <w:webHidden/>
              </w:rPr>
              <w:instrText xml:space="preserve"> PAGEREF _Toc459130650 \h </w:instrText>
            </w:r>
            <w:r>
              <w:rPr>
                <w:noProof/>
                <w:webHidden/>
              </w:rPr>
            </w:r>
            <w:r>
              <w:rPr>
                <w:noProof/>
                <w:webHidden/>
              </w:rPr>
              <w:fldChar w:fldCharType="separate"/>
            </w:r>
            <w:r>
              <w:rPr>
                <w:noProof/>
                <w:webHidden/>
              </w:rPr>
              <w:t>1</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51" w:history="1">
            <w:r w:rsidRPr="00E82DAD">
              <w:rPr>
                <w:rStyle w:val="Hyperlink"/>
                <w:rFonts w:ascii="Times New Roman" w:hAnsi="Times New Roman" w:cs="Times New Roman"/>
                <w:noProof/>
                <w:snapToGrid w:val="0"/>
                <w:w w:val="0"/>
              </w:rPr>
              <w:t>1.1</w:t>
            </w:r>
            <w:r>
              <w:rPr>
                <w:noProof/>
                <w:lang w:val="en-GB" w:eastAsia="en-GB"/>
              </w:rPr>
              <w:tab/>
            </w:r>
            <w:r w:rsidRPr="00E82DAD">
              <w:rPr>
                <w:rStyle w:val="Hyperlink"/>
                <w:noProof/>
              </w:rPr>
              <w:t>Literature Review Summary</w:t>
            </w:r>
            <w:r>
              <w:rPr>
                <w:noProof/>
                <w:webHidden/>
              </w:rPr>
              <w:tab/>
            </w:r>
            <w:r>
              <w:rPr>
                <w:noProof/>
                <w:webHidden/>
              </w:rPr>
              <w:fldChar w:fldCharType="begin"/>
            </w:r>
            <w:r>
              <w:rPr>
                <w:noProof/>
                <w:webHidden/>
              </w:rPr>
              <w:instrText xml:space="preserve"> PAGEREF _Toc459130651 \h </w:instrText>
            </w:r>
            <w:r>
              <w:rPr>
                <w:noProof/>
                <w:webHidden/>
              </w:rPr>
            </w:r>
            <w:r>
              <w:rPr>
                <w:noProof/>
                <w:webHidden/>
              </w:rPr>
              <w:fldChar w:fldCharType="separate"/>
            </w:r>
            <w:r>
              <w:rPr>
                <w:noProof/>
                <w:webHidden/>
              </w:rPr>
              <w:t>2</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52" w:history="1">
            <w:r w:rsidRPr="00E82DAD">
              <w:rPr>
                <w:rStyle w:val="Hyperlink"/>
                <w:rFonts w:ascii="Times New Roman" w:hAnsi="Times New Roman" w:cs="Times New Roman"/>
                <w:noProof/>
                <w:snapToGrid w:val="0"/>
                <w:w w:val="0"/>
              </w:rPr>
              <w:t>1.2</w:t>
            </w:r>
            <w:r>
              <w:rPr>
                <w:noProof/>
                <w:lang w:val="en-GB" w:eastAsia="en-GB"/>
              </w:rPr>
              <w:tab/>
            </w:r>
            <w:r w:rsidRPr="00E82DAD">
              <w:rPr>
                <w:rStyle w:val="Hyperlink"/>
                <w:noProof/>
              </w:rPr>
              <w:t>Introduction to Concepts Associated with Free Energy Changes</w:t>
            </w:r>
            <w:r>
              <w:rPr>
                <w:noProof/>
                <w:webHidden/>
              </w:rPr>
              <w:tab/>
            </w:r>
            <w:r>
              <w:rPr>
                <w:noProof/>
                <w:webHidden/>
              </w:rPr>
              <w:fldChar w:fldCharType="begin"/>
            </w:r>
            <w:r>
              <w:rPr>
                <w:noProof/>
                <w:webHidden/>
              </w:rPr>
              <w:instrText xml:space="preserve"> PAGEREF _Toc459130652 \h </w:instrText>
            </w:r>
            <w:r>
              <w:rPr>
                <w:noProof/>
                <w:webHidden/>
              </w:rPr>
            </w:r>
            <w:r>
              <w:rPr>
                <w:noProof/>
                <w:webHidden/>
              </w:rPr>
              <w:fldChar w:fldCharType="separate"/>
            </w:r>
            <w:r>
              <w:rPr>
                <w:noProof/>
                <w:webHidden/>
              </w:rPr>
              <w:t>3</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53" w:history="1">
            <w:r w:rsidRPr="00E82DAD">
              <w:rPr>
                <w:rStyle w:val="Hyperlink"/>
                <w:rFonts w:ascii="Times New Roman" w:hAnsi="Times New Roman" w:cs="Times New Roman"/>
                <w:noProof/>
                <w:snapToGrid w:val="0"/>
                <w:w w:val="0"/>
              </w:rPr>
              <w:t>1.3</w:t>
            </w:r>
            <w:r>
              <w:rPr>
                <w:noProof/>
                <w:lang w:val="en-GB" w:eastAsia="en-GB"/>
              </w:rPr>
              <w:tab/>
            </w:r>
            <w:r w:rsidRPr="00E82DAD">
              <w:rPr>
                <w:rStyle w:val="Hyperlink"/>
                <w:noProof/>
              </w:rPr>
              <w:t>Thermodynamics and Drug Design</w:t>
            </w:r>
            <w:r>
              <w:rPr>
                <w:noProof/>
                <w:webHidden/>
              </w:rPr>
              <w:tab/>
            </w:r>
            <w:r>
              <w:rPr>
                <w:noProof/>
                <w:webHidden/>
              </w:rPr>
              <w:fldChar w:fldCharType="begin"/>
            </w:r>
            <w:r>
              <w:rPr>
                <w:noProof/>
                <w:webHidden/>
              </w:rPr>
              <w:instrText xml:space="preserve"> PAGEREF _Toc459130653 \h </w:instrText>
            </w:r>
            <w:r>
              <w:rPr>
                <w:noProof/>
                <w:webHidden/>
              </w:rPr>
            </w:r>
            <w:r>
              <w:rPr>
                <w:noProof/>
                <w:webHidden/>
              </w:rPr>
              <w:fldChar w:fldCharType="separate"/>
            </w:r>
            <w:r>
              <w:rPr>
                <w:noProof/>
                <w:webHidden/>
              </w:rPr>
              <w:t>6</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54" w:history="1">
            <w:r w:rsidRPr="00E82DAD">
              <w:rPr>
                <w:rStyle w:val="Hyperlink"/>
                <w:rFonts w:ascii="Times New Roman" w:hAnsi="Times New Roman" w:cs="Times New Roman"/>
                <w:noProof/>
                <w:snapToGrid w:val="0"/>
                <w:w w:val="0"/>
              </w:rPr>
              <w:t>1.4</w:t>
            </w:r>
            <w:r>
              <w:rPr>
                <w:noProof/>
                <w:lang w:val="en-GB" w:eastAsia="en-GB"/>
              </w:rPr>
              <w:tab/>
            </w:r>
            <w:r w:rsidRPr="00E82DAD">
              <w:rPr>
                <w:rStyle w:val="Hyperlink"/>
                <w:noProof/>
              </w:rPr>
              <w:t>The Thermodynamics of Water-Organic Molecule Interactions</w:t>
            </w:r>
            <w:r>
              <w:rPr>
                <w:noProof/>
                <w:webHidden/>
              </w:rPr>
              <w:tab/>
            </w:r>
            <w:r>
              <w:rPr>
                <w:noProof/>
                <w:webHidden/>
              </w:rPr>
              <w:fldChar w:fldCharType="begin"/>
            </w:r>
            <w:r>
              <w:rPr>
                <w:noProof/>
                <w:webHidden/>
              </w:rPr>
              <w:instrText xml:space="preserve"> PAGEREF _Toc459130654 \h </w:instrText>
            </w:r>
            <w:r>
              <w:rPr>
                <w:noProof/>
                <w:webHidden/>
              </w:rPr>
            </w:r>
            <w:r>
              <w:rPr>
                <w:noProof/>
                <w:webHidden/>
              </w:rPr>
              <w:fldChar w:fldCharType="separate"/>
            </w:r>
            <w:r>
              <w:rPr>
                <w:noProof/>
                <w:webHidden/>
              </w:rPr>
              <w:t>8</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55" w:history="1">
            <w:r w:rsidRPr="00E82DAD">
              <w:rPr>
                <w:rStyle w:val="Hyperlink"/>
                <w:rFonts w:ascii="Times New Roman" w:hAnsi="Times New Roman" w:cs="Times New Roman"/>
                <w:noProof/>
                <w:snapToGrid w:val="0"/>
                <w:w w:val="0"/>
              </w:rPr>
              <w:t>1.5</w:t>
            </w:r>
            <w:r>
              <w:rPr>
                <w:noProof/>
                <w:lang w:val="en-GB" w:eastAsia="en-GB"/>
              </w:rPr>
              <w:tab/>
            </w:r>
            <w:r w:rsidRPr="00E82DAD">
              <w:rPr>
                <w:rStyle w:val="Hyperlink"/>
                <w:noProof/>
              </w:rPr>
              <w:t>The Role of Water in Binding Affinity</w:t>
            </w:r>
            <w:r>
              <w:rPr>
                <w:noProof/>
                <w:webHidden/>
              </w:rPr>
              <w:tab/>
            </w:r>
            <w:r>
              <w:rPr>
                <w:noProof/>
                <w:webHidden/>
              </w:rPr>
              <w:fldChar w:fldCharType="begin"/>
            </w:r>
            <w:r>
              <w:rPr>
                <w:noProof/>
                <w:webHidden/>
              </w:rPr>
              <w:instrText xml:space="preserve"> PAGEREF _Toc459130655 \h </w:instrText>
            </w:r>
            <w:r>
              <w:rPr>
                <w:noProof/>
                <w:webHidden/>
              </w:rPr>
            </w:r>
            <w:r>
              <w:rPr>
                <w:noProof/>
                <w:webHidden/>
              </w:rPr>
              <w:fldChar w:fldCharType="separate"/>
            </w:r>
            <w:r>
              <w:rPr>
                <w:noProof/>
                <w:webHidden/>
              </w:rPr>
              <w:t>10</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56" w:history="1">
            <w:r w:rsidRPr="00E82DAD">
              <w:rPr>
                <w:rStyle w:val="Hyperlink"/>
                <w:noProof/>
              </w:rPr>
              <w:t>1.5.1</w:t>
            </w:r>
            <w:r>
              <w:rPr>
                <w:rFonts w:eastAsiaTheme="minorEastAsia"/>
                <w:noProof/>
                <w:lang w:eastAsia="en-GB"/>
              </w:rPr>
              <w:tab/>
            </w:r>
            <w:r w:rsidRPr="00E82DAD">
              <w:rPr>
                <w:rStyle w:val="Hyperlink"/>
                <w:noProof/>
              </w:rPr>
              <w:t>Entropy Enthalpy Compensation Phenomena and Water</w:t>
            </w:r>
            <w:r>
              <w:rPr>
                <w:noProof/>
                <w:webHidden/>
              </w:rPr>
              <w:tab/>
            </w:r>
            <w:r>
              <w:rPr>
                <w:noProof/>
                <w:webHidden/>
              </w:rPr>
              <w:fldChar w:fldCharType="begin"/>
            </w:r>
            <w:r>
              <w:rPr>
                <w:noProof/>
                <w:webHidden/>
              </w:rPr>
              <w:instrText xml:space="preserve"> PAGEREF _Toc459130656 \h </w:instrText>
            </w:r>
            <w:r>
              <w:rPr>
                <w:noProof/>
                <w:webHidden/>
              </w:rPr>
            </w:r>
            <w:r>
              <w:rPr>
                <w:noProof/>
                <w:webHidden/>
              </w:rPr>
              <w:fldChar w:fldCharType="separate"/>
            </w:r>
            <w:r>
              <w:rPr>
                <w:noProof/>
                <w:webHidden/>
              </w:rPr>
              <w:t>24</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57" w:history="1">
            <w:r w:rsidRPr="00E82DAD">
              <w:rPr>
                <w:rStyle w:val="Hyperlink"/>
                <w:rFonts w:ascii="Times New Roman" w:hAnsi="Times New Roman" w:cs="Times New Roman"/>
                <w:noProof/>
                <w:snapToGrid w:val="0"/>
                <w:w w:val="0"/>
              </w:rPr>
              <w:t>1.6</w:t>
            </w:r>
            <w:r>
              <w:rPr>
                <w:noProof/>
                <w:lang w:val="en-GB" w:eastAsia="en-GB"/>
              </w:rPr>
              <w:tab/>
            </w:r>
            <w:r w:rsidRPr="00E82DAD">
              <w:rPr>
                <w:rStyle w:val="Hyperlink"/>
                <w:noProof/>
              </w:rPr>
              <w:t>Techniques used to study Water around Proteins</w:t>
            </w:r>
            <w:r>
              <w:rPr>
                <w:noProof/>
                <w:webHidden/>
              </w:rPr>
              <w:tab/>
            </w:r>
            <w:r>
              <w:rPr>
                <w:noProof/>
                <w:webHidden/>
              </w:rPr>
              <w:fldChar w:fldCharType="begin"/>
            </w:r>
            <w:r>
              <w:rPr>
                <w:noProof/>
                <w:webHidden/>
              </w:rPr>
              <w:instrText xml:space="preserve"> PAGEREF _Toc459130657 \h </w:instrText>
            </w:r>
            <w:r>
              <w:rPr>
                <w:noProof/>
                <w:webHidden/>
              </w:rPr>
            </w:r>
            <w:r>
              <w:rPr>
                <w:noProof/>
                <w:webHidden/>
              </w:rPr>
              <w:fldChar w:fldCharType="separate"/>
            </w:r>
            <w:r>
              <w:rPr>
                <w:noProof/>
                <w:webHidden/>
              </w:rPr>
              <w:t>26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58" w:history="1">
            <w:r w:rsidRPr="00E82DAD">
              <w:rPr>
                <w:rStyle w:val="Hyperlink"/>
                <w:noProof/>
              </w:rPr>
              <w:t>1.6.1</w:t>
            </w:r>
            <w:r>
              <w:rPr>
                <w:rFonts w:eastAsiaTheme="minorEastAsia"/>
                <w:noProof/>
                <w:lang w:eastAsia="en-GB"/>
              </w:rPr>
              <w:tab/>
            </w:r>
            <w:r w:rsidRPr="00E82DAD">
              <w:rPr>
                <w:rStyle w:val="Hyperlink"/>
                <w:noProof/>
              </w:rPr>
              <w:t>Cryogenic Crystallography</w:t>
            </w:r>
            <w:r>
              <w:rPr>
                <w:noProof/>
                <w:webHidden/>
              </w:rPr>
              <w:tab/>
            </w:r>
            <w:r>
              <w:rPr>
                <w:noProof/>
                <w:webHidden/>
              </w:rPr>
              <w:fldChar w:fldCharType="begin"/>
            </w:r>
            <w:r>
              <w:rPr>
                <w:noProof/>
                <w:webHidden/>
              </w:rPr>
              <w:instrText xml:space="preserve"> PAGEREF _Toc459130658 \h </w:instrText>
            </w:r>
            <w:r>
              <w:rPr>
                <w:noProof/>
                <w:webHidden/>
              </w:rPr>
            </w:r>
            <w:r>
              <w:rPr>
                <w:noProof/>
                <w:webHidden/>
              </w:rPr>
              <w:fldChar w:fldCharType="separate"/>
            </w:r>
            <w:r>
              <w:rPr>
                <w:noProof/>
                <w:webHidden/>
              </w:rPr>
              <w:t>26</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59" w:history="1">
            <w:r w:rsidRPr="00E82DAD">
              <w:rPr>
                <w:rStyle w:val="Hyperlink"/>
                <w:rFonts w:ascii="Times New Roman" w:hAnsi="Times New Roman" w:cs="Times New Roman"/>
                <w:noProof/>
                <w:snapToGrid w:val="0"/>
                <w:w w:val="0"/>
              </w:rPr>
              <w:t>1.7</w:t>
            </w:r>
            <w:r>
              <w:rPr>
                <w:noProof/>
                <w:lang w:val="en-GB" w:eastAsia="en-GB"/>
              </w:rPr>
              <w:tab/>
            </w:r>
            <w:r w:rsidRPr="00E82DAD">
              <w:rPr>
                <w:rStyle w:val="Hyperlink"/>
                <w:noProof/>
              </w:rPr>
              <w:t>Terahertz  Spectroscopy</w:t>
            </w:r>
            <w:r>
              <w:rPr>
                <w:noProof/>
                <w:webHidden/>
              </w:rPr>
              <w:tab/>
            </w:r>
            <w:r>
              <w:rPr>
                <w:noProof/>
                <w:webHidden/>
              </w:rPr>
              <w:fldChar w:fldCharType="begin"/>
            </w:r>
            <w:r>
              <w:rPr>
                <w:noProof/>
                <w:webHidden/>
              </w:rPr>
              <w:instrText xml:space="preserve"> PAGEREF _Toc459130659 \h </w:instrText>
            </w:r>
            <w:r>
              <w:rPr>
                <w:noProof/>
                <w:webHidden/>
              </w:rPr>
            </w:r>
            <w:r>
              <w:rPr>
                <w:noProof/>
                <w:webHidden/>
              </w:rPr>
              <w:fldChar w:fldCharType="separate"/>
            </w:r>
            <w:r>
              <w:rPr>
                <w:noProof/>
                <w:webHidden/>
              </w:rPr>
              <w:t>27</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60" w:history="1">
            <w:r w:rsidRPr="00E82DAD">
              <w:rPr>
                <w:rStyle w:val="Hyperlink"/>
                <w:rFonts w:ascii="Times New Roman" w:hAnsi="Times New Roman" w:cs="Times New Roman"/>
                <w:noProof/>
                <w:snapToGrid w:val="0"/>
                <w:w w:val="0"/>
              </w:rPr>
              <w:t>1.8</w:t>
            </w:r>
            <w:r>
              <w:rPr>
                <w:noProof/>
                <w:lang w:val="en-GB" w:eastAsia="en-GB"/>
              </w:rPr>
              <w:tab/>
            </w:r>
            <w:r w:rsidRPr="00E82DAD">
              <w:rPr>
                <w:rStyle w:val="Hyperlink"/>
                <w:noProof/>
              </w:rPr>
              <w:t>Dielectric Spectroscopy</w:t>
            </w:r>
            <w:r>
              <w:rPr>
                <w:noProof/>
                <w:webHidden/>
              </w:rPr>
              <w:tab/>
            </w:r>
            <w:r>
              <w:rPr>
                <w:noProof/>
                <w:webHidden/>
              </w:rPr>
              <w:fldChar w:fldCharType="begin"/>
            </w:r>
            <w:r>
              <w:rPr>
                <w:noProof/>
                <w:webHidden/>
              </w:rPr>
              <w:instrText xml:space="preserve"> PAGEREF _Toc459130660 \h </w:instrText>
            </w:r>
            <w:r>
              <w:rPr>
                <w:noProof/>
                <w:webHidden/>
              </w:rPr>
            </w:r>
            <w:r>
              <w:rPr>
                <w:noProof/>
                <w:webHidden/>
              </w:rPr>
              <w:fldChar w:fldCharType="separate"/>
            </w:r>
            <w:r>
              <w:rPr>
                <w:noProof/>
                <w:webHidden/>
              </w:rPr>
              <w:t>31</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61" w:history="1">
            <w:r w:rsidRPr="00E82DAD">
              <w:rPr>
                <w:rStyle w:val="Hyperlink"/>
                <w:rFonts w:ascii="Times New Roman" w:hAnsi="Times New Roman" w:cs="Times New Roman"/>
                <w:noProof/>
                <w:snapToGrid w:val="0"/>
                <w:w w:val="0"/>
              </w:rPr>
              <w:t>1.9</w:t>
            </w:r>
            <w:r>
              <w:rPr>
                <w:noProof/>
                <w:lang w:val="en-GB" w:eastAsia="en-GB"/>
              </w:rPr>
              <w:tab/>
            </w:r>
            <w:r w:rsidRPr="00E82DAD">
              <w:rPr>
                <w:rStyle w:val="Hyperlink"/>
                <w:noProof/>
              </w:rPr>
              <w:t>NMR Magnetic Relaxation Dispersion (NMR-MRD)</w:t>
            </w:r>
            <w:r>
              <w:rPr>
                <w:noProof/>
                <w:webHidden/>
              </w:rPr>
              <w:tab/>
            </w:r>
            <w:r>
              <w:rPr>
                <w:noProof/>
                <w:webHidden/>
              </w:rPr>
              <w:fldChar w:fldCharType="begin"/>
            </w:r>
            <w:r>
              <w:rPr>
                <w:noProof/>
                <w:webHidden/>
              </w:rPr>
              <w:instrText xml:space="preserve"> PAGEREF _Toc459130661 \h </w:instrText>
            </w:r>
            <w:r>
              <w:rPr>
                <w:noProof/>
                <w:webHidden/>
              </w:rPr>
            </w:r>
            <w:r>
              <w:rPr>
                <w:noProof/>
                <w:webHidden/>
              </w:rPr>
              <w:fldChar w:fldCharType="separate"/>
            </w:r>
            <w:r>
              <w:rPr>
                <w:noProof/>
                <w:webHidden/>
              </w:rPr>
              <w:t>32</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62" w:history="1">
            <w:r w:rsidRPr="00E82DAD">
              <w:rPr>
                <w:rStyle w:val="Hyperlink"/>
                <w:rFonts w:ascii="Times New Roman" w:hAnsi="Times New Roman" w:cs="Times New Roman"/>
                <w:noProof/>
                <w:snapToGrid w:val="0"/>
                <w:w w:val="0"/>
              </w:rPr>
              <w:t>1.10</w:t>
            </w:r>
            <w:r>
              <w:rPr>
                <w:noProof/>
                <w:lang w:val="en-GB" w:eastAsia="en-GB"/>
              </w:rPr>
              <w:tab/>
            </w:r>
            <w:r w:rsidRPr="00E82DAD">
              <w:rPr>
                <w:rStyle w:val="Hyperlink"/>
                <w:noProof/>
              </w:rPr>
              <w:t>Extended Frequency Range Depolarised Light Scattering (EDLS)</w:t>
            </w:r>
            <w:r>
              <w:rPr>
                <w:noProof/>
                <w:webHidden/>
              </w:rPr>
              <w:tab/>
            </w:r>
            <w:r>
              <w:rPr>
                <w:noProof/>
                <w:webHidden/>
              </w:rPr>
              <w:fldChar w:fldCharType="begin"/>
            </w:r>
            <w:r>
              <w:rPr>
                <w:noProof/>
                <w:webHidden/>
              </w:rPr>
              <w:instrText xml:space="preserve"> PAGEREF _Toc459130662 \h </w:instrText>
            </w:r>
            <w:r>
              <w:rPr>
                <w:noProof/>
                <w:webHidden/>
              </w:rPr>
            </w:r>
            <w:r>
              <w:rPr>
                <w:noProof/>
                <w:webHidden/>
              </w:rPr>
              <w:fldChar w:fldCharType="separate"/>
            </w:r>
            <w:r>
              <w:rPr>
                <w:noProof/>
                <w:webHidden/>
              </w:rPr>
              <w:t>34</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63" w:history="1">
            <w:r w:rsidRPr="00E82DAD">
              <w:rPr>
                <w:rStyle w:val="Hyperlink"/>
                <w:rFonts w:ascii="Times New Roman" w:hAnsi="Times New Roman" w:cs="Times New Roman"/>
                <w:noProof/>
                <w:snapToGrid w:val="0"/>
                <w:w w:val="0"/>
              </w:rPr>
              <w:t>1.11</w:t>
            </w:r>
            <w:r>
              <w:rPr>
                <w:noProof/>
                <w:lang w:val="en-GB" w:eastAsia="en-GB"/>
              </w:rPr>
              <w:tab/>
            </w:r>
            <w:r w:rsidRPr="00E82DAD">
              <w:rPr>
                <w:rStyle w:val="Hyperlink"/>
                <w:noProof/>
              </w:rPr>
              <w:t>Techniques Used to Study Water around Small Molecules</w:t>
            </w:r>
            <w:r>
              <w:rPr>
                <w:noProof/>
                <w:webHidden/>
              </w:rPr>
              <w:tab/>
            </w:r>
            <w:r>
              <w:rPr>
                <w:noProof/>
                <w:webHidden/>
              </w:rPr>
              <w:fldChar w:fldCharType="begin"/>
            </w:r>
            <w:r>
              <w:rPr>
                <w:noProof/>
                <w:webHidden/>
              </w:rPr>
              <w:instrText xml:space="preserve"> PAGEREF _Toc459130663 \h </w:instrText>
            </w:r>
            <w:r>
              <w:rPr>
                <w:noProof/>
                <w:webHidden/>
              </w:rPr>
            </w:r>
            <w:r>
              <w:rPr>
                <w:noProof/>
                <w:webHidden/>
              </w:rPr>
              <w:fldChar w:fldCharType="separate"/>
            </w:r>
            <w:r>
              <w:rPr>
                <w:noProof/>
                <w:webHidden/>
              </w:rPr>
              <w:t>36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64" w:history="1">
            <w:r w:rsidRPr="00E82DAD">
              <w:rPr>
                <w:rStyle w:val="Hyperlink"/>
                <w:noProof/>
              </w:rPr>
              <w:t>1.11.1</w:t>
            </w:r>
            <w:r>
              <w:rPr>
                <w:rFonts w:eastAsiaTheme="minorEastAsia"/>
                <w:noProof/>
                <w:lang w:eastAsia="en-GB"/>
              </w:rPr>
              <w:tab/>
            </w:r>
            <w:r w:rsidRPr="00E82DAD">
              <w:rPr>
                <w:rStyle w:val="Hyperlink"/>
                <w:noProof/>
              </w:rPr>
              <w:t>NMR-MRD</w:t>
            </w:r>
            <w:r>
              <w:rPr>
                <w:noProof/>
                <w:webHidden/>
              </w:rPr>
              <w:tab/>
            </w:r>
            <w:r>
              <w:rPr>
                <w:noProof/>
                <w:webHidden/>
              </w:rPr>
              <w:fldChar w:fldCharType="begin"/>
            </w:r>
            <w:r>
              <w:rPr>
                <w:noProof/>
                <w:webHidden/>
              </w:rPr>
              <w:instrText xml:space="preserve"> PAGEREF _Toc459130664 \h </w:instrText>
            </w:r>
            <w:r>
              <w:rPr>
                <w:noProof/>
                <w:webHidden/>
              </w:rPr>
            </w:r>
            <w:r>
              <w:rPr>
                <w:noProof/>
                <w:webHidden/>
              </w:rPr>
              <w:fldChar w:fldCharType="separate"/>
            </w:r>
            <w:r>
              <w:rPr>
                <w:noProof/>
                <w:webHidden/>
              </w:rPr>
              <w:t>36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65" w:history="1">
            <w:r w:rsidRPr="00E82DAD">
              <w:rPr>
                <w:rStyle w:val="Hyperlink"/>
                <w:noProof/>
              </w:rPr>
              <w:t>1.11.2</w:t>
            </w:r>
            <w:r>
              <w:rPr>
                <w:rFonts w:eastAsiaTheme="minorEastAsia"/>
                <w:noProof/>
                <w:lang w:eastAsia="en-GB"/>
              </w:rPr>
              <w:tab/>
            </w:r>
            <w:r w:rsidRPr="00E82DAD">
              <w:rPr>
                <w:rStyle w:val="Hyperlink"/>
                <w:noProof/>
              </w:rPr>
              <w:t>Pump Probe Spectroscopy</w:t>
            </w:r>
            <w:r>
              <w:rPr>
                <w:noProof/>
                <w:webHidden/>
              </w:rPr>
              <w:tab/>
            </w:r>
            <w:r>
              <w:rPr>
                <w:noProof/>
                <w:webHidden/>
              </w:rPr>
              <w:fldChar w:fldCharType="begin"/>
            </w:r>
            <w:r>
              <w:rPr>
                <w:noProof/>
                <w:webHidden/>
              </w:rPr>
              <w:instrText xml:space="preserve"> PAGEREF _Toc459130665 \h </w:instrText>
            </w:r>
            <w:r>
              <w:rPr>
                <w:noProof/>
                <w:webHidden/>
              </w:rPr>
            </w:r>
            <w:r>
              <w:rPr>
                <w:noProof/>
                <w:webHidden/>
              </w:rPr>
              <w:fldChar w:fldCharType="separate"/>
            </w:r>
            <w:r>
              <w:rPr>
                <w:noProof/>
                <w:webHidden/>
              </w:rPr>
              <w:t>37</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66" w:history="1">
            <w:r w:rsidRPr="00E82DAD">
              <w:rPr>
                <w:rStyle w:val="Hyperlink"/>
                <w:noProof/>
              </w:rPr>
              <w:t>1.11.3</w:t>
            </w:r>
            <w:r>
              <w:rPr>
                <w:rFonts w:eastAsiaTheme="minorEastAsia"/>
                <w:noProof/>
                <w:lang w:eastAsia="en-GB"/>
              </w:rPr>
              <w:tab/>
            </w:r>
            <w:r w:rsidRPr="00E82DAD">
              <w:rPr>
                <w:rStyle w:val="Hyperlink"/>
                <w:noProof/>
              </w:rPr>
              <w:t>Terahertz Spectroscopy</w:t>
            </w:r>
            <w:r>
              <w:rPr>
                <w:noProof/>
                <w:webHidden/>
              </w:rPr>
              <w:tab/>
            </w:r>
            <w:r>
              <w:rPr>
                <w:noProof/>
                <w:webHidden/>
              </w:rPr>
              <w:fldChar w:fldCharType="begin"/>
            </w:r>
            <w:r>
              <w:rPr>
                <w:noProof/>
                <w:webHidden/>
              </w:rPr>
              <w:instrText xml:space="preserve"> PAGEREF _Toc459130666 \h </w:instrText>
            </w:r>
            <w:r>
              <w:rPr>
                <w:noProof/>
                <w:webHidden/>
              </w:rPr>
            </w:r>
            <w:r>
              <w:rPr>
                <w:noProof/>
                <w:webHidden/>
              </w:rPr>
              <w:fldChar w:fldCharType="separate"/>
            </w:r>
            <w:r>
              <w:rPr>
                <w:noProof/>
                <w:webHidden/>
              </w:rPr>
              <w:t>37</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67" w:history="1">
            <w:r w:rsidRPr="00E82DAD">
              <w:rPr>
                <w:rStyle w:val="Hyperlink"/>
                <w:rFonts w:ascii="Times New Roman" w:hAnsi="Times New Roman" w:cs="Times New Roman"/>
                <w:noProof/>
                <w:snapToGrid w:val="0"/>
                <w:w w:val="0"/>
              </w:rPr>
              <w:t>1.12</w:t>
            </w:r>
            <w:r>
              <w:rPr>
                <w:noProof/>
                <w:lang w:val="en-GB" w:eastAsia="en-GB"/>
              </w:rPr>
              <w:tab/>
            </w:r>
            <w:r w:rsidRPr="00E82DAD">
              <w:rPr>
                <w:rStyle w:val="Hyperlink"/>
                <w:noProof/>
              </w:rPr>
              <w:t>Extract the Role of Water in Binding Interactions</w:t>
            </w:r>
            <w:r>
              <w:rPr>
                <w:noProof/>
                <w:webHidden/>
              </w:rPr>
              <w:tab/>
            </w:r>
            <w:r>
              <w:rPr>
                <w:noProof/>
                <w:webHidden/>
              </w:rPr>
              <w:fldChar w:fldCharType="begin"/>
            </w:r>
            <w:r>
              <w:rPr>
                <w:noProof/>
                <w:webHidden/>
              </w:rPr>
              <w:instrText xml:space="preserve"> PAGEREF _Toc459130667 \h </w:instrText>
            </w:r>
            <w:r>
              <w:rPr>
                <w:noProof/>
                <w:webHidden/>
              </w:rPr>
            </w:r>
            <w:r>
              <w:rPr>
                <w:noProof/>
                <w:webHidden/>
              </w:rPr>
              <w:fldChar w:fldCharType="separate"/>
            </w:r>
            <w:r>
              <w:rPr>
                <w:noProof/>
                <w:webHidden/>
              </w:rPr>
              <w:t>39</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68" w:history="1">
            <w:r w:rsidRPr="00E82DAD">
              <w:rPr>
                <w:rStyle w:val="Hyperlink"/>
                <w:noProof/>
              </w:rPr>
              <w:t>1.12.1</w:t>
            </w:r>
            <w:r>
              <w:rPr>
                <w:rFonts w:eastAsiaTheme="minorEastAsia"/>
                <w:noProof/>
                <w:lang w:eastAsia="en-GB"/>
              </w:rPr>
              <w:tab/>
            </w:r>
            <w:r w:rsidRPr="00E82DAD">
              <w:rPr>
                <w:rStyle w:val="Hyperlink"/>
                <w:noProof/>
              </w:rPr>
              <w:t>Methods of Changing the Hydrophobic Effect</w:t>
            </w:r>
            <w:r>
              <w:rPr>
                <w:noProof/>
                <w:webHidden/>
              </w:rPr>
              <w:tab/>
            </w:r>
            <w:r>
              <w:rPr>
                <w:noProof/>
                <w:webHidden/>
              </w:rPr>
              <w:fldChar w:fldCharType="begin"/>
            </w:r>
            <w:r>
              <w:rPr>
                <w:noProof/>
                <w:webHidden/>
              </w:rPr>
              <w:instrText xml:space="preserve"> PAGEREF _Toc459130668 \h </w:instrText>
            </w:r>
            <w:r>
              <w:rPr>
                <w:noProof/>
                <w:webHidden/>
              </w:rPr>
            </w:r>
            <w:r>
              <w:rPr>
                <w:noProof/>
                <w:webHidden/>
              </w:rPr>
              <w:fldChar w:fldCharType="separate"/>
            </w:r>
            <w:r>
              <w:rPr>
                <w:noProof/>
                <w:webHidden/>
              </w:rPr>
              <w:t>39</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69" w:history="1">
            <w:r w:rsidRPr="00E82DAD">
              <w:rPr>
                <w:rStyle w:val="Hyperlink"/>
                <w:rFonts w:ascii="Times New Roman" w:hAnsi="Times New Roman" w:cs="Times New Roman"/>
                <w:noProof/>
                <w:snapToGrid w:val="0"/>
                <w:w w:val="0"/>
              </w:rPr>
              <w:t>1.13</w:t>
            </w:r>
            <w:r>
              <w:rPr>
                <w:noProof/>
                <w:lang w:val="en-GB" w:eastAsia="en-GB"/>
              </w:rPr>
              <w:tab/>
            </w:r>
            <w:r w:rsidRPr="00E82DAD">
              <w:rPr>
                <w:rStyle w:val="Hyperlink"/>
                <w:noProof/>
              </w:rPr>
              <w:t>Techniques Used to Study Ion Solvation</w:t>
            </w:r>
            <w:r>
              <w:rPr>
                <w:noProof/>
                <w:webHidden/>
              </w:rPr>
              <w:tab/>
            </w:r>
            <w:r>
              <w:rPr>
                <w:noProof/>
                <w:webHidden/>
              </w:rPr>
              <w:fldChar w:fldCharType="begin"/>
            </w:r>
            <w:r>
              <w:rPr>
                <w:noProof/>
                <w:webHidden/>
              </w:rPr>
              <w:instrText xml:space="preserve"> PAGEREF _Toc459130669 \h </w:instrText>
            </w:r>
            <w:r>
              <w:rPr>
                <w:noProof/>
                <w:webHidden/>
              </w:rPr>
            </w:r>
            <w:r>
              <w:rPr>
                <w:noProof/>
                <w:webHidden/>
              </w:rPr>
              <w:fldChar w:fldCharType="separate"/>
            </w:r>
            <w:r>
              <w:rPr>
                <w:noProof/>
                <w:webHidden/>
              </w:rPr>
              <w:t>42</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70" w:history="1">
            <w:r w:rsidRPr="00E82DAD">
              <w:rPr>
                <w:rStyle w:val="Hyperlink"/>
                <w:rFonts w:ascii="Times New Roman" w:hAnsi="Times New Roman" w:cs="Times New Roman"/>
                <w:noProof/>
                <w:snapToGrid w:val="0"/>
                <w:w w:val="0"/>
              </w:rPr>
              <w:t>1.14</w:t>
            </w:r>
            <w:r>
              <w:rPr>
                <w:noProof/>
                <w:lang w:val="en-GB" w:eastAsia="en-GB"/>
              </w:rPr>
              <w:tab/>
            </w:r>
            <w:r w:rsidRPr="00E82DAD">
              <w:rPr>
                <w:rStyle w:val="Hyperlink"/>
                <w:noProof/>
              </w:rPr>
              <w:t>Modes of Cooperativity Identified Using Isothermal Titration Calorimetry</w:t>
            </w:r>
            <w:r>
              <w:rPr>
                <w:noProof/>
                <w:webHidden/>
              </w:rPr>
              <w:tab/>
            </w:r>
            <w:r>
              <w:rPr>
                <w:noProof/>
                <w:webHidden/>
              </w:rPr>
              <w:fldChar w:fldCharType="begin"/>
            </w:r>
            <w:r>
              <w:rPr>
                <w:noProof/>
                <w:webHidden/>
              </w:rPr>
              <w:instrText xml:space="preserve"> PAGEREF _Toc459130670 \h </w:instrText>
            </w:r>
            <w:r>
              <w:rPr>
                <w:noProof/>
                <w:webHidden/>
              </w:rPr>
            </w:r>
            <w:r>
              <w:rPr>
                <w:noProof/>
                <w:webHidden/>
              </w:rPr>
              <w:fldChar w:fldCharType="separate"/>
            </w:r>
            <w:r>
              <w:rPr>
                <w:noProof/>
                <w:webHidden/>
              </w:rPr>
              <w:t>52</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71" w:history="1">
            <w:r w:rsidRPr="00E82DAD">
              <w:rPr>
                <w:rStyle w:val="Hyperlink"/>
                <w:rFonts w:ascii="Times New Roman" w:hAnsi="Times New Roman" w:cs="Times New Roman"/>
                <w:noProof/>
                <w:snapToGrid w:val="0"/>
                <w:w w:val="0"/>
              </w:rPr>
              <w:t>1.15</w:t>
            </w:r>
            <w:r>
              <w:rPr>
                <w:noProof/>
                <w:lang w:val="en-GB" w:eastAsia="en-GB"/>
              </w:rPr>
              <w:tab/>
            </w:r>
            <w:r w:rsidRPr="00E82DAD">
              <w:rPr>
                <w:rStyle w:val="Hyperlink"/>
                <w:noProof/>
              </w:rPr>
              <w:t>Circular Dichroism</w:t>
            </w:r>
            <w:r>
              <w:rPr>
                <w:noProof/>
                <w:webHidden/>
              </w:rPr>
              <w:tab/>
            </w:r>
            <w:r>
              <w:rPr>
                <w:noProof/>
                <w:webHidden/>
              </w:rPr>
              <w:fldChar w:fldCharType="begin"/>
            </w:r>
            <w:r>
              <w:rPr>
                <w:noProof/>
                <w:webHidden/>
              </w:rPr>
              <w:instrText xml:space="preserve"> PAGEREF _Toc459130671 \h </w:instrText>
            </w:r>
            <w:r>
              <w:rPr>
                <w:noProof/>
                <w:webHidden/>
              </w:rPr>
            </w:r>
            <w:r>
              <w:rPr>
                <w:noProof/>
                <w:webHidden/>
              </w:rPr>
              <w:fldChar w:fldCharType="separate"/>
            </w:r>
            <w:r>
              <w:rPr>
                <w:noProof/>
                <w:webHidden/>
              </w:rPr>
              <w:t>57</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72" w:history="1">
            <w:r w:rsidRPr="00E82DAD">
              <w:rPr>
                <w:rStyle w:val="Hyperlink"/>
                <w:rFonts w:ascii="Times New Roman" w:hAnsi="Times New Roman" w:cs="Times New Roman"/>
                <w:noProof/>
                <w:snapToGrid w:val="0"/>
                <w:w w:val="0"/>
              </w:rPr>
              <w:t>1.16</w:t>
            </w:r>
            <w:r>
              <w:rPr>
                <w:noProof/>
                <w:lang w:val="en-GB" w:eastAsia="en-GB"/>
              </w:rPr>
              <w:tab/>
            </w:r>
            <w:r w:rsidRPr="00E82DAD">
              <w:rPr>
                <w:rStyle w:val="Hyperlink"/>
                <w:noProof/>
              </w:rPr>
              <w:t>Focus of Work in this Thesis</w:t>
            </w:r>
            <w:r>
              <w:rPr>
                <w:noProof/>
                <w:webHidden/>
              </w:rPr>
              <w:tab/>
            </w:r>
            <w:r>
              <w:rPr>
                <w:noProof/>
                <w:webHidden/>
              </w:rPr>
              <w:fldChar w:fldCharType="begin"/>
            </w:r>
            <w:r>
              <w:rPr>
                <w:noProof/>
                <w:webHidden/>
              </w:rPr>
              <w:instrText xml:space="preserve"> PAGEREF _Toc459130672 \h </w:instrText>
            </w:r>
            <w:r>
              <w:rPr>
                <w:noProof/>
                <w:webHidden/>
              </w:rPr>
            </w:r>
            <w:r>
              <w:rPr>
                <w:noProof/>
                <w:webHidden/>
              </w:rPr>
              <w:fldChar w:fldCharType="separate"/>
            </w:r>
            <w:r>
              <w:rPr>
                <w:noProof/>
                <w:webHidden/>
              </w:rPr>
              <w:t>58</w:t>
            </w:r>
            <w:r>
              <w:rPr>
                <w:noProof/>
                <w:webHidden/>
              </w:rPr>
              <w:fldChar w:fldCharType="end"/>
            </w:r>
          </w:hyperlink>
        </w:p>
        <w:p w:rsidR="00610E48" w:rsidRDefault="00610E48">
          <w:pPr>
            <w:pStyle w:val="TOC1"/>
            <w:tabs>
              <w:tab w:val="left" w:pos="440"/>
            </w:tabs>
            <w:rPr>
              <w:rFonts w:eastAsiaTheme="minorEastAsia"/>
              <w:noProof/>
              <w:lang w:eastAsia="en-GB"/>
            </w:rPr>
          </w:pPr>
          <w:hyperlink w:anchor="_Toc459130673" w:history="1">
            <w:r w:rsidRPr="00E82DAD">
              <w:rPr>
                <w:rStyle w:val="Hyperlink"/>
                <w:noProof/>
              </w:rPr>
              <w:t>2</w:t>
            </w:r>
            <w:r>
              <w:rPr>
                <w:rFonts w:eastAsiaTheme="minorEastAsia"/>
                <w:noProof/>
                <w:lang w:eastAsia="en-GB"/>
              </w:rPr>
              <w:tab/>
            </w:r>
            <w:r w:rsidRPr="00E82DAD">
              <w:rPr>
                <w:rStyle w:val="Hyperlink"/>
                <w:noProof/>
              </w:rPr>
              <w:t>Chapter 2: Methodology for Isothermal Titration Calorimetry, Circular Dichroism and Nanoparticle Tracking Analysis</w:t>
            </w:r>
            <w:r>
              <w:rPr>
                <w:noProof/>
                <w:webHidden/>
              </w:rPr>
              <w:tab/>
            </w:r>
            <w:r>
              <w:rPr>
                <w:noProof/>
                <w:webHidden/>
              </w:rPr>
              <w:fldChar w:fldCharType="begin"/>
            </w:r>
            <w:r>
              <w:rPr>
                <w:noProof/>
                <w:webHidden/>
              </w:rPr>
              <w:instrText xml:space="preserve"> PAGEREF _Toc459130673 \h </w:instrText>
            </w:r>
            <w:r>
              <w:rPr>
                <w:noProof/>
                <w:webHidden/>
              </w:rPr>
            </w:r>
            <w:r>
              <w:rPr>
                <w:noProof/>
                <w:webHidden/>
              </w:rPr>
              <w:fldChar w:fldCharType="separate"/>
            </w:r>
            <w:r>
              <w:rPr>
                <w:noProof/>
                <w:webHidden/>
              </w:rPr>
              <w:t>60</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74" w:history="1">
            <w:r w:rsidRPr="00E82DAD">
              <w:rPr>
                <w:rStyle w:val="Hyperlink"/>
                <w:rFonts w:ascii="Times New Roman" w:hAnsi="Times New Roman" w:cs="Times New Roman"/>
                <w:noProof/>
                <w:snapToGrid w:val="0"/>
                <w:w w:val="0"/>
              </w:rPr>
              <w:t>2.1</w:t>
            </w:r>
            <w:r>
              <w:rPr>
                <w:noProof/>
                <w:lang w:val="en-GB" w:eastAsia="en-GB"/>
              </w:rPr>
              <w:tab/>
            </w:r>
            <w:r w:rsidRPr="00E82DAD">
              <w:rPr>
                <w:rStyle w:val="Hyperlink"/>
                <w:noProof/>
              </w:rPr>
              <w:t>Circular Dichroism</w:t>
            </w:r>
            <w:r>
              <w:rPr>
                <w:noProof/>
                <w:webHidden/>
              </w:rPr>
              <w:tab/>
            </w:r>
            <w:r>
              <w:rPr>
                <w:noProof/>
                <w:webHidden/>
              </w:rPr>
              <w:fldChar w:fldCharType="begin"/>
            </w:r>
            <w:r>
              <w:rPr>
                <w:noProof/>
                <w:webHidden/>
              </w:rPr>
              <w:instrText xml:space="preserve"> PAGEREF _Toc459130674 \h </w:instrText>
            </w:r>
            <w:r>
              <w:rPr>
                <w:noProof/>
                <w:webHidden/>
              </w:rPr>
            </w:r>
            <w:r>
              <w:rPr>
                <w:noProof/>
                <w:webHidden/>
              </w:rPr>
              <w:fldChar w:fldCharType="separate"/>
            </w:r>
            <w:r>
              <w:rPr>
                <w:noProof/>
                <w:webHidden/>
              </w:rPr>
              <w:t>61</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75" w:history="1">
            <w:r w:rsidRPr="00E82DAD">
              <w:rPr>
                <w:rStyle w:val="Hyperlink"/>
                <w:noProof/>
              </w:rPr>
              <w:t>2.1.1</w:t>
            </w:r>
            <w:r>
              <w:rPr>
                <w:rFonts w:eastAsiaTheme="minorEastAsia"/>
                <w:noProof/>
                <w:lang w:eastAsia="en-GB"/>
              </w:rPr>
              <w:tab/>
            </w:r>
            <w:r w:rsidRPr="00E82DAD">
              <w:rPr>
                <w:rStyle w:val="Hyperlink"/>
                <w:noProof/>
              </w:rPr>
              <w:t>Introduction</w:t>
            </w:r>
            <w:r>
              <w:rPr>
                <w:noProof/>
                <w:webHidden/>
              </w:rPr>
              <w:tab/>
            </w:r>
            <w:r>
              <w:rPr>
                <w:noProof/>
                <w:webHidden/>
              </w:rPr>
              <w:fldChar w:fldCharType="begin"/>
            </w:r>
            <w:r>
              <w:rPr>
                <w:noProof/>
                <w:webHidden/>
              </w:rPr>
              <w:instrText xml:space="preserve"> PAGEREF _Toc459130675 \h </w:instrText>
            </w:r>
            <w:r>
              <w:rPr>
                <w:noProof/>
                <w:webHidden/>
              </w:rPr>
            </w:r>
            <w:r>
              <w:rPr>
                <w:noProof/>
                <w:webHidden/>
              </w:rPr>
              <w:fldChar w:fldCharType="separate"/>
            </w:r>
            <w:r>
              <w:rPr>
                <w:noProof/>
                <w:webHidden/>
              </w:rPr>
              <w:t>61</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76" w:history="1">
            <w:r w:rsidRPr="00E82DAD">
              <w:rPr>
                <w:rStyle w:val="Hyperlink"/>
                <w:noProof/>
              </w:rPr>
              <w:t>2.1.2</w:t>
            </w:r>
            <w:r>
              <w:rPr>
                <w:rFonts w:eastAsiaTheme="minorEastAsia"/>
                <w:noProof/>
                <w:lang w:eastAsia="en-GB"/>
              </w:rPr>
              <w:tab/>
            </w:r>
            <w:r w:rsidRPr="00E82DAD">
              <w:rPr>
                <w:rStyle w:val="Hyperlink"/>
                <w:noProof/>
              </w:rPr>
              <w:t>Instrumentation</w:t>
            </w:r>
            <w:r>
              <w:rPr>
                <w:noProof/>
                <w:webHidden/>
              </w:rPr>
              <w:tab/>
            </w:r>
            <w:r>
              <w:rPr>
                <w:noProof/>
                <w:webHidden/>
              </w:rPr>
              <w:fldChar w:fldCharType="begin"/>
            </w:r>
            <w:r>
              <w:rPr>
                <w:noProof/>
                <w:webHidden/>
              </w:rPr>
              <w:instrText xml:space="preserve"> PAGEREF _Toc459130676 \h </w:instrText>
            </w:r>
            <w:r>
              <w:rPr>
                <w:noProof/>
                <w:webHidden/>
              </w:rPr>
            </w:r>
            <w:r>
              <w:rPr>
                <w:noProof/>
                <w:webHidden/>
              </w:rPr>
              <w:fldChar w:fldCharType="separate"/>
            </w:r>
            <w:r>
              <w:rPr>
                <w:noProof/>
                <w:webHidden/>
              </w:rPr>
              <w:t>61</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77" w:history="1">
            <w:r w:rsidRPr="00E82DAD">
              <w:rPr>
                <w:rStyle w:val="Hyperlink"/>
                <w:noProof/>
              </w:rPr>
              <w:t>2.1.3</w:t>
            </w:r>
            <w:r>
              <w:rPr>
                <w:rFonts w:eastAsiaTheme="minorEastAsia"/>
                <w:noProof/>
                <w:lang w:eastAsia="en-GB"/>
              </w:rPr>
              <w:tab/>
            </w:r>
            <w:r w:rsidRPr="00E82DAD">
              <w:rPr>
                <w:rStyle w:val="Hyperlink"/>
                <w:noProof/>
              </w:rPr>
              <w:t>Method</w:t>
            </w:r>
            <w:r>
              <w:rPr>
                <w:noProof/>
                <w:webHidden/>
              </w:rPr>
              <w:tab/>
            </w:r>
            <w:r>
              <w:rPr>
                <w:noProof/>
                <w:webHidden/>
              </w:rPr>
              <w:fldChar w:fldCharType="begin"/>
            </w:r>
            <w:r>
              <w:rPr>
                <w:noProof/>
                <w:webHidden/>
              </w:rPr>
              <w:instrText xml:space="preserve"> PAGEREF _Toc459130677 \h </w:instrText>
            </w:r>
            <w:r>
              <w:rPr>
                <w:noProof/>
                <w:webHidden/>
              </w:rPr>
            </w:r>
            <w:r>
              <w:rPr>
                <w:noProof/>
                <w:webHidden/>
              </w:rPr>
              <w:fldChar w:fldCharType="separate"/>
            </w:r>
            <w:r>
              <w:rPr>
                <w:noProof/>
                <w:webHidden/>
              </w:rPr>
              <w:t>62</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78" w:history="1">
            <w:r w:rsidRPr="00E82DAD">
              <w:rPr>
                <w:rStyle w:val="Hyperlink"/>
                <w:noProof/>
              </w:rPr>
              <w:t>2.1.4</w:t>
            </w:r>
            <w:r>
              <w:rPr>
                <w:rFonts w:eastAsiaTheme="minorEastAsia"/>
                <w:noProof/>
                <w:lang w:eastAsia="en-GB"/>
              </w:rPr>
              <w:tab/>
            </w:r>
            <w:r w:rsidRPr="00E82DAD">
              <w:rPr>
                <w:rStyle w:val="Hyperlink"/>
                <w:noProof/>
              </w:rPr>
              <w:t>Data Collection</w:t>
            </w:r>
            <w:r>
              <w:rPr>
                <w:noProof/>
                <w:webHidden/>
              </w:rPr>
              <w:tab/>
            </w:r>
            <w:r>
              <w:rPr>
                <w:noProof/>
                <w:webHidden/>
              </w:rPr>
              <w:fldChar w:fldCharType="begin"/>
            </w:r>
            <w:r>
              <w:rPr>
                <w:noProof/>
                <w:webHidden/>
              </w:rPr>
              <w:instrText xml:space="preserve"> PAGEREF _Toc459130678 \h </w:instrText>
            </w:r>
            <w:r>
              <w:rPr>
                <w:noProof/>
                <w:webHidden/>
              </w:rPr>
            </w:r>
            <w:r>
              <w:rPr>
                <w:noProof/>
                <w:webHidden/>
              </w:rPr>
              <w:fldChar w:fldCharType="separate"/>
            </w:r>
            <w:r>
              <w:rPr>
                <w:noProof/>
                <w:webHidden/>
              </w:rPr>
              <w:t>62</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79" w:history="1">
            <w:r w:rsidRPr="00E82DAD">
              <w:rPr>
                <w:rStyle w:val="Hyperlink"/>
                <w:noProof/>
              </w:rPr>
              <w:t>2.1.5</w:t>
            </w:r>
            <w:r>
              <w:rPr>
                <w:rFonts w:eastAsiaTheme="minorEastAsia"/>
                <w:noProof/>
                <w:lang w:eastAsia="en-GB"/>
              </w:rPr>
              <w:tab/>
            </w:r>
            <w:r w:rsidRPr="00E82DAD">
              <w:rPr>
                <w:rStyle w:val="Hyperlink"/>
                <w:noProof/>
              </w:rPr>
              <w:t>Theory</w:t>
            </w:r>
            <w:r>
              <w:rPr>
                <w:noProof/>
                <w:webHidden/>
              </w:rPr>
              <w:tab/>
            </w:r>
            <w:r>
              <w:rPr>
                <w:noProof/>
                <w:webHidden/>
              </w:rPr>
              <w:fldChar w:fldCharType="begin"/>
            </w:r>
            <w:r>
              <w:rPr>
                <w:noProof/>
                <w:webHidden/>
              </w:rPr>
              <w:instrText xml:space="preserve"> PAGEREF _Toc459130679 \h </w:instrText>
            </w:r>
            <w:r>
              <w:rPr>
                <w:noProof/>
                <w:webHidden/>
              </w:rPr>
            </w:r>
            <w:r>
              <w:rPr>
                <w:noProof/>
                <w:webHidden/>
              </w:rPr>
              <w:fldChar w:fldCharType="separate"/>
            </w:r>
            <w:r>
              <w:rPr>
                <w:noProof/>
                <w:webHidden/>
              </w:rPr>
              <w:t>63</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80" w:history="1">
            <w:r w:rsidRPr="00E82DAD">
              <w:rPr>
                <w:rStyle w:val="Hyperlink"/>
                <w:rFonts w:ascii="Times New Roman" w:hAnsi="Times New Roman" w:cs="Times New Roman"/>
                <w:noProof/>
                <w:snapToGrid w:val="0"/>
                <w:w w:val="0"/>
              </w:rPr>
              <w:t>2.2</w:t>
            </w:r>
            <w:r>
              <w:rPr>
                <w:noProof/>
                <w:lang w:val="en-GB" w:eastAsia="en-GB"/>
              </w:rPr>
              <w:tab/>
            </w:r>
            <w:r w:rsidRPr="00E82DAD">
              <w:rPr>
                <w:rStyle w:val="Hyperlink"/>
                <w:noProof/>
              </w:rPr>
              <w:t>Isothermal Titration Calorimetry</w:t>
            </w:r>
            <w:r>
              <w:rPr>
                <w:noProof/>
                <w:webHidden/>
              </w:rPr>
              <w:tab/>
            </w:r>
            <w:r>
              <w:rPr>
                <w:noProof/>
                <w:webHidden/>
              </w:rPr>
              <w:fldChar w:fldCharType="begin"/>
            </w:r>
            <w:r>
              <w:rPr>
                <w:noProof/>
                <w:webHidden/>
              </w:rPr>
              <w:instrText xml:space="preserve"> PAGEREF _Toc459130680 \h </w:instrText>
            </w:r>
            <w:r>
              <w:rPr>
                <w:noProof/>
                <w:webHidden/>
              </w:rPr>
            </w:r>
            <w:r>
              <w:rPr>
                <w:noProof/>
                <w:webHidden/>
              </w:rPr>
              <w:fldChar w:fldCharType="separate"/>
            </w:r>
            <w:r>
              <w:rPr>
                <w:noProof/>
                <w:webHidden/>
              </w:rPr>
              <w:t>65</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81" w:history="1">
            <w:r w:rsidRPr="00E82DAD">
              <w:rPr>
                <w:rStyle w:val="Hyperlink"/>
                <w:noProof/>
              </w:rPr>
              <w:t>2.2.1</w:t>
            </w:r>
            <w:r>
              <w:rPr>
                <w:rFonts w:eastAsiaTheme="minorEastAsia"/>
                <w:noProof/>
                <w:lang w:eastAsia="en-GB"/>
              </w:rPr>
              <w:tab/>
            </w:r>
            <w:r w:rsidRPr="00E82DAD">
              <w:rPr>
                <w:rStyle w:val="Hyperlink"/>
                <w:noProof/>
              </w:rPr>
              <w:t>Instrumentation</w:t>
            </w:r>
            <w:r>
              <w:rPr>
                <w:noProof/>
                <w:webHidden/>
              </w:rPr>
              <w:tab/>
            </w:r>
            <w:r>
              <w:rPr>
                <w:noProof/>
                <w:webHidden/>
              </w:rPr>
              <w:fldChar w:fldCharType="begin"/>
            </w:r>
            <w:r>
              <w:rPr>
                <w:noProof/>
                <w:webHidden/>
              </w:rPr>
              <w:instrText xml:space="preserve"> PAGEREF _Toc459130681 \h </w:instrText>
            </w:r>
            <w:r>
              <w:rPr>
                <w:noProof/>
                <w:webHidden/>
              </w:rPr>
            </w:r>
            <w:r>
              <w:rPr>
                <w:noProof/>
                <w:webHidden/>
              </w:rPr>
              <w:fldChar w:fldCharType="separate"/>
            </w:r>
            <w:r>
              <w:rPr>
                <w:noProof/>
                <w:webHidden/>
              </w:rPr>
              <w:t>65</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82" w:history="1">
            <w:r w:rsidRPr="00E82DAD">
              <w:rPr>
                <w:rStyle w:val="Hyperlink"/>
                <w:noProof/>
              </w:rPr>
              <w:t>2.2.2</w:t>
            </w:r>
            <w:r>
              <w:rPr>
                <w:rFonts w:eastAsiaTheme="minorEastAsia"/>
                <w:noProof/>
                <w:lang w:eastAsia="en-GB"/>
              </w:rPr>
              <w:tab/>
            </w:r>
            <w:r w:rsidRPr="00E82DAD">
              <w:rPr>
                <w:rStyle w:val="Hyperlink"/>
                <w:noProof/>
              </w:rPr>
              <w:t>Method</w:t>
            </w:r>
            <w:r>
              <w:rPr>
                <w:noProof/>
                <w:webHidden/>
              </w:rPr>
              <w:tab/>
            </w:r>
            <w:r>
              <w:rPr>
                <w:noProof/>
                <w:webHidden/>
              </w:rPr>
              <w:fldChar w:fldCharType="begin"/>
            </w:r>
            <w:r>
              <w:rPr>
                <w:noProof/>
                <w:webHidden/>
              </w:rPr>
              <w:instrText xml:space="preserve"> PAGEREF _Toc459130682 \h </w:instrText>
            </w:r>
            <w:r>
              <w:rPr>
                <w:noProof/>
                <w:webHidden/>
              </w:rPr>
            </w:r>
            <w:r>
              <w:rPr>
                <w:noProof/>
                <w:webHidden/>
              </w:rPr>
              <w:fldChar w:fldCharType="separate"/>
            </w:r>
            <w:r>
              <w:rPr>
                <w:noProof/>
                <w:webHidden/>
              </w:rPr>
              <w:t>66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83" w:history="1">
            <w:r w:rsidRPr="00E82DAD">
              <w:rPr>
                <w:rStyle w:val="Hyperlink"/>
                <w:noProof/>
              </w:rPr>
              <w:t>2.2.3</w:t>
            </w:r>
            <w:r>
              <w:rPr>
                <w:rFonts w:eastAsiaTheme="minorEastAsia"/>
                <w:noProof/>
                <w:lang w:eastAsia="en-GB"/>
              </w:rPr>
              <w:tab/>
            </w:r>
            <w:r w:rsidRPr="00E82DAD">
              <w:rPr>
                <w:rStyle w:val="Hyperlink"/>
                <w:noProof/>
              </w:rPr>
              <w:t>Analysis of the Isothermal Titration Calorimetry Data</w:t>
            </w:r>
            <w:r>
              <w:rPr>
                <w:noProof/>
                <w:webHidden/>
              </w:rPr>
              <w:tab/>
            </w:r>
            <w:r>
              <w:rPr>
                <w:noProof/>
                <w:webHidden/>
              </w:rPr>
              <w:fldChar w:fldCharType="begin"/>
            </w:r>
            <w:r>
              <w:rPr>
                <w:noProof/>
                <w:webHidden/>
              </w:rPr>
              <w:instrText xml:space="preserve"> PAGEREF _Toc459130683 \h </w:instrText>
            </w:r>
            <w:r>
              <w:rPr>
                <w:noProof/>
                <w:webHidden/>
              </w:rPr>
            </w:r>
            <w:r>
              <w:rPr>
                <w:noProof/>
                <w:webHidden/>
              </w:rPr>
              <w:fldChar w:fldCharType="separate"/>
            </w:r>
            <w:r>
              <w:rPr>
                <w:noProof/>
                <w:webHidden/>
              </w:rPr>
              <w:t>67</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84" w:history="1">
            <w:r w:rsidRPr="00E82DAD">
              <w:rPr>
                <w:rStyle w:val="Hyperlink"/>
                <w:rFonts w:ascii="Times New Roman" w:hAnsi="Times New Roman" w:cs="Times New Roman"/>
                <w:noProof/>
                <w:snapToGrid w:val="0"/>
                <w:w w:val="0"/>
              </w:rPr>
              <w:t>2.3</w:t>
            </w:r>
            <w:r>
              <w:rPr>
                <w:noProof/>
                <w:lang w:val="en-GB" w:eastAsia="en-GB"/>
              </w:rPr>
              <w:tab/>
            </w:r>
            <w:r w:rsidRPr="00E82DAD">
              <w:rPr>
                <w:rStyle w:val="Hyperlink"/>
                <w:noProof/>
              </w:rPr>
              <w:t>Nanoparticle Tracking Analysis</w:t>
            </w:r>
            <w:r>
              <w:rPr>
                <w:noProof/>
                <w:webHidden/>
              </w:rPr>
              <w:tab/>
            </w:r>
            <w:r>
              <w:rPr>
                <w:noProof/>
                <w:webHidden/>
              </w:rPr>
              <w:fldChar w:fldCharType="begin"/>
            </w:r>
            <w:r>
              <w:rPr>
                <w:noProof/>
                <w:webHidden/>
              </w:rPr>
              <w:instrText xml:space="preserve"> PAGEREF _Toc459130684 \h </w:instrText>
            </w:r>
            <w:r>
              <w:rPr>
                <w:noProof/>
                <w:webHidden/>
              </w:rPr>
            </w:r>
            <w:r>
              <w:rPr>
                <w:noProof/>
                <w:webHidden/>
              </w:rPr>
              <w:fldChar w:fldCharType="separate"/>
            </w:r>
            <w:r>
              <w:rPr>
                <w:noProof/>
                <w:webHidden/>
              </w:rPr>
              <w:t>70</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85" w:history="1">
            <w:r w:rsidRPr="00E82DAD">
              <w:rPr>
                <w:rStyle w:val="Hyperlink"/>
                <w:noProof/>
              </w:rPr>
              <w:t>2.3.1</w:t>
            </w:r>
            <w:r>
              <w:rPr>
                <w:rFonts w:eastAsiaTheme="minorEastAsia"/>
                <w:noProof/>
                <w:lang w:eastAsia="en-GB"/>
              </w:rPr>
              <w:tab/>
            </w:r>
            <w:r w:rsidRPr="00E82DAD">
              <w:rPr>
                <w:rStyle w:val="Hyperlink"/>
                <w:noProof/>
              </w:rPr>
              <w:t>Instrumentation</w:t>
            </w:r>
            <w:r>
              <w:rPr>
                <w:noProof/>
                <w:webHidden/>
              </w:rPr>
              <w:tab/>
            </w:r>
            <w:r>
              <w:rPr>
                <w:noProof/>
                <w:webHidden/>
              </w:rPr>
              <w:fldChar w:fldCharType="begin"/>
            </w:r>
            <w:r>
              <w:rPr>
                <w:noProof/>
                <w:webHidden/>
              </w:rPr>
              <w:instrText xml:space="preserve"> PAGEREF _Toc459130685 \h </w:instrText>
            </w:r>
            <w:r>
              <w:rPr>
                <w:noProof/>
                <w:webHidden/>
              </w:rPr>
            </w:r>
            <w:r>
              <w:rPr>
                <w:noProof/>
                <w:webHidden/>
              </w:rPr>
              <w:fldChar w:fldCharType="separate"/>
            </w:r>
            <w:r>
              <w:rPr>
                <w:noProof/>
                <w:webHidden/>
              </w:rPr>
              <w:t>71</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86" w:history="1">
            <w:r w:rsidRPr="00E82DAD">
              <w:rPr>
                <w:rStyle w:val="Hyperlink"/>
                <w:noProof/>
              </w:rPr>
              <w:t>2.3.2</w:t>
            </w:r>
            <w:r>
              <w:rPr>
                <w:rFonts w:eastAsiaTheme="minorEastAsia"/>
                <w:noProof/>
                <w:lang w:eastAsia="en-GB"/>
              </w:rPr>
              <w:tab/>
            </w:r>
            <w:r w:rsidRPr="00E82DAD">
              <w:rPr>
                <w:rStyle w:val="Hyperlink"/>
                <w:noProof/>
              </w:rPr>
              <w:t>Sizing of the Nanoparticles</w:t>
            </w:r>
            <w:r>
              <w:rPr>
                <w:noProof/>
                <w:webHidden/>
              </w:rPr>
              <w:tab/>
            </w:r>
            <w:r>
              <w:rPr>
                <w:noProof/>
                <w:webHidden/>
              </w:rPr>
              <w:fldChar w:fldCharType="begin"/>
            </w:r>
            <w:r>
              <w:rPr>
                <w:noProof/>
                <w:webHidden/>
              </w:rPr>
              <w:instrText xml:space="preserve"> PAGEREF _Toc459130686 \h </w:instrText>
            </w:r>
            <w:r>
              <w:rPr>
                <w:noProof/>
                <w:webHidden/>
              </w:rPr>
            </w:r>
            <w:r>
              <w:rPr>
                <w:noProof/>
                <w:webHidden/>
              </w:rPr>
              <w:fldChar w:fldCharType="separate"/>
            </w:r>
            <w:r>
              <w:rPr>
                <w:noProof/>
                <w:webHidden/>
              </w:rPr>
              <w:t>71</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87" w:history="1">
            <w:r w:rsidRPr="00E82DAD">
              <w:rPr>
                <w:rStyle w:val="Hyperlink"/>
                <w:noProof/>
              </w:rPr>
              <w:t>2.3.3</w:t>
            </w:r>
            <w:r>
              <w:rPr>
                <w:rFonts w:eastAsiaTheme="minorEastAsia"/>
                <w:noProof/>
                <w:lang w:eastAsia="en-GB"/>
              </w:rPr>
              <w:tab/>
            </w:r>
            <w:r w:rsidRPr="00E82DAD">
              <w:rPr>
                <w:rStyle w:val="Hyperlink"/>
                <w:noProof/>
              </w:rPr>
              <w:t>Method</w:t>
            </w:r>
            <w:r>
              <w:rPr>
                <w:noProof/>
                <w:webHidden/>
              </w:rPr>
              <w:tab/>
            </w:r>
            <w:r>
              <w:rPr>
                <w:noProof/>
                <w:webHidden/>
              </w:rPr>
              <w:fldChar w:fldCharType="begin"/>
            </w:r>
            <w:r>
              <w:rPr>
                <w:noProof/>
                <w:webHidden/>
              </w:rPr>
              <w:instrText xml:space="preserve"> PAGEREF _Toc459130687 \h </w:instrText>
            </w:r>
            <w:r>
              <w:rPr>
                <w:noProof/>
                <w:webHidden/>
              </w:rPr>
            </w:r>
            <w:r>
              <w:rPr>
                <w:noProof/>
                <w:webHidden/>
              </w:rPr>
              <w:fldChar w:fldCharType="separate"/>
            </w:r>
            <w:r>
              <w:rPr>
                <w:noProof/>
                <w:webHidden/>
              </w:rPr>
              <w:t>72</w:t>
            </w:r>
            <w:r>
              <w:rPr>
                <w:noProof/>
                <w:webHidden/>
              </w:rPr>
              <w:fldChar w:fldCharType="end"/>
            </w:r>
          </w:hyperlink>
        </w:p>
        <w:p w:rsidR="00610E48" w:rsidRDefault="00610E48">
          <w:pPr>
            <w:pStyle w:val="TOC1"/>
            <w:tabs>
              <w:tab w:val="left" w:pos="440"/>
            </w:tabs>
            <w:rPr>
              <w:rFonts w:eastAsiaTheme="minorEastAsia"/>
              <w:noProof/>
              <w:lang w:eastAsia="en-GB"/>
            </w:rPr>
          </w:pPr>
          <w:hyperlink w:anchor="_Toc459130688" w:history="1">
            <w:r w:rsidRPr="00E82DAD">
              <w:rPr>
                <w:rStyle w:val="Hyperlink"/>
                <w:noProof/>
              </w:rPr>
              <w:t>3</w:t>
            </w:r>
            <w:r>
              <w:rPr>
                <w:rFonts w:eastAsiaTheme="minorEastAsia"/>
                <w:noProof/>
                <w:lang w:eastAsia="en-GB"/>
              </w:rPr>
              <w:tab/>
            </w:r>
            <w:r w:rsidRPr="00E82DAD">
              <w:rPr>
                <w:rStyle w:val="Hyperlink"/>
                <w:noProof/>
              </w:rPr>
              <w:t>Chapter 3: Modes of Binding for Tannic Acid and Proanthocyanidins to Biopolymers</w:t>
            </w:r>
            <w:r>
              <w:rPr>
                <w:noProof/>
                <w:webHidden/>
              </w:rPr>
              <w:tab/>
            </w:r>
            <w:r>
              <w:rPr>
                <w:noProof/>
                <w:webHidden/>
              </w:rPr>
              <w:fldChar w:fldCharType="begin"/>
            </w:r>
            <w:r>
              <w:rPr>
                <w:noProof/>
                <w:webHidden/>
              </w:rPr>
              <w:instrText xml:space="preserve"> PAGEREF _Toc459130688 \h </w:instrText>
            </w:r>
            <w:r>
              <w:rPr>
                <w:noProof/>
                <w:webHidden/>
              </w:rPr>
            </w:r>
            <w:r>
              <w:rPr>
                <w:noProof/>
                <w:webHidden/>
              </w:rPr>
              <w:fldChar w:fldCharType="separate"/>
            </w:r>
            <w:r>
              <w:rPr>
                <w:noProof/>
                <w:webHidden/>
              </w:rPr>
              <w:t>73</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89" w:history="1">
            <w:r w:rsidRPr="00E82DAD">
              <w:rPr>
                <w:rStyle w:val="Hyperlink"/>
                <w:rFonts w:ascii="Times New Roman" w:hAnsi="Times New Roman" w:cs="Times New Roman"/>
                <w:noProof/>
                <w:snapToGrid w:val="0"/>
                <w:w w:val="0"/>
              </w:rPr>
              <w:t>3.1</w:t>
            </w:r>
            <w:r>
              <w:rPr>
                <w:noProof/>
                <w:lang w:val="en-GB" w:eastAsia="en-GB"/>
              </w:rPr>
              <w:tab/>
            </w:r>
            <w:r w:rsidRPr="00E82DAD">
              <w:rPr>
                <w:rStyle w:val="Hyperlink"/>
                <w:noProof/>
              </w:rPr>
              <w:t>Summary</w:t>
            </w:r>
            <w:r>
              <w:rPr>
                <w:noProof/>
                <w:webHidden/>
              </w:rPr>
              <w:tab/>
            </w:r>
            <w:r>
              <w:rPr>
                <w:noProof/>
                <w:webHidden/>
              </w:rPr>
              <w:fldChar w:fldCharType="begin"/>
            </w:r>
            <w:r>
              <w:rPr>
                <w:noProof/>
                <w:webHidden/>
              </w:rPr>
              <w:instrText xml:space="preserve"> PAGEREF _Toc459130689 \h </w:instrText>
            </w:r>
            <w:r>
              <w:rPr>
                <w:noProof/>
                <w:webHidden/>
              </w:rPr>
            </w:r>
            <w:r>
              <w:rPr>
                <w:noProof/>
                <w:webHidden/>
              </w:rPr>
              <w:fldChar w:fldCharType="separate"/>
            </w:r>
            <w:r>
              <w:rPr>
                <w:noProof/>
                <w:webHidden/>
              </w:rPr>
              <w:t>74</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90" w:history="1">
            <w:r w:rsidRPr="00E82DAD">
              <w:rPr>
                <w:rStyle w:val="Hyperlink"/>
                <w:rFonts w:ascii="Times New Roman" w:hAnsi="Times New Roman" w:cs="Times New Roman"/>
                <w:noProof/>
                <w:snapToGrid w:val="0"/>
                <w:w w:val="0"/>
              </w:rPr>
              <w:t>3.2</w:t>
            </w:r>
            <w:r>
              <w:rPr>
                <w:noProof/>
                <w:lang w:val="en-GB" w:eastAsia="en-GB"/>
              </w:rPr>
              <w:tab/>
            </w:r>
            <w:r w:rsidRPr="00E82DAD">
              <w:rPr>
                <w:rStyle w:val="Hyperlink"/>
                <w:noProof/>
              </w:rPr>
              <w:t>Introduction</w:t>
            </w:r>
            <w:r>
              <w:rPr>
                <w:noProof/>
                <w:webHidden/>
              </w:rPr>
              <w:tab/>
            </w:r>
            <w:r>
              <w:rPr>
                <w:noProof/>
                <w:webHidden/>
              </w:rPr>
              <w:fldChar w:fldCharType="begin"/>
            </w:r>
            <w:r>
              <w:rPr>
                <w:noProof/>
                <w:webHidden/>
              </w:rPr>
              <w:instrText xml:space="preserve"> PAGEREF _Toc459130690 \h </w:instrText>
            </w:r>
            <w:r>
              <w:rPr>
                <w:noProof/>
                <w:webHidden/>
              </w:rPr>
            </w:r>
            <w:r>
              <w:rPr>
                <w:noProof/>
                <w:webHidden/>
              </w:rPr>
              <w:fldChar w:fldCharType="separate"/>
            </w:r>
            <w:r>
              <w:rPr>
                <w:noProof/>
                <w:webHidden/>
              </w:rPr>
              <w:t>76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91" w:history="1">
            <w:r w:rsidRPr="00E82DAD">
              <w:rPr>
                <w:rStyle w:val="Hyperlink"/>
                <w:noProof/>
              </w:rPr>
              <w:t>3.2.1</w:t>
            </w:r>
            <w:r>
              <w:rPr>
                <w:rFonts w:eastAsiaTheme="minorEastAsia"/>
                <w:noProof/>
                <w:lang w:eastAsia="en-GB"/>
              </w:rPr>
              <w:tab/>
            </w:r>
            <w:r w:rsidRPr="00E82DAD">
              <w:rPr>
                <w:rStyle w:val="Hyperlink"/>
                <w:noProof/>
              </w:rPr>
              <w:t>Binding modes</w:t>
            </w:r>
            <w:r>
              <w:rPr>
                <w:noProof/>
                <w:webHidden/>
              </w:rPr>
              <w:tab/>
            </w:r>
            <w:r>
              <w:rPr>
                <w:noProof/>
                <w:webHidden/>
              </w:rPr>
              <w:fldChar w:fldCharType="begin"/>
            </w:r>
            <w:r>
              <w:rPr>
                <w:noProof/>
                <w:webHidden/>
              </w:rPr>
              <w:instrText xml:space="preserve"> PAGEREF _Toc459130691 \h </w:instrText>
            </w:r>
            <w:r>
              <w:rPr>
                <w:noProof/>
                <w:webHidden/>
              </w:rPr>
            </w:r>
            <w:r>
              <w:rPr>
                <w:noProof/>
                <w:webHidden/>
              </w:rPr>
              <w:fldChar w:fldCharType="separate"/>
            </w:r>
            <w:r>
              <w:rPr>
                <w:noProof/>
                <w:webHidden/>
              </w:rPr>
              <w:t>81</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692" w:history="1">
            <w:r w:rsidRPr="00E82DAD">
              <w:rPr>
                <w:rStyle w:val="Hyperlink"/>
                <w:rFonts w:ascii="Times New Roman" w:hAnsi="Times New Roman" w:cs="Times New Roman"/>
                <w:noProof/>
                <w:snapToGrid w:val="0"/>
                <w:w w:val="0"/>
              </w:rPr>
              <w:t>3.3</w:t>
            </w:r>
            <w:r>
              <w:rPr>
                <w:noProof/>
                <w:lang w:val="en-GB" w:eastAsia="en-GB"/>
              </w:rPr>
              <w:tab/>
            </w:r>
            <w:r w:rsidRPr="00E82DAD">
              <w:rPr>
                <w:rStyle w:val="Hyperlink"/>
                <w:noProof/>
              </w:rPr>
              <w:t>Materials and Methods</w:t>
            </w:r>
            <w:r>
              <w:rPr>
                <w:noProof/>
                <w:webHidden/>
              </w:rPr>
              <w:tab/>
            </w:r>
            <w:r>
              <w:rPr>
                <w:noProof/>
                <w:webHidden/>
              </w:rPr>
              <w:fldChar w:fldCharType="begin"/>
            </w:r>
            <w:r>
              <w:rPr>
                <w:noProof/>
                <w:webHidden/>
              </w:rPr>
              <w:instrText xml:space="preserve"> PAGEREF _Toc459130692 \h </w:instrText>
            </w:r>
            <w:r>
              <w:rPr>
                <w:noProof/>
                <w:webHidden/>
              </w:rPr>
            </w:r>
            <w:r>
              <w:rPr>
                <w:noProof/>
                <w:webHidden/>
              </w:rPr>
              <w:fldChar w:fldCharType="separate"/>
            </w:r>
            <w:r>
              <w:rPr>
                <w:noProof/>
                <w:webHidden/>
              </w:rPr>
              <w:t>86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93" w:history="1">
            <w:r w:rsidRPr="00E82DAD">
              <w:rPr>
                <w:rStyle w:val="Hyperlink"/>
                <w:noProof/>
              </w:rPr>
              <w:t>3.3.1</w:t>
            </w:r>
            <w:r>
              <w:rPr>
                <w:rFonts w:eastAsiaTheme="minorEastAsia"/>
                <w:noProof/>
                <w:lang w:eastAsia="en-GB"/>
              </w:rPr>
              <w:tab/>
            </w:r>
            <w:r w:rsidRPr="00E82DAD">
              <w:rPr>
                <w:rStyle w:val="Hyperlink"/>
                <w:noProof/>
              </w:rPr>
              <w:t>Chemicals and Materials</w:t>
            </w:r>
            <w:r>
              <w:rPr>
                <w:noProof/>
                <w:webHidden/>
              </w:rPr>
              <w:tab/>
            </w:r>
            <w:r>
              <w:rPr>
                <w:noProof/>
                <w:webHidden/>
              </w:rPr>
              <w:fldChar w:fldCharType="begin"/>
            </w:r>
            <w:r>
              <w:rPr>
                <w:noProof/>
                <w:webHidden/>
              </w:rPr>
              <w:instrText xml:space="preserve"> PAGEREF _Toc459130693 \h </w:instrText>
            </w:r>
            <w:r>
              <w:rPr>
                <w:noProof/>
                <w:webHidden/>
              </w:rPr>
            </w:r>
            <w:r>
              <w:rPr>
                <w:noProof/>
                <w:webHidden/>
              </w:rPr>
              <w:fldChar w:fldCharType="separate"/>
            </w:r>
            <w:r>
              <w:rPr>
                <w:noProof/>
                <w:webHidden/>
              </w:rPr>
              <w:t>86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94" w:history="1">
            <w:r w:rsidRPr="00E82DAD">
              <w:rPr>
                <w:rStyle w:val="Hyperlink"/>
                <w:noProof/>
              </w:rPr>
              <w:t>3.3.2</w:t>
            </w:r>
            <w:r>
              <w:rPr>
                <w:rFonts w:eastAsiaTheme="minorEastAsia"/>
                <w:noProof/>
                <w:lang w:eastAsia="en-GB"/>
              </w:rPr>
              <w:tab/>
            </w:r>
            <w:r w:rsidRPr="00E82DAD">
              <w:rPr>
                <w:rStyle w:val="Hyperlink"/>
                <w:noProof/>
              </w:rPr>
              <w:t>Isothermal Titration Calorimetry (Fatty Acid Free BSA-Tannic Acid Interactions)</w:t>
            </w:r>
            <w:r>
              <w:rPr>
                <w:noProof/>
                <w:webHidden/>
              </w:rPr>
              <w:tab/>
            </w:r>
            <w:r>
              <w:rPr>
                <w:noProof/>
                <w:webHidden/>
              </w:rPr>
              <w:fldChar w:fldCharType="begin"/>
            </w:r>
            <w:r>
              <w:rPr>
                <w:noProof/>
                <w:webHidden/>
              </w:rPr>
              <w:instrText xml:space="preserve"> PAGEREF _Toc459130694 \h </w:instrText>
            </w:r>
            <w:r>
              <w:rPr>
                <w:noProof/>
                <w:webHidden/>
              </w:rPr>
            </w:r>
            <w:r>
              <w:rPr>
                <w:noProof/>
                <w:webHidden/>
              </w:rPr>
              <w:fldChar w:fldCharType="separate"/>
            </w:r>
            <w:r>
              <w:rPr>
                <w:noProof/>
                <w:webHidden/>
              </w:rPr>
              <w:t>86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95" w:history="1">
            <w:r w:rsidRPr="00E82DAD">
              <w:rPr>
                <w:rStyle w:val="Hyperlink"/>
                <w:noProof/>
              </w:rPr>
              <w:t>3.3.3</w:t>
            </w:r>
            <w:r>
              <w:rPr>
                <w:rFonts w:eastAsiaTheme="minorEastAsia"/>
                <w:noProof/>
                <w:lang w:eastAsia="en-GB"/>
              </w:rPr>
              <w:tab/>
            </w:r>
            <w:r w:rsidRPr="00E82DAD">
              <w:rPr>
                <w:rStyle w:val="Hyperlink"/>
                <w:noProof/>
              </w:rPr>
              <w:t>Isothermal Titration Calorimetry (Polyproline-Tannic Acid Interactions)</w:t>
            </w:r>
            <w:r>
              <w:rPr>
                <w:noProof/>
                <w:webHidden/>
              </w:rPr>
              <w:tab/>
            </w:r>
            <w:r>
              <w:rPr>
                <w:noProof/>
                <w:webHidden/>
              </w:rPr>
              <w:fldChar w:fldCharType="begin"/>
            </w:r>
            <w:r>
              <w:rPr>
                <w:noProof/>
                <w:webHidden/>
              </w:rPr>
              <w:instrText xml:space="preserve"> PAGEREF _Toc459130695 \h </w:instrText>
            </w:r>
            <w:r>
              <w:rPr>
                <w:noProof/>
                <w:webHidden/>
              </w:rPr>
            </w:r>
            <w:r>
              <w:rPr>
                <w:noProof/>
                <w:webHidden/>
              </w:rPr>
              <w:fldChar w:fldCharType="separate"/>
            </w:r>
            <w:r>
              <w:rPr>
                <w:noProof/>
                <w:webHidden/>
              </w:rPr>
              <w:t>87</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96" w:history="1">
            <w:r w:rsidRPr="00E82DAD">
              <w:rPr>
                <w:rStyle w:val="Hyperlink"/>
                <w:noProof/>
              </w:rPr>
              <w:t>3.3.4</w:t>
            </w:r>
            <w:r>
              <w:rPr>
                <w:rFonts w:eastAsiaTheme="minorEastAsia"/>
                <w:noProof/>
                <w:lang w:eastAsia="en-GB"/>
              </w:rPr>
              <w:tab/>
            </w:r>
            <w:r w:rsidRPr="00E82DAD">
              <w:rPr>
                <w:rStyle w:val="Hyperlink"/>
                <w:noProof/>
              </w:rPr>
              <w:t>Isothermal Titration Calorimetry (Polyproline-Proanthocyanidin Interactions)</w:t>
            </w:r>
            <w:r>
              <w:rPr>
                <w:noProof/>
                <w:webHidden/>
              </w:rPr>
              <w:tab/>
            </w:r>
            <w:r>
              <w:rPr>
                <w:noProof/>
                <w:webHidden/>
              </w:rPr>
              <w:fldChar w:fldCharType="begin"/>
            </w:r>
            <w:r>
              <w:rPr>
                <w:noProof/>
                <w:webHidden/>
              </w:rPr>
              <w:instrText xml:space="preserve"> PAGEREF _Toc459130696 \h </w:instrText>
            </w:r>
            <w:r>
              <w:rPr>
                <w:noProof/>
                <w:webHidden/>
              </w:rPr>
            </w:r>
            <w:r>
              <w:rPr>
                <w:noProof/>
                <w:webHidden/>
              </w:rPr>
              <w:fldChar w:fldCharType="separate"/>
            </w:r>
            <w:r>
              <w:rPr>
                <w:noProof/>
                <w:webHidden/>
              </w:rPr>
              <w:t>87</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97" w:history="1">
            <w:r w:rsidRPr="00E82DAD">
              <w:rPr>
                <w:rStyle w:val="Hyperlink"/>
                <w:noProof/>
              </w:rPr>
              <w:t>3.3.5</w:t>
            </w:r>
            <w:r>
              <w:rPr>
                <w:rFonts w:eastAsiaTheme="minorEastAsia"/>
                <w:noProof/>
                <w:lang w:eastAsia="en-GB"/>
              </w:rPr>
              <w:tab/>
            </w:r>
            <w:r w:rsidRPr="00E82DAD">
              <w:rPr>
                <w:rStyle w:val="Hyperlink"/>
                <w:noProof/>
              </w:rPr>
              <w:t>Isothermal Titration Calorimetry (BSA-Proanthocyanidin Interactions)</w:t>
            </w:r>
            <w:r>
              <w:rPr>
                <w:noProof/>
                <w:webHidden/>
              </w:rPr>
              <w:tab/>
            </w:r>
            <w:r>
              <w:rPr>
                <w:noProof/>
                <w:webHidden/>
              </w:rPr>
              <w:fldChar w:fldCharType="begin"/>
            </w:r>
            <w:r>
              <w:rPr>
                <w:noProof/>
                <w:webHidden/>
              </w:rPr>
              <w:instrText xml:space="preserve"> PAGEREF _Toc459130697 \h </w:instrText>
            </w:r>
            <w:r>
              <w:rPr>
                <w:noProof/>
                <w:webHidden/>
              </w:rPr>
            </w:r>
            <w:r>
              <w:rPr>
                <w:noProof/>
                <w:webHidden/>
              </w:rPr>
              <w:fldChar w:fldCharType="separate"/>
            </w:r>
            <w:r>
              <w:rPr>
                <w:noProof/>
                <w:webHidden/>
              </w:rPr>
              <w:t>88</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98" w:history="1">
            <w:r w:rsidRPr="00E82DAD">
              <w:rPr>
                <w:rStyle w:val="Hyperlink"/>
                <w:noProof/>
              </w:rPr>
              <w:t>3.3.6</w:t>
            </w:r>
            <w:r>
              <w:rPr>
                <w:rFonts w:eastAsiaTheme="minorEastAsia"/>
                <w:noProof/>
                <w:lang w:eastAsia="en-GB"/>
              </w:rPr>
              <w:tab/>
            </w:r>
            <w:r w:rsidRPr="00E82DAD">
              <w:rPr>
                <w:rStyle w:val="Hyperlink"/>
                <w:noProof/>
              </w:rPr>
              <w:t>Isothermal Titration Calorimetry (BSA–Fatty Acid Interactions)</w:t>
            </w:r>
            <w:r>
              <w:rPr>
                <w:noProof/>
                <w:webHidden/>
              </w:rPr>
              <w:tab/>
            </w:r>
            <w:r>
              <w:rPr>
                <w:noProof/>
                <w:webHidden/>
              </w:rPr>
              <w:fldChar w:fldCharType="begin"/>
            </w:r>
            <w:r>
              <w:rPr>
                <w:noProof/>
                <w:webHidden/>
              </w:rPr>
              <w:instrText xml:space="preserve"> PAGEREF _Toc459130698 \h </w:instrText>
            </w:r>
            <w:r>
              <w:rPr>
                <w:noProof/>
                <w:webHidden/>
              </w:rPr>
            </w:r>
            <w:r>
              <w:rPr>
                <w:noProof/>
                <w:webHidden/>
              </w:rPr>
              <w:fldChar w:fldCharType="separate"/>
            </w:r>
            <w:r>
              <w:rPr>
                <w:noProof/>
                <w:webHidden/>
              </w:rPr>
              <w:t>88</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699" w:history="1">
            <w:r w:rsidRPr="00E82DAD">
              <w:rPr>
                <w:rStyle w:val="Hyperlink"/>
                <w:noProof/>
              </w:rPr>
              <w:t>3.3.7</w:t>
            </w:r>
            <w:r>
              <w:rPr>
                <w:rFonts w:eastAsiaTheme="minorEastAsia"/>
                <w:noProof/>
                <w:lang w:eastAsia="en-GB"/>
              </w:rPr>
              <w:tab/>
            </w:r>
            <w:r w:rsidRPr="00E82DAD">
              <w:rPr>
                <w:rStyle w:val="Hyperlink"/>
                <w:noProof/>
              </w:rPr>
              <w:t>Circular Dichroism Spectroscopy</w:t>
            </w:r>
            <w:r>
              <w:rPr>
                <w:noProof/>
                <w:webHidden/>
              </w:rPr>
              <w:tab/>
            </w:r>
            <w:r>
              <w:rPr>
                <w:noProof/>
                <w:webHidden/>
              </w:rPr>
              <w:fldChar w:fldCharType="begin"/>
            </w:r>
            <w:r>
              <w:rPr>
                <w:noProof/>
                <w:webHidden/>
              </w:rPr>
              <w:instrText xml:space="preserve"> PAGEREF _Toc459130699 \h </w:instrText>
            </w:r>
            <w:r>
              <w:rPr>
                <w:noProof/>
                <w:webHidden/>
              </w:rPr>
            </w:r>
            <w:r>
              <w:rPr>
                <w:noProof/>
                <w:webHidden/>
              </w:rPr>
              <w:fldChar w:fldCharType="separate"/>
            </w:r>
            <w:r>
              <w:rPr>
                <w:noProof/>
                <w:webHidden/>
              </w:rPr>
              <w:t>89</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00" w:history="1">
            <w:r w:rsidRPr="00E82DAD">
              <w:rPr>
                <w:rStyle w:val="Hyperlink"/>
                <w:noProof/>
              </w:rPr>
              <w:t>3.3.8</w:t>
            </w:r>
            <w:r>
              <w:rPr>
                <w:rFonts w:eastAsiaTheme="minorEastAsia"/>
                <w:noProof/>
                <w:lang w:eastAsia="en-GB"/>
              </w:rPr>
              <w:tab/>
            </w:r>
            <w:r w:rsidRPr="00E82DAD">
              <w:rPr>
                <w:rStyle w:val="Hyperlink"/>
                <w:noProof/>
              </w:rPr>
              <w:t>Nanoparticle Tracking Analysis</w:t>
            </w:r>
            <w:r>
              <w:rPr>
                <w:noProof/>
                <w:webHidden/>
              </w:rPr>
              <w:tab/>
            </w:r>
            <w:r>
              <w:rPr>
                <w:noProof/>
                <w:webHidden/>
              </w:rPr>
              <w:fldChar w:fldCharType="begin"/>
            </w:r>
            <w:r>
              <w:rPr>
                <w:noProof/>
                <w:webHidden/>
              </w:rPr>
              <w:instrText xml:space="preserve"> PAGEREF _Toc459130700 \h </w:instrText>
            </w:r>
            <w:r>
              <w:rPr>
                <w:noProof/>
                <w:webHidden/>
              </w:rPr>
            </w:r>
            <w:r>
              <w:rPr>
                <w:noProof/>
                <w:webHidden/>
              </w:rPr>
              <w:fldChar w:fldCharType="separate"/>
            </w:r>
            <w:r>
              <w:rPr>
                <w:noProof/>
                <w:webHidden/>
              </w:rPr>
              <w:t>89</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01" w:history="1">
            <w:r w:rsidRPr="00E82DAD">
              <w:rPr>
                <w:rStyle w:val="Hyperlink"/>
                <w:rFonts w:ascii="Times New Roman" w:hAnsi="Times New Roman" w:cs="Times New Roman"/>
                <w:noProof/>
                <w:snapToGrid w:val="0"/>
                <w:w w:val="0"/>
              </w:rPr>
              <w:t>3.4</w:t>
            </w:r>
            <w:r>
              <w:rPr>
                <w:noProof/>
                <w:lang w:val="en-GB" w:eastAsia="en-GB"/>
              </w:rPr>
              <w:tab/>
            </w:r>
            <w:r w:rsidRPr="00E82DAD">
              <w:rPr>
                <w:rStyle w:val="Hyperlink"/>
                <w:noProof/>
              </w:rPr>
              <w:t>Results and Discussion</w:t>
            </w:r>
            <w:r>
              <w:rPr>
                <w:noProof/>
                <w:webHidden/>
              </w:rPr>
              <w:tab/>
            </w:r>
            <w:r>
              <w:rPr>
                <w:noProof/>
                <w:webHidden/>
              </w:rPr>
              <w:fldChar w:fldCharType="begin"/>
            </w:r>
            <w:r>
              <w:rPr>
                <w:noProof/>
                <w:webHidden/>
              </w:rPr>
              <w:instrText xml:space="preserve"> PAGEREF _Toc459130701 \h </w:instrText>
            </w:r>
            <w:r>
              <w:rPr>
                <w:noProof/>
                <w:webHidden/>
              </w:rPr>
            </w:r>
            <w:r>
              <w:rPr>
                <w:noProof/>
                <w:webHidden/>
              </w:rPr>
              <w:fldChar w:fldCharType="separate"/>
            </w:r>
            <w:r>
              <w:rPr>
                <w:noProof/>
                <w:webHidden/>
              </w:rPr>
              <w:t>91</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02" w:history="1">
            <w:r w:rsidRPr="00E82DAD">
              <w:rPr>
                <w:rStyle w:val="Hyperlink"/>
                <w:noProof/>
              </w:rPr>
              <w:t>3.4.1</w:t>
            </w:r>
            <w:r>
              <w:rPr>
                <w:rFonts w:eastAsiaTheme="minorEastAsia"/>
                <w:noProof/>
                <w:lang w:eastAsia="en-GB"/>
              </w:rPr>
              <w:tab/>
            </w:r>
            <w:r w:rsidRPr="00E82DAD">
              <w:rPr>
                <w:rStyle w:val="Hyperlink"/>
                <w:noProof/>
              </w:rPr>
              <w:t>Tannic Acid Interactions with Bovine Serum Albumin</w:t>
            </w:r>
            <w:r>
              <w:rPr>
                <w:noProof/>
                <w:webHidden/>
              </w:rPr>
              <w:tab/>
            </w:r>
            <w:r>
              <w:rPr>
                <w:noProof/>
                <w:webHidden/>
              </w:rPr>
              <w:fldChar w:fldCharType="begin"/>
            </w:r>
            <w:r>
              <w:rPr>
                <w:noProof/>
                <w:webHidden/>
              </w:rPr>
              <w:instrText xml:space="preserve"> PAGEREF _Toc459130702 \h </w:instrText>
            </w:r>
            <w:r>
              <w:rPr>
                <w:noProof/>
                <w:webHidden/>
              </w:rPr>
            </w:r>
            <w:r>
              <w:rPr>
                <w:noProof/>
                <w:webHidden/>
              </w:rPr>
              <w:fldChar w:fldCharType="separate"/>
            </w:r>
            <w:r>
              <w:rPr>
                <w:noProof/>
                <w:webHidden/>
              </w:rPr>
              <w:t>91</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03" w:history="1">
            <w:r w:rsidRPr="00E82DAD">
              <w:rPr>
                <w:rStyle w:val="Hyperlink"/>
                <w:noProof/>
              </w:rPr>
              <w:t>3.4.2</w:t>
            </w:r>
            <w:r>
              <w:rPr>
                <w:rFonts w:eastAsiaTheme="minorEastAsia"/>
                <w:noProof/>
                <w:lang w:eastAsia="en-GB"/>
              </w:rPr>
              <w:tab/>
            </w:r>
            <w:r w:rsidRPr="00E82DAD">
              <w:rPr>
                <w:rStyle w:val="Hyperlink"/>
                <w:noProof/>
              </w:rPr>
              <w:t>Tannic Acid Interactions with Polyproline</w:t>
            </w:r>
            <w:r>
              <w:rPr>
                <w:noProof/>
                <w:webHidden/>
              </w:rPr>
              <w:tab/>
            </w:r>
            <w:r>
              <w:rPr>
                <w:noProof/>
                <w:webHidden/>
              </w:rPr>
              <w:fldChar w:fldCharType="begin"/>
            </w:r>
            <w:r>
              <w:rPr>
                <w:noProof/>
                <w:webHidden/>
              </w:rPr>
              <w:instrText xml:space="preserve"> PAGEREF _Toc459130703 \h </w:instrText>
            </w:r>
            <w:r>
              <w:rPr>
                <w:noProof/>
                <w:webHidden/>
              </w:rPr>
            </w:r>
            <w:r>
              <w:rPr>
                <w:noProof/>
                <w:webHidden/>
              </w:rPr>
              <w:fldChar w:fldCharType="separate"/>
            </w:r>
            <w:r>
              <w:rPr>
                <w:noProof/>
                <w:webHidden/>
              </w:rPr>
              <w:t>96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04" w:history="1">
            <w:r w:rsidRPr="00E82DAD">
              <w:rPr>
                <w:rStyle w:val="Hyperlink"/>
                <w:noProof/>
              </w:rPr>
              <w:t>3.4.3</w:t>
            </w:r>
            <w:r>
              <w:rPr>
                <w:rFonts w:eastAsiaTheme="minorEastAsia"/>
                <w:noProof/>
                <w:lang w:eastAsia="en-GB"/>
              </w:rPr>
              <w:tab/>
            </w:r>
            <w:r w:rsidRPr="00E82DAD">
              <w:rPr>
                <w:rStyle w:val="Hyperlink"/>
                <w:noProof/>
              </w:rPr>
              <w:t>Arguments against Positive Cooperativity</w:t>
            </w:r>
            <w:r>
              <w:rPr>
                <w:noProof/>
                <w:webHidden/>
              </w:rPr>
              <w:tab/>
            </w:r>
            <w:r>
              <w:rPr>
                <w:noProof/>
                <w:webHidden/>
              </w:rPr>
              <w:fldChar w:fldCharType="begin"/>
            </w:r>
            <w:r>
              <w:rPr>
                <w:noProof/>
                <w:webHidden/>
              </w:rPr>
              <w:instrText xml:space="preserve"> PAGEREF _Toc459130704 \h </w:instrText>
            </w:r>
            <w:r>
              <w:rPr>
                <w:noProof/>
                <w:webHidden/>
              </w:rPr>
            </w:r>
            <w:r>
              <w:rPr>
                <w:noProof/>
                <w:webHidden/>
              </w:rPr>
              <w:fldChar w:fldCharType="separate"/>
            </w:r>
            <w:r>
              <w:rPr>
                <w:noProof/>
                <w:webHidden/>
              </w:rPr>
              <w:t>105</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05" w:history="1">
            <w:r w:rsidRPr="00E82DAD">
              <w:rPr>
                <w:rStyle w:val="Hyperlink"/>
                <w:noProof/>
              </w:rPr>
              <w:t>3.4.4</w:t>
            </w:r>
            <w:r>
              <w:rPr>
                <w:rFonts w:eastAsiaTheme="minorEastAsia"/>
                <w:noProof/>
                <w:lang w:eastAsia="en-GB"/>
              </w:rPr>
              <w:tab/>
            </w:r>
            <w:r w:rsidRPr="00E82DAD">
              <w:rPr>
                <w:rStyle w:val="Hyperlink"/>
                <w:noProof/>
              </w:rPr>
              <w:t>Possible Mechanisms for the Change in the Thermodynamic Parameters at 10 and 25 °C</w:t>
            </w:r>
            <w:r>
              <w:rPr>
                <w:noProof/>
                <w:webHidden/>
              </w:rPr>
              <w:tab/>
            </w:r>
            <w:r>
              <w:rPr>
                <w:noProof/>
                <w:webHidden/>
              </w:rPr>
              <w:fldChar w:fldCharType="begin"/>
            </w:r>
            <w:r>
              <w:rPr>
                <w:noProof/>
                <w:webHidden/>
              </w:rPr>
              <w:instrText xml:space="preserve"> PAGEREF _Toc459130705 \h </w:instrText>
            </w:r>
            <w:r>
              <w:rPr>
                <w:noProof/>
                <w:webHidden/>
              </w:rPr>
            </w:r>
            <w:r>
              <w:rPr>
                <w:noProof/>
                <w:webHidden/>
              </w:rPr>
              <w:fldChar w:fldCharType="separate"/>
            </w:r>
            <w:r>
              <w:rPr>
                <w:noProof/>
                <w:webHidden/>
              </w:rPr>
              <w:t>106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06" w:history="1">
            <w:r w:rsidRPr="00E82DAD">
              <w:rPr>
                <w:rStyle w:val="Hyperlink"/>
                <w:noProof/>
              </w:rPr>
              <w:t>3.4.5</w:t>
            </w:r>
            <w:r>
              <w:rPr>
                <w:rFonts w:eastAsiaTheme="minorEastAsia"/>
                <w:noProof/>
                <w:lang w:eastAsia="en-GB"/>
              </w:rPr>
              <w:tab/>
            </w:r>
            <w:r w:rsidRPr="00E82DAD">
              <w:rPr>
                <w:rStyle w:val="Hyperlink"/>
                <w:noProof/>
              </w:rPr>
              <w:t>Tetrameric Proanthocyanidin Interactions with Polyproline</w:t>
            </w:r>
            <w:r>
              <w:rPr>
                <w:noProof/>
                <w:webHidden/>
              </w:rPr>
              <w:tab/>
            </w:r>
            <w:r>
              <w:rPr>
                <w:noProof/>
                <w:webHidden/>
              </w:rPr>
              <w:fldChar w:fldCharType="begin"/>
            </w:r>
            <w:r>
              <w:rPr>
                <w:noProof/>
                <w:webHidden/>
              </w:rPr>
              <w:instrText xml:space="preserve"> PAGEREF _Toc459130706 \h </w:instrText>
            </w:r>
            <w:r>
              <w:rPr>
                <w:noProof/>
                <w:webHidden/>
              </w:rPr>
            </w:r>
            <w:r>
              <w:rPr>
                <w:noProof/>
                <w:webHidden/>
              </w:rPr>
              <w:fldChar w:fldCharType="separate"/>
            </w:r>
            <w:r>
              <w:rPr>
                <w:noProof/>
                <w:webHidden/>
              </w:rPr>
              <w:t>110</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07" w:history="1">
            <w:r w:rsidRPr="00E82DAD">
              <w:rPr>
                <w:rStyle w:val="Hyperlink"/>
                <w:noProof/>
              </w:rPr>
              <w:t>3.4.6</w:t>
            </w:r>
            <w:r>
              <w:rPr>
                <w:rFonts w:eastAsiaTheme="minorEastAsia"/>
                <w:noProof/>
                <w:lang w:eastAsia="en-GB"/>
              </w:rPr>
              <w:tab/>
            </w:r>
            <w:r w:rsidRPr="00E82DAD">
              <w:rPr>
                <w:rStyle w:val="Hyperlink"/>
                <w:noProof/>
              </w:rPr>
              <w:t>Octomeric Proanthocyanidin Interactions with Bovine Serum Albumin</w:t>
            </w:r>
            <w:r>
              <w:rPr>
                <w:noProof/>
                <w:webHidden/>
              </w:rPr>
              <w:tab/>
            </w:r>
            <w:r>
              <w:rPr>
                <w:noProof/>
                <w:webHidden/>
              </w:rPr>
              <w:fldChar w:fldCharType="begin"/>
            </w:r>
            <w:r>
              <w:rPr>
                <w:noProof/>
                <w:webHidden/>
              </w:rPr>
              <w:instrText xml:space="preserve"> PAGEREF _Toc459130707 \h </w:instrText>
            </w:r>
            <w:r>
              <w:rPr>
                <w:noProof/>
                <w:webHidden/>
              </w:rPr>
            </w:r>
            <w:r>
              <w:rPr>
                <w:noProof/>
                <w:webHidden/>
              </w:rPr>
              <w:fldChar w:fldCharType="separate"/>
            </w:r>
            <w:r>
              <w:rPr>
                <w:noProof/>
                <w:webHidden/>
              </w:rPr>
              <w:t>115</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08" w:history="1">
            <w:r w:rsidRPr="00E82DAD">
              <w:rPr>
                <w:rStyle w:val="Hyperlink"/>
                <w:noProof/>
              </w:rPr>
              <w:t>3.4.7</w:t>
            </w:r>
            <w:r>
              <w:rPr>
                <w:rFonts w:eastAsiaTheme="minorEastAsia"/>
                <w:noProof/>
                <w:lang w:eastAsia="en-GB"/>
              </w:rPr>
              <w:tab/>
            </w:r>
            <w:r w:rsidRPr="00E82DAD">
              <w:rPr>
                <w:rStyle w:val="Hyperlink"/>
                <w:noProof/>
              </w:rPr>
              <w:t>Probing Hydrophobic Interaction with Salts</w:t>
            </w:r>
            <w:r>
              <w:rPr>
                <w:noProof/>
                <w:webHidden/>
              </w:rPr>
              <w:tab/>
            </w:r>
            <w:r>
              <w:rPr>
                <w:noProof/>
                <w:webHidden/>
              </w:rPr>
              <w:fldChar w:fldCharType="begin"/>
            </w:r>
            <w:r>
              <w:rPr>
                <w:noProof/>
                <w:webHidden/>
              </w:rPr>
              <w:instrText xml:space="preserve"> PAGEREF _Toc459130708 \h </w:instrText>
            </w:r>
            <w:r>
              <w:rPr>
                <w:noProof/>
                <w:webHidden/>
              </w:rPr>
            </w:r>
            <w:r>
              <w:rPr>
                <w:noProof/>
                <w:webHidden/>
              </w:rPr>
              <w:fldChar w:fldCharType="separate"/>
            </w:r>
            <w:r>
              <w:rPr>
                <w:noProof/>
                <w:webHidden/>
              </w:rPr>
              <w:t>120</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09" w:history="1">
            <w:r w:rsidRPr="00E82DAD">
              <w:rPr>
                <w:rStyle w:val="Hyperlink"/>
                <w:rFonts w:ascii="Times New Roman" w:hAnsi="Times New Roman" w:cs="Times New Roman"/>
                <w:noProof/>
                <w:snapToGrid w:val="0"/>
                <w:w w:val="0"/>
              </w:rPr>
              <w:t>3.5</w:t>
            </w:r>
            <w:r>
              <w:rPr>
                <w:noProof/>
                <w:lang w:val="en-GB" w:eastAsia="en-GB"/>
              </w:rPr>
              <w:tab/>
            </w:r>
            <w:r w:rsidRPr="00E82DAD">
              <w:rPr>
                <w:rStyle w:val="Hyperlink"/>
                <w:noProof/>
              </w:rPr>
              <w:t>Conclusion</w:t>
            </w:r>
            <w:r>
              <w:rPr>
                <w:noProof/>
                <w:webHidden/>
              </w:rPr>
              <w:tab/>
            </w:r>
            <w:r>
              <w:rPr>
                <w:noProof/>
                <w:webHidden/>
              </w:rPr>
              <w:fldChar w:fldCharType="begin"/>
            </w:r>
            <w:r>
              <w:rPr>
                <w:noProof/>
                <w:webHidden/>
              </w:rPr>
              <w:instrText xml:space="preserve"> PAGEREF _Toc459130709 \h </w:instrText>
            </w:r>
            <w:r>
              <w:rPr>
                <w:noProof/>
                <w:webHidden/>
              </w:rPr>
            </w:r>
            <w:r>
              <w:rPr>
                <w:noProof/>
                <w:webHidden/>
              </w:rPr>
              <w:fldChar w:fldCharType="separate"/>
            </w:r>
            <w:r>
              <w:rPr>
                <w:noProof/>
                <w:webHidden/>
              </w:rPr>
              <w:t>131</w:t>
            </w:r>
            <w:r>
              <w:rPr>
                <w:noProof/>
                <w:webHidden/>
              </w:rPr>
              <w:fldChar w:fldCharType="end"/>
            </w:r>
          </w:hyperlink>
        </w:p>
        <w:p w:rsidR="00610E48" w:rsidRDefault="00610E48">
          <w:pPr>
            <w:pStyle w:val="TOC1"/>
            <w:tabs>
              <w:tab w:val="left" w:pos="440"/>
            </w:tabs>
            <w:rPr>
              <w:rFonts w:eastAsiaTheme="minorEastAsia"/>
              <w:noProof/>
              <w:lang w:eastAsia="en-GB"/>
            </w:rPr>
          </w:pPr>
          <w:hyperlink w:anchor="_Toc459130710" w:history="1">
            <w:r w:rsidRPr="00E82DAD">
              <w:rPr>
                <w:rStyle w:val="Hyperlink"/>
                <w:noProof/>
              </w:rPr>
              <w:t>4</w:t>
            </w:r>
            <w:r>
              <w:rPr>
                <w:rFonts w:eastAsiaTheme="minorEastAsia"/>
                <w:noProof/>
                <w:lang w:eastAsia="en-GB"/>
              </w:rPr>
              <w:tab/>
            </w:r>
            <w:r w:rsidRPr="00E82DAD">
              <w:rPr>
                <w:rStyle w:val="Hyperlink"/>
                <w:noProof/>
              </w:rPr>
              <w:t>Chapter 4: An Isothermal Titration Calorimetry Study of a Multisite – Electrostatic Binding Interaction between Lysozyme and Phytate</w:t>
            </w:r>
            <w:r>
              <w:rPr>
                <w:noProof/>
                <w:webHidden/>
              </w:rPr>
              <w:tab/>
            </w:r>
            <w:r>
              <w:rPr>
                <w:noProof/>
                <w:webHidden/>
              </w:rPr>
              <w:fldChar w:fldCharType="begin"/>
            </w:r>
            <w:r>
              <w:rPr>
                <w:noProof/>
                <w:webHidden/>
              </w:rPr>
              <w:instrText xml:space="preserve"> PAGEREF _Toc459130710 \h </w:instrText>
            </w:r>
            <w:r>
              <w:rPr>
                <w:noProof/>
                <w:webHidden/>
              </w:rPr>
            </w:r>
            <w:r>
              <w:rPr>
                <w:noProof/>
                <w:webHidden/>
              </w:rPr>
              <w:fldChar w:fldCharType="separate"/>
            </w:r>
            <w:r>
              <w:rPr>
                <w:noProof/>
                <w:webHidden/>
              </w:rPr>
              <w:t>133</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11" w:history="1">
            <w:r w:rsidRPr="00E82DAD">
              <w:rPr>
                <w:rStyle w:val="Hyperlink"/>
                <w:rFonts w:ascii="Times New Roman" w:hAnsi="Times New Roman" w:cs="Times New Roman"/>
                <w:noProof/>
                <w:snapToGrid w:val="0"/>
                <w:w w:val="0"/>
              </w:rPr>
              <w:t>4.1</w:t>
            </w:r>
            <w:r>
              <w:rPr>
                <w:noProof/>
                <w:lang w:val="en-GB" w:eastAsia="en-GB"/>
              </w:rPr>
              <w:tab/>
            </w:r>
            <w:r w:rsidRPr="00E82DAD">
              <w:rPr>
                <w:rStyle w:val="Hyperlink"/>
                <w:noProof/>
              </w:rPr>
              <w:t>Summary</w:t>
            </w:r>
            <w:r>
              <w:rPr>
                <w:noProof/>
                <w:webHidden/>
              </w:rPr>
              <w:tab/>
            </w:r>
            <w:r>
              <w:rPr>
                <w:noProof/>
                <w:webHidden/>
              </w:rPr>
              <w:fldChar w:fldCharType="begin"/>
            </w:r>
            <w:r>
              <w:rPr>
                <w:noProof/>
                <w:webHidden/>
              </w:rPr>
              <w:instrText xml:space="preserve"> PAGEREF _Toc459130711 \h </w:instrText>
            </w:r>
            <w:r>
              <w:rPr>
                <w:noProof/>
                <w:webHidden/>
              </w:rPr>
            </w:r>
            <w:r>
              <w:rPr>
                <w:noProof/>
                <w:webHidden/>
              </w:rPr>
              <w:fldChar w:fldCharType="separate"/>
            </w:r>
            <w:r>
              <w:rPr>
                <w:noProof/>
                <w:webHidden/>
              </w:rPr>
              <w:t>134</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12" w:history="1">
            <w:r w:rsidRPr="00E82DAD">
              <w:rPr>
                <w:rStyle w:val="Hyperlink"/>
                <w:rFonts w:ascii="Times New Roman" w:hAnsi="Times New Roman" w:cs="Times New Roman"/>
                <w:noProof/>
                <w:snapToGrid w:val="0"/>
                <w:w w:val="0"/>
              </w:rPr>
              <w:t>4.2</w:t>
            </w:r>
            <w:r>
              <w:rPr>
                <w:noProof/>
                <w:lang w:val="en-GB" w:eastAsia="en-GB"/>
              </w:rPr>
              <w:tab/>
            </w:r>
            <w:r w:rsidRPr="00E82DAD">
              <w:rPr>
                <w:rStyle w:val="Hyperlink"/>
                <w:noProof/>
              </w:rPr>
              <w:t>Introduction</w:t>
            </w:r>
            <w:r>
              <w:rPr>
                <w:noProof/>
                <w:webHidden/>
              </w:rPr>
              <w:tab/>
            </w:r>
            <w:r>
              <w:rPr>
                <w:noProof/>
                <w:webHidden/>
              </w:rPr>
              <w:fldChar w:fldCharType="begin"/>
            </w:r>
            <w:r>
              <w:rPr>
                <w:noProof/>
                <w:webHidden/>
              </w:rPr>
              <w:instrText xml:space="preserve"> PAGEREF _Toc459130712 \h </w:instrText>
            </w:r>
            <w:r>
              <w:rPr>
                <w:noProof/>
                <w:webHidden/>
              </w:rPr>
            </w:r>
            <w:r>
              <w:rPr>
                <w:noProof/>
                <w:webHidden/>
              </w:rPr>
              <w:fldChar w:fldCharType="separate"/>
            </w:r>
            <w:r>
              <w:rPr>
                <w:noProof/>
                <w:webHidden/>
              </w:rPr>
              <w:t>136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13" w:history="1">
            <w:r w:rsidRPr="00E82DAD">
              <w:rPr>
                <w:rStyle w:val="Hyperlink"/>
                <w:noProof/>
              </w:rPr>
              <w:t>4.2.1</w:t>
            </w:r>
            <w:r>
              <w:rPr>
                <w:rFonts w:eastAsiaTheme="minorEastAsia"/>
                <w:noProof/>
                <w:lang w:eastAsia="en-GB"/>
              </w:rPr>
              <w:tab/>
            </w:r>
            <w:r w:rsidRPr="00E82DAD">
              <w:rPr>
                <w:rStyle w:val="Hyperlink"/>
                <w:noProof/>
              </w:rPr>
              <w:t>Phytate</w:t>
            </w:r>
            <w:r>
              <w:rPr>
                <w:noProof/>
                <w:webHidden/>
              </w:rPr>
              <w:tab/>
            </w:r>
            <w:r>
              <w:rPr>
                <w:noProof/>
                <w:webHidden/>
              </w:rPr>
              <w:fldChar w:fldCharType="begin"/>
            </w:r>
            <w:r>
              <w:rPr>
                <w:noProof/>
                <w:webHidden/>
              </w:rPr>
              <w:instrText xml:space="preserve"> PAGEREF _Toc459130713 \h </w:instrText>
            </w:r>
            <w:r>
              <w:rPr>
                <w:noProof/>
                <w:webHidden/>
              </w:rPr>
            </w:r>
            <w:r>
              <w:rPr>
                <w:noProof/>
                <w:webHidden/>
              </w:rPr>
              <w:fldChar w:fldCharType="separate"/>
            </w:r>
            <w:r>
              <w:rPr>
                <w:noProof/>
                <w:webHidden/>
              </w:rPr>
              <w:t>136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14" w:history="1">
            <w:r w:rsidRPr="00E82DAD">
              <w:rPr>
                <w:rStyle w:val="Hyperlink"/>
                <w:noProof/>
              </w:rPr>
              <w:t>4.2.2</w:t>
            </w:r>
            <w:r>
              <w:rPr>
                <w:rFonts w:eastAsiaTheme="minorEastAsia"/>
                <w:noProof/>
                <w:lang w:eastAsia="en-GB"/>
              </w:rPr>
              <w:tab/>
            </w:r>
            <w:r w:rsidRPr="00E82DAD">
              <w:rPr>
                <w:rStyle w:val="Hyperlink"/>
                <w:noProof/>
              </w:rPr>
              <w:t>Binding Modes</w:t>
            </w:r>
            <w:r>
              <w:rPr>
                <w:noProof/>
                <w:webHidden/>
              </w:rPr>
              <w:tab/>
            </w:r>
            <w:r>
              <w:rPr>
                <w:noProof/>
                <w:webHidden/>
              </w:rPr>
              <w:fldChar w:fldCharType="begin"/>
            </w:r>
            <w:r>
              <w:rPr>
                <w:noProof/>
                <w:webHidden/>
              </w:rPr>
              <w:instrText xml:space="preserve"> PAGEREF _Toc459130714 \h </w:instrText>
            </w:r>
            <w:r>
              <w:rPr>
                <w:noProof/>
                <w:webHidden/>
              </w:rPr>
            </w:r>
            <w:r>
              <w:rPr>
                <w:noProof/>
                <w:webHidden/>
              </w:rPr>
              <w:fldChar w:fldCharType="separate"/>
            </w:r>
            <w:r>
              <w:rPr>
                <w:noProof/>
                <w:webHidden/>
              </w:rPr>
              <w:t>139</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15" w:history="1">
            <w:r w:rsidRPr="00E82DAD">
              <w:rPr>
                <w:rStyle w:val="Hyperlink"/>
                <w:rFonts w:ascii="Times New Roman" w:hAnsi="Times New Roman" w:cs="Times New Roman"/>
                <w:noProof/>
                <w:snapToGrid w:val="0"/>
                <w:w w:val="0"/>
              </w:rPr>
              <w:t>4.3</w:t>
            </w:r>
            <w:r>
              <w:rPr>
                <w:noProof/>
                <w:lang w:val="en-GB" w:eastAsia="en-GB"/>
              </w:rPr>
              <w:tab/>
            </w:r>
            <w:r w:rsidRPr="00E82DAD">
              <w:rPr>
                <w:rStyle w:val="Hyperlink"/>
                <w:noProof/>
              </w:rPr>
              <w:t>Materials and Methods</w:t>
            </w:r>
            <w:r>
              <w:rPr>
                <w:noProof/>
                <w:webHidden/>
              </w:rPr>
              <w:tab/>
            </w:r>
            <w:r>
              <w:rPr>
                <w:noProof/>
                <w:webHidden/>
              </w:rPr>
              <w:fldChar w:fldCharType="begin"/>
            </w:r>
            <w:r>
              <w:rPr>
                <w:noProof/>
                <w:webHidden/>
              </w:rPr>
              <w:instrText xml:space="preserve"> PAGEREF _Toc459130715 \h </w:instrText>
            </w:r>
            <w:r>
              <w:rPr>
                <w:noProof/>
                <w:webHidden/>
              </w:rPr>
            </w:r>
            <w:r>
              <w:rPr>
                <w:noProof/>
                <w:webHidden/>
              </w:rPr>
              <w:fldChar w:fldCharType="separate"/>
            </w:r>
            <w:r>
              <w:rPr>
                <w:noProof/>
                <w:webHidden/>
              </w:rPr>
              <w:t>140</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16" w:history="1">
            <w:r w:rsidRPr="00E82DAD">
              <w:rPr>
                <w:rStyle w:val="Hyperlink"/>
                <w:noProof/>
                <w:lang w:val="en-US"/>
              </w:rPr>
              <w:t>4.3.1</w:t>
            </w:r>
            <w:r>
              <w:rPr>
                <w:rFonts w:eastAsiaTheme="minorEastAsia"/>
                <w:noProof/>
                <w:lang w:eastAsia="en-GB"/>
              </w:rPr>
              <w:tab/>
            </w:r>
            <w:r w:rsidRPr="00E82DAD">
              <w:rPr>
                <w:rStyle w:val="Hyperlink"/>
                <w:noProof/>
                <w:lang w:val="en-US"/>
              </w:rPr>
              <w:t>Chemicals and Materials</w:t>
            </w:r>
            <w:r>
              <w:rPr>
                <w:noProof/>
                <w:webHidden/>
              </w:rPr>
              <w:tab/>
            </w:r>
            <w:r>
              <w:rPr>
                <w:noProof/>
                <w:webHidden/>
              </w:rPr>
              <w:fldChar w:fldCharType="begin"/>
            </w:r>
            <w:r>
              <w:rPr>
                <w:noProof/>
                <w:webHidden/>
              </w:rPr>
              <w:instrText xml:space="preserve"> PAGEREF _Toc459130716 \h </w:instrText>
            </w:r>
            <w:r>
              <w:rPr>
                <w:noProof/>
                <w:webHidden/>
              </w:rPr>
            </w:r>
            <w:r>
              <w:rPr>
                <w:noProof/>
                <w:webHidden/>
              </w:rPr>
              <w:fldChar w:fldCharType="separate"/>
            </w:r>
            <w:r>
              <w:rPr>
                <w:noProof/>
                <w:webHidden/>
              </w:rPr>
              <w:t>140</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17" w:history="1">
            <w:r w:rsidRPr="00E82DAD">
              <w:rPr>
                <w:rStyle w:val="Hyperlink"/>
                <w:noProof/>
              </w:rPr>
              <w:t>4.3.2</w:t>
            </w:r>
            <w:r>
              <w:rPr>
                <w:rFonts w:eastAsiaTheme="minorEastAsia"/>
                <w:noProof/>
                <w:lang w:eastAsia="en-GB"/>
              </w:rPr>
              <w:tab/>
            </w:r>
            <w:r w:rsidRPr="00E82DAD">
              <w:rPr>
                <w:rStyle w:val="Hyperlink"/>
                <w:noProof/>
              </w:rPr>
              <w:t>Isothermal Titration Calorimetry</w:t>
            </w:r>
            <w:r>
              <w:rPr>
                <w:noProof/>
                <w:webHidden/>
              </w:rPr>
              <w:tab/>
            </w:r>
            <w:r>
              <w:rPr>
                <w:noProof/>
                <w:webHidden/>
              </w:rPr>
              <w:fldChar w:fldCharType="begin"/>
            </w:r>
            <w:r>
              <w:rPr>
                <w:noProof/>
                <w:webHidden/>
              </w:rPr>
              <w:instrText xml:space="preserve"> PAGEREF _Toc459130717 \h </w:instrText>
            </w:r>
            <w:r>
              <w:rPr>
                <w:noProof/>
                <w:webHidden/>
              </w:rPr>
            </w:r>
            <w:r>
              <w:rPr>
                <w:noProof/>
                <w:webHidden/>
              </w:rPr>
              <w:fldChar w:fldCharType="separate"/>
            </w:r>
            <w:r>
              <w:rPr>
                <w:noProof/>
                <w:webHidden/>
              </w:rPr>
              <w:t>141</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18" w:history="1">
            <w:r w:rsidRPr="00E82DAD">
              <w:rPr>
                <w:rStyle w:val="Hyperlink"/>
                <w:noProof/>
              </w:rPr>
              <w:t>4.3.3</w:t>
            </w:r>
            <w:r>
              <w:rPr>
                <w:rFonts w:eastAsiaTheme="minorEastAsia"/>
                <w:noProof/>
                <w:lang w:eastAsia="en-GB"/>
              </w:rPr>
              <w:tab/>
            </w:r>
            <w:r w:rsidRPr="00E82DAD">
              <w:rPr>
                <w:rStyle w:val="Hyperlink"/>
                <w:noProof/>
              </w:rPr>
              <w:t>Nanoparticle Tracking Analysis</w:t>
            </w:r>
            <w:r>
              <w:rPr>
                <w:noProof/>
                <w:webHidden/>
              </w:rPr>
              <w:tab/>
            </w:r>
            <w:r>
              <w:rPr>
                <w:noProof/>
                <w:webHidden/>
              </w:rPr>
              <w:fldChar w:fldCharType="begin"/>
            </w:r>
            <w:r>
              <w:rPr>
                <w:noProof/>
                <w:webHidden/>
              </w:rPr>
              <w:instrText xml:space="preserve"> PAGEREF _Toc459130718 \h </w:instrText>
            </w:r>
            <w:r>
              <w:rPr>
                <w:noProof/>
                <w:webHidden/>
              </w:rPr>
            </w:r>
            <w:r>
              <w:rPr>
                <w:noProof/>
                <w:webHidden/>
              </w:rPr>
              <w:fldChar w:fldCharType="separate"/>
            </w:r>
            <w:r>
              <w:rPr>
                <w:noProof/>
                <w:webHidden/>
              </w:rPr>
              <w:t>141</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19" w:history="1">
            <w:r w:rsidRPr="00E82DAD">
              <w:rPr>
                <w:rStyle w:val="Hyperlink"/>
                <w:rFonts w:ascii="Times New Roman" w:hAnsi="Times New Roman" w:cs="Times New Roman"/>
                <w:noProof/>
                <w:snapToGrid w:val="0"/>
                <w:w w:val="0"/>
              </w:rPr>
              <w:t>4.4</w:t>
            </w:r>
            <w:r>
              <w:rPr>
                <w:noProof/>
                <w:lang w:val="en-GB" w:eastAsia="en-GB"/>
              </w:rPr>
              <w:tab/>
            </w:r>
            <w:r w:rsidRPr="00E82DAD">
              <w:rPr>
                <w:rStyle w:val="Hyperlink"/>
                <w:noProof/>
              </w:rPr>
              <w:t>Results and Discussion</w:t>
            </w:r>
            <w:r>
              <w:rPr>
                <w:noProof/>
                <w:webHidden/>
              </w:rPr>
              <w:tab/>
            </w:r>
            <w:r>
              <w:rPr>
                <w:noProof/>
                <w:webHidden/>
              </w:rPr>
              <w:fldChar w:fldCharType="begin"/>
            </w:r>
            <w:r>
              <w:rPr>
                <w:noProof/>
                <w:webHidden/>
              </w:rPr>
              <w:instrText xml:space="preserve"> PAGEREF _Toc459130719 \h </w:instrText>
            </w:r>
            <w:r>
              <w:rPr>
                <w:noProof/>
                <w:webHidden/>
              </w:rPr>
            </w:r>
            <w:r>
              <w:rPr>
                <w:noProof/>
                <w:webHidden/>
              </w:rPr>
              <w:fldChar w:fldCharType="separate"/>
            </w:r>
            <w:r>
              <w:rPr>
                <w:noProof/>
                <w:webHidden/>
              </w:rPr>
              <w:t>143</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20" w:history="1">
            <w:r w:rsidRPr="00E82DAD">
              <w:rPr>
                <w:rStyle w:val="Hyperlink"/>
                <w:rFonts w:ascii="Times New Roman" w:hAnsi="Times New Roman" w:cs="Times New Roman"/>
                <w:noProof/>
                <w:snapToGrid w:val="0"/>
                <w:w w:val="0"/>
              </w:rPr>
              <w:t>4.5</w:t>
            </w:r>
            <w:r>
              <w:rPr>
                <w:noProof/>
                <w:lang w:val="en-GB" w:eastAsia="en-GB"/>
              </w:rPr>
              <w:tab/>
            </w:r>
            <w:r w:rsidRPr="00E82DAD">
              <w:rPr>
                <w:rStyle w:val="Hyperlink"/>
                <w:noProof/>
              </w:rPr>
              <w:t>Conclusion</w:t>
            </w:r>
            <w:r>
              <w:rPr>
                <w:noProof/>
                <w:webHidden/>
              </w:rPr>
              <w:tab/>
            </w:r>
            <w:r>
              <w:rPr>
                <w:noProof/>
                <w:webHidden/>
              </w:rPr>
              <w:fldChar w:fldCharType="begin"/>
            </w:r>
            <w:r>
              <w:rPr>
                <w:noProof/>
                <w:webHidden/>
              </w:rPr>
              <w:instrText xml:space="preserve"> PAGEREF _Toc459130720 \h </w:instrText>
            </w:r>
            <w:r>
              <w:rPr>
                <w:noProof/>
                <w:webHidden/>
              </w:rPr>
            </w:r>
            <w:r>
              <w:rPr>
                <w:noProof/>
                <w:webHidden/>
              </w:rPr>
              <w:fldChar w:fldCharType="separate"/>
            </w:r>
            <w:r>
              <w:rPr>
                <w:noProof/>
                <w:webHidden/>
              </w:rPr>
              <w:t>167</w:t>
            </w:r>
            <w:r>
              <w:rPr>
                <w:noProof/>
                <w:webHidden/>
              </w:rPr>
              <w:fldChar w:fldCharType="end"/>
            </w:r>
          </w:hyperlink>
        </w:p>
        <w:p w:rsidR="00610E48" w:rsidRDefault="00610E48">
          <w:pPr>
            <w:pStyle w:val="TOC1"/>
            <w:tabs>
              <w:tab w:val="left" w:pos="440"/>
            </w:tabs>
            <w:rPr>
              <w:rFonts w:eastAsiaTheme="minorEastAsia"/>
              <w:noProof/>
              <w:lang w:eastAsia="en-GB"/>
            </w:rPr>
          </w:pPr>
          <w:hyperlink w:anchor="_Toc459130721" w:history="1">
            <w:r w:rsidRPr="00E82DAD">
              <w:rPr>
                <w:rStyle w:val="Hyperlink"/>
                <w:noProof/>
              </w:rPr>
              <w:t>5</w:t>
            </w:r>
            <w:r>
              <w:rPr>
                <w:rFonts w:eastAsiaTheme="minorEastAsia"/>
                <w:noProof/>
                <w:lang w:eastAsia="en-GB"/>
              </w:rPr>
              <w:tab/>
            </w:r>
            <w:r w:rsidRPr="00E82DAD">
              <w:rPr>
                <w:rStyle w:val="Hyperlink"/>
                <w:noProof/>
                <w:shd w:val="clear" w:color="auto" w:fill="FFFFFF"/>
              </w:rPr>
              <w:t>Chapter 5: A Continuous Isothermal Titration Calorimetry (cITC) Study of the Interaction between Phytate and Lysozyme</w:t>
            </w:r>
            <w:r>
              <w:rPr>
                <w:noProof/>
                <w:webHidden/>
              </w:rPr>
              <w:tab/>
            </w:r>
            <w:r>
              <w:rPr>
                <w:noProof/>
                <w:webHidden/>
              </w:rPr>
              <w:fldChar w:fldCharType="begin"/>
            </w:r>
            <w:r>
              <w:rPr>
                <w:noProof/>
                <w:webHidden/>
              </w:rPr>
              <w:instrText xml:space="preserve"> PAGEREF _Toc459130721 \h </w:instrText>
            </w:r>
            <w:r>
              <w:rPr>
                <w:noProof/>
                <w:webHidden/>
              </w:rPr>
            </w:r>
            <w:r>
              <w:rPr>
                <w:noProof/>
                <w:webHidden/>
              </w:rPr>
              <w:fldChar w:fldCharType="separate"/>
            </w:r>
            <w:r>
              <w:rPr>
                <w:noProof/>
                <w:webHidden/>
              </w:rPr>
              <w:t>168</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22" w:history="1">
            <w:r w:rsidRPr="00E82DAD">
              <w:rPr>
                <w:rStyle w:val="Hyperlink"/>
                <w:rFonts w:ascii="Times New Roman" w:hAnsi="Times New Roman" w:cs="Times New Roman"/>
                <w:noProof/>
                <w:snapToGrid w:val="0"/>
                <w:w w:val="0"/>
              </w:rPr>
              <w:t>5.1</w:t>
            </w:r>
            <w:r>
              <w:rPr>
                <w:noProof/>
                <w:lang w:val="en-GB" w:eastAsia="en-GB"/>
              </w:rPr>
              <w:tab/>
            </w:r>
            <w:r w:rsidRPr="00E82DAD">
              <w:rPr>
                <w:rStyle w:val="Hyperlink"/>
                <w:noProof/>
              </w:rPr>
              <w:t>Summary</w:t>
            </w:r>
            <w:r>
              <w:rPr>
                <w:noProof/>
                <w:webHidden/>
              </w:rPr>
              <w:tab/>
            </w:r>
            <w:r>
              <w:rPr>
                <w:noProof/>
                <w:webHidden/>
              </w:rPr>
              <w:fldChar w:fldCharType="begin"/>
            </w:r>
            <w:r>
              <w:rPr>
                <w:noProof/>
                <w:webHidden/>
              </w:rPr>
              <w:instrText xml:space="preserve"> PAGEREF _Toc459130722 \h </w:instrText>
            </w:r>
            <w:r>
              <w:rPr>
                <w:noProof/>
                <w:webHidden/>
              </w:rPr>
            </w:r>
            <w:r>
              <w:rPr>
                <w:noProof/>
                <w:webHidden/>
              </w:rPr>
              <w:fldChar w:fldCharType="separate"/>
            </w:r>
            <w:r>
              <w:rPr>
                <w:noProof/>
                <w:webHidden/>
              </w:rPr>
              <w:t>169</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23" w:history="1">
            <w:r w:rsidRPr="00E82DAD">
              <w:rPr>
                <w:rStyle w:val="Hyperlink"/>
                <w:rFonts w:ascii="Times New Roman" w:hAnsi="Times New Roman" w:cs="Times New Roman"/>
                <w:noProof/>
                <w:snapToGrid w:val="0"/>
                <w:w w:val="0"/>
              </w:rPr>
              <w:t>5.1</w:t>
            </w:r>
            <w:r>
              <w:rPr>
                <w:noProof/>
                <w:lang w:val="en-GB" w:eastAsia="en-GB"/>
              </w:rPr>
              <w:tab/>
            </w:r>
            <w:r w:rsidRPr="00E82DAD">
              <w:rPr>
                <w:rStyle w:val="Hyperlink"/>
                <w:noProof/>
              </w:rPr>
              <w:t>Introduction</w:t>
            </w:r>
            <w:r>
              <w:rPr>
                <w:noProof/>
                <w:webHidden/>
              </w:rPr>
              <w:tab/>
            </w:r>
            <w:r>
              <w:rPr>
                <w:noProof/>
                <w:webHidden/>
              </w:rPr>
              <w:fldChar w:fldCharType="begin"/>
            </w:r>
            <w:r>
              <w:rPr>
                <w:noProof/>
                <w:webHidden/>
              </w:rPr>
              <w:instrText xml:space="preserve"> PAGEREF _Toc459130723 \h </w:instrText>
            </w:r>
            <w:r>
              <w:rPr>
                <w:noProof/>
                <w:webHidden/>
              </w:rPr>
            </w:r>
            <w:r>
              <w:rPr>
                <w:noProof/>
                <w:webHidden/>
              </w:rPr>
              <w:fldChar w:fldCharType="separate"/>
            </w:r>
            <w:r>
              <w:rPr>
                <w:noProof/>
                <w:webHidden/>
              </w:rPr>
              <w:t>170</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24" w:history="1">
            <w:r w:rsidRPr="00E82DAD">
              <w:rPr>
                <w:rStyle w:val="Hyperlink"/>
                <w:rFonts w:ascii="Times New Roman" w:hAnsi="Times New Roman" w:cs="Times New Roman"/>
                <w:noProof/>
                <w:snapToGrid w:val="0"/>
                <w:w w:val="0"/>
              </w:rPr>
              <w:t>5.2</w:t>
            </w:r>
            <w:r>
              <w:rPr>
                <w:noProof/>
                <w:lang w:val="en-GB" w:eastAsia="en-GB"/>
              </w:rPr>
              <w:tab/>
            </w:r>
            <w:r w:rsidRPr="00E82DAD">
              <w:rPr>
                <w:rStyle w:val="Hyperlink"/>
                <w:noProof/>
              </w:rPr>
              <w:t>Materials and Methods</w:t>
            </w:r>
            <w:r>
              <w:rPr>
                <w:noProof/>
                <w:webHidden/>
              </w:rPr>
              <w:tab/>
            </w:r>
            <w:r>
              <w:rPr>
                <w:noProof/>
                <w:webHidden/>
              </w:rPr>
              <w:fldChar w:fldCharType="begin"/>
            </w:r>
            <w:r>
              <w:rPr>
                <w:noProof/>
                <w:webHidden/>
              </w:rPr>
              <w:instrText xml:space="preserve"> PAGEREF _Toc459130724 \h </w:instrText>
            </w:r>
            <w:r>
              <w:rPr>
                <w:noProof/>
                <w:webHidden/>
              </w:rPr>
            </w:r>
            <w:r>
              <w:rPr>
                <w:noProof/>
                <w:webHidden/>
              </w:rPr>
              <w:fldChar w:fldCharType="separate"/>
            </w:r>
            <w:r>
              <w:rPr>
                <w:noProof/>
                <w:webHidden/>
              </w:rPr>
              <w:t>175</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25" w:history="1">
            <w:r w:rsidRPr="00E82DAD">
              <w:rPr>
                <w:rStyle w:val="Hyperlink"/>
                <w:noProof/>
                <w:lang w:val="en-US"/>
              </w:rPr>
              <w:t>5.2.1</w:t>
            </w:r>
            <w:r>
              <w:rPr>
                <w:rFonts w:eastAsiaTheme="minorEastAsia"/>
                <w:noProof/>
                <w:lang w:eastAsia="en-GB"/>
              </w:rPr>
              <w:tab/>
            </w:r>
            <w:r w:rsidRPr="00E82DAD">
              <w:rPr>
                <w:rStyle w:val="Hyperlink"/>
                <w:noProof/>
              </w:rPr>
              <w:t>Chemicals and Materials</w:t>
            </w:r>
            <w:r>
              <w:rPr>
                <w:noProof/>
                <w:webHidden/>
              </w:rPr>
              <w:tab/>
            </w:r>
            <w:r>
              <w:rPr>
                <w:noProof/>
                <w:webHidden/>
              </w:rPr>
              <w:fldChar w:fldCharType="begin"/>
            </w:r>
            <w:r>
              <w:rPr>
                <w:noProof/>
                <w:webHidden/>
              </w:rPr>
              <w:instrText xml:space="preserve"> PAGEREF _Toc459130725 \h </w:instrText>
            </w:r>
            <w:r>
              <w:rPr>
                <w:noProof/>
                <w:webHidden/>
              </w:rPr>
            </w:r>
            <w:r>
              <w:rPr>
                <w:noProof/>
                <w:webHidden/>
              </w:rPr>
              <w:fldChar w:fldCharType="separate"/>
            </w:r>
            <w:r>
              <w:rPr>
                <w:noProof/>
                <w:webHidden/>
              </w:rPr>
              <w:t>175</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26" w:history="1">
            <w:r w:rsidRPr="00E82DAD">
              <w:rPr>
                <w:rStyle w:val="Hyperlink"/>
                <w:noProof/>
              </w:rPr>
              <w:t>5.2.2</w:t>
            </w:r>
            <w:r>
              <w:rPr>
                <w:rFonts w:eastAsiaTheme="minorEastAsia"/>
                <w:noProof/>
                <w:lang w:eastAsia="en-GB"/>
              </w:rPr>
              <w:tab/>
            </w:r>
            <w:r w:rsidRPr="00E82DAD">
              <w:rPr>
                <w:rStyle w:val="Hyperlink"/>
                <w:noProof/>
              </w:rPr>
              <w:t>Isothermal Titration Microcalorimetry</w:t>
            </w:r>
            <w:r>
              <w:rPr>
                <w:noProof/>
                <w:webHidden/>
              </w:rPr>
              <w:tab/>
            </w:r>
            <w:r>
              <w:rPr>
                <w:noProof/>
                <w:webHidden/>
              </w:rPr>
              <w:fldChar w:fldCharType="begin"/>
            </w:r>
            <w:r>
              <w:rPr>
                <w:noProof/>
                <w:webHidden/>
              </w:rPr>
              <w:instrText xml:space="preserve"> PAGEREF _Toc459130726 \h </w:instrText>
            </w:r>
            <w:r>
              <w:rPr>
                <w:noProof/>
                <w:webHidden/>
              </w:rPr>
            </w:r>
            <w:r>
              <w:rPr>
                <w:noProof/>
                <w:webHidden/>
              </w:rPr>
              <w:fldChar w:fldCharType="separate"/>
            </w:r>
            <w:r>
              <w:rPr>
                <w:noProof/>
                <w:webHidden/>
              </w:rPr>
              <w:t>175</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27" w:history="1">
            <w:r w:rsidRPr="00E82DAD">
              <w:rPr>
                <w:rStyle w:val="Hyperlink"/>
                <w:rFonts w:ascii="Times New Roman" w:hAnsi="Times New Roman" w:cs="Times New Roman"/>
                <w:noProof/>
                <w:snapToGrid w:val="0"/>
                <w:w w:val="0"/>
              </w:rPr>
              <w:t>5.3</w:t>
            </w:r>
            <w:r>
              <w:rPr>
                <w:noProof/>
                <w:lang w:val="en-GB" w:eastAsia="en-GB"/>
              </w:rPr>
              <w:tab/>
            </w:r>
            <w:r w:rsidRPr="00E82DAD">
              <w:rPr>
                <w:rStyle w:val="Hyperlink"/>
                <w:noProof/>
              </w:rPr>
              <w:t>Results and Discussion</w:t>
            </w:r>
            <w:r>
              <w:rPr>
                <w:noProof/>
                <w:webHidden/>
              </w:rPr>
              <w:tab/>
            </w:r>
            <w:r>
              <w:rPr>
                <w:noProof/>
                <w:webHidden/>
              </w:rPr>
              <w:fldChar w:fldCharType="begin"/>
            </w:r>
            <w:r>
              <w:rPr>
                <w:noProof/>
                <w:webHidden/>
              </w:rPr>
              <w:instrText xml:space="preserve"> PAGEREF _Toc459130727 \h </w:instrText>
            </w:r>
            <w:r>
              <w:rPr>
                <w:noProof/>
                <w:webHidden/>
              </w:rPr>
            </w:r>
            <w:r>
              <w:rPr>
                <w:noProof/>
                <w:webHidden/>
              </w:rPr>
              <w:fldChar w:fldCharType="separate"/>
            </w:r>
            <w:r>
              <w:rPr>
                <w:noProof/>
                <w:webHidden/>
              </w:rPr>
              <w:t>177</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28" w:history="1">
            <w:r w:rsidRPr="00E82DAD">
              <w:rPr>
                <w:rStyle w:val="Hyperlink"/>
                <w:noProof/>
              </w:rPr>
              <w:t>5.3.1</w:t>
            </w:r>
            <w:r>
              <w:rPr>
                <w:rFonts w:eastAsiaTheme="minorEastAsia"/>
                <w:noProof/>
                <w:lang w:eastAsia="en-GB"/>
              </w:rPr>
              <w:tab/>
            </w:r>
            <w:r w:rsidRPr="00E82DAD">
              <w:rPr>
                <w:rStyle w:val="Hyperlink"/>
                <w:noProof/>
              </w:rPr>
              <w:t>Isothermal Titration Calorimetry Binding Studies between Lysozyme and Potassium Phytate</w:t>
            </w:r>
            <w:r>
              <w:rPr>
                <w:noProof/>
                <w:webHidden/>
              </w:rPr>
              <w:tab/>
            </w:r>
            <w:r>
              <w:rPr>
                <w:noProof/>
                <w:webHidden/>
              </w:rPr>
              <w:fldChar w:fldCharType="begin"/>
            </w:r>
            <w:r>
              <w:rPr>
                <w:noProof/>
                <w:webHidden/>
              </w:rPr>
              <w:instrText xml:space="preserve"> PAGEREF _Toc459130728 \h </w:instrText>
            </w:r>
            <w:r>
              <w:rPr>
                <w:noProof/>
                <w:webHidden/>
              </w:rPr>
            </w:r>
            <w:r>
              <w:rPr>
                <w:noProof/>
                <w:webHidden/>
              </w:rPr>
              <w:fldChar w:fldCharType="separate"/>
            </w:r>
            <w:r>
              <w:rPr>
                <w:noProof/>
                <w:webHidden/>
              </w:rPr>
              <w:t>185</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29" w:history="1">
            <w:r w:rsidRPr="00E82DAD">
              <w:rPr>
                <w:rStyle w:val="Hyperlink"/>
                <w:rFonts w:ascii="Times New Roman" w:hAnsi="Times New Roman" w:cs="Times New Roman"/>
                <w:noProof/>
                <w:snapToGrid w:val="0"/>
                <w:w w:val="0"/>
              </w:rPr>
              <w:t>5.4</w:t>
            </w:r>
            <w:r>
              <w:rPr>
                <w:noProof/>
                <w:lang w:val="en-GB" w:eastAsia="en-GB"/>
              </w:rPr>
              <w:tab/>
            </w:r>
            <w:r w:rsidRPr="00E82DAD">
              <w:rPr>
                <w:rStyle w:val="Hyperlink"/>
                <w:noProof/>
              </w:rPr>
              <w:t>Conclusion</w:t>
            </w:r>
            <w:r>
              <w:rPr>
                <w:noProof/>
                <w:webHidden/>
              </w:rPr>
              <w:tab/>
            </w:r>
            <w:r>
              <w:rPr>
                <w:noProof/>
                <w:webHidden/>
              </w:rPr>
              <w:fldChar w:fldCharType="begin"/>
            </w:r>
            <w:r>
              <w:rPr>
                <w:noProof/>
                <w:webHidden/>
              </w:rPr>
              <w:instrText xml:space="preserve"> PAGEREF _Toc459130729 \h </w:instrText>
            </w:r>
            <w:r>
              <w:rPr>
                <w:noProof/>
                <w:webHidden/>
              </w:rPr>
            </w:r>
            <w:r>
              <w:rPr>
                <w:noProof/>
                <w:webHidden/>
              </w:rPr>
              <w:fldChar w:fldCharType="separate"/>
            </w:r>
            <w:r>
              <w:rPr>
                <w:noProof/>
                <w:webHidden/>
              </w:rPr>
              <w:t>192</w:t>
            </w:r>
            <w:r>
              <w:rPr>
                <w:noProof/>
                <w:webHidden/>
              </w:rPr>
              <w:fldChar w:fldCharType="end"/>
            </w:r>
          </w:hyperlink>
        </w:p>
        <w:p w:rsidR="00610E48" w:rsidRDefault="00610E48">
          <w:pPr>
            <w:pStyle w:val="TOC1"/>
            <w:tabs>
              <w:tab w:val="left" w:pos="440"/>
            </w:tabs>
            <w:rPr>
              <w:rFonts w:eastAsiaTheme="minorEastAsia"/>
              <w:noProof/>
              <w:lang w:eastAsia="en-GB"/>
            </w:rPr>
          </w:pPr>
          <w:hyperlink w:anchor="_Toc459130730" w:history="1">
            <w:r w:rsidRPr="00E82DAD">
              <w:rPr>
                <w:rStyle w:val="Hyperlink"/>
                <w:iCs/>
                <w:noProof/>
              </w:rPr>
              <w:t>6</w:t>
            </w:r>
            <w:r>
              <w:rPr>
                <w:rFonts w:eastAsiaTheme="minorEastAsia"/>
                <w:noProof/>
                <w:lang w:eastAsia="en-GB"/>
              </w:rPr>
              <w:tab/>
            </w:r>
            <w:r w:rsidRPr="00E82DAD">
              <w:rPr>
                <w:rStyle w:val="Hyperlink"/>
                <w:noProof/>
              </w:rPr>
              <w:t>Chapter 6: Determining the Specificity of Phytate-Protein Interactions</w:t>
            </w:r>
            <w:r>
              <w:rPr>
                <w:noProof/>
                <w:webHidden/>
              </w:rPr>
              <w:tab/>
            </w:r>
            <w:r>
              <w:rPr>
                <w:noProof/>
                <w:webHidden/>
              </w:rPr>
              <w:fldChar w:fldCharType="begin"/>
            </w:r>
            <w:r>
              <w:rPr>
                <w:noProof/>
                <w:webHidden/>
              </w:rPr>
              <w:instrText xml:space="preserve"> PAGEREF _Toc459130730 \h </w:instrText>
            </w:r>
            <w:r>
              <w:rPr>
                <w:noProof/>
                <w:webHidden/>
              </w:rPr>
            </w:r>
            <w:r>
              <w:rPr>
                <w:noProof/>
                <w:webHidden/>
              </w:rPr>
              <w:fldChar w:fldCharType="separate"/>
            </w:r>
            <w:r>
              <w:rPr>
                <w:noProof/>
                <w:webHidden/>
              </w:rPr>
              <w:t>193</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31" w:history="1">
            <w:r w:rsidRPr="00E82DAD">
              <w:rPr>
                <w:rStyle w:val="Hyperlink"/>
                <w:rFonts w:ascii="Times New Roman" w:hAnsi="Times New Roman" w:cs="Times New Roman"/>
                <w:noProof/>
                <w:snapToGrid w:val="0"/>
                <w:w w:val="0"/>
              </w:rPr>
              <w:t>6.1</w:t>
            </w:r>
            <w:r>
              <w:rPr>
                <w:noProof/>
                <w:lang w:val="en-GB" w:eastAsia="en-GB"/>
              </w:rPr>
              <w:tab/>
            </w:r>
            <w:r w:rsidRPr="00E82DAD">
              <w:rPr>
                <w:rStyle w:val="Hyperlink"/>
                <w:noProof/>
              </w:rPr>
              <w:t>Summary</w:t>
            </w:r>
            <w:r>
              <w:rPr>
                <w:noProof/>
                <w:webHidden/>
              </w:rPr>
              <w:tab/>
            </w:r>
            <w:r>
              <w:rPr>
                <w:noProof/>
                <w:webHidden/>
              </w:rPr>
              <w:fldChar w:fldCharType="begin"/>
            </w:r>
            <w:r>
              <w:rPr>
                <w:noProof/>
                <w:webHidden/>
              </w:rPr>
              <w:instrText xml:space="preserve"> PAGEREF _Toc459130731 \h </w:instrText>
            </w:r>
            <w:r>
              <w:rPr>
                <w:noProof/>
                <w:webHidden/>
              </w:rPr>
            </w:r>
            <w:r>
              <w:rPr>
                <w:noProof/>
                <w:webHidden/>
              </w:rPr>
              <w:fldChar w:fldCharType="separate"/>
            </w:r>
            <w:r>
              <w:rPr>
                <w:noProof/>
                <w:webHidden/>
              </w:rPr>
              <w:t>194</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32" w:history="1">
            <w:r w:rsidRPr="00E82DAD">
              <w:rPr>
                <w:rStyle w:val="Hyperlink"/>
                <w:rFonts w:ascii="Times New Roman" w:hAnsi="Times New Roman" w:cs="Times New Roman"/>
                <w:noProof/>
                <w:snapToGrid w:val="0"/>
                <w:w w:val="0"/>
              </w:rPr>
              <w:t>6.2</w:t>
            </w:r>
            <w:r>
              <w:rPr>
                <w:noProof/>
                <w:lang w:val="en-GB" w:eastAsia="en-GB"/>
              </w:rPr>
              <w:tab/>
            </w:r>
            <w:r w:rsidRPr="00E82DAD">
              <w:rPr>
                <w:rStyle w:val="Hyperlink"/>
                <w:noProof/>
              </w:rPr>
              <w:t>Introduction</w:t>
            </w:r>
            <w:r>
              <w:rPr>
                <w:noProof/>
                <w:webHidden/>
              </w:rPr>
              <w:tab/>
            </w:r>
            <w:r>
              <w:rPr>
                <w:noProof/>
                <w:webHidden/>
              </w:rPr>
              <w:fldChar w:fldCharType="begin"/>
            </w:r>
            <w:r>
              <w:rPr>
                <w:noProof/>
                <w:webHidden/>
              </w:rPr>
              <w:instrText xml:space="preserve"> PAGEREF _Toc459130732 \h </w:instrText>
            </w:r>
            <w:r>
              <w:rPr>
                <w:noProof/>
                <w:webHidden/>
              </w:rPr>
            </w:r>
            <w:r>
              <w:rPr>
                <w:noProof/>
                <w:webHidden/>
              </w:rPr>
              <w:fldChar w:fldCharType="separate"/>
            </w:r>
            <w:r>
              <w:rPr>
                <w:noProof/>
                <w:webHidden/>
              </w:rPr>
              <w:t>196</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33" w:history="1">
            <w:r w:rsidRPr="00E82DAD">
              <w:rPr>
                <w:rStyle w:val="Hyperlink"/>
                <w:noProof/>
              </w:rPr>
              <w:t>6.2.1</w:t>
            </w:r>
            <w:r>
              <w:rPr>
                <w:rFonts w:eastAsiaTheme="minorEastAsia"/>
                <w:noProof/>
                <w:lang w:eastAsia="en-GB"/>
              </w:rPr>
              <w:tab/>
            </w:r>
            <w:r w:rsidRPr="00E82DAD">
              <w:rPr>
                <w:rStyle w:val="Hyperlink"/>
                <w:noProof/>
              </w:rPr>
              <w:t>Structure of Human Serum Albumin and Drug Binding Interactions</w:t>
            </w:r>
            <w:r>
              <w:rPr>
                <w:noProof/>
                <w:webHidden/>
              </w:rPr>
              <w:tab/>
            </w:r>
            <w:r>
              <w:rPr>
                <w:noProof/>
                <w:webHidden/>
              </w:rPr>
              <w:fldChar w:fldCharType="begin"/>
            </w:r>
            <w:r>
              <w:rPr>
                <w:noProof/>
                <w:webHidden/>
              </w:rPr>
              <w:instrText xml:space="preserve"> PAGEREF _Toc459130733 \h </w:instrText>
            </w:r>
            <w:r>
              <w:rPr>
                <w:noProof/>
                <w:webHidden/>
              </w:rPr>
            </w:r>
            <w:r>
              <w:rPr>
                <w:noProof/>
                <w:webHidden/>
              </w:rPr>
              <w:fldChar w:fldCharType="separate"/>
            </w:r>
            <w:r>
              <w:rPr>
                <w:noProof/>
                <w:webHidden/>
              </w:rPr>
              <w:t>197</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34" w:history="1">
            <w:r w:rsidRPr="00E82DAD">
              <w:rPr>
                <w:rStyle w:val="Hyperlink"/>
                <w:noProof/>
              </w:rPr>
              <w:t>6.2.2</w:t>
            </w:r>
            <w:r>
              <w:rPr>
                <w:rFonts w:eastAsiaTheme="minorEastAsia"/>
                <w:noProof/>
                <w:lang w:eastAsia="en-GB"/>
              </w:rPr>
              <w:tab/>
            </w:r>
            <w:r w:rsidRPr="00E82DAD">
              <w:rPr>
                <w:rStyle w:val="Hyperlink"/>
                <w:noProof/>
              </w:rPr>
              <w:t>Phytate</w:t>
            </w:r>
            <w:r>
              <w:rPr>
                <w:noProof/>
                <w:webHidden/>
              </w:rPr>
              <w:tab/>
            </w:r>
            <w:r>
              <w:rPr>
                <w:noProof/>
                <w:webHidden/>
              </w:rPr>
              <w:fldChar w:fldCharType="begin"/>
            </w:r>
            <w:r>
              <w:rPr>
                <w:noProof/>
                <w:webHidden/>
              </w:rPr>
              <w:instrText xml:space="preserve"> PAGEREF _Toc459130734 \h </w:instrText>
            </w:r>
            <w:r>
              <w:rPr>
                <w:noProof/>
                <w:webHidden/>
              </w:rPr>
            </w:r>
            <w:r>
              <w:rPr>
                <w:noProof/>
                <w:webHidden/>
              </w:rPr>
              <w:fldChar w:fldCharType="separate"/>
            </w:r>
            <w:r>
              <w:rPr>
                <w:noProof/>
                <w:webHidden/>
              </w:rPr>
              <w:t>198</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35" w:history="1">
            <w:r w:rsidRPr="00E82DAD">
              <w:rPr>
                <w:rStyle w:val="Hyperlink"/>
                <w:rFonts w:ascii="Times New Roman" w:hAnsi="Times New Roman" w:cs="Times New Roman"/>
                <w:noProof/>
                <w:snapToGrid w:val="0"/>
                <w:w w:val="0"/>
              </w:rPr>
              <w:t>6.3</w:t>
            </w:r>
            <w:r>
              <w:rPr>
                <w:noProof/>
                <w:lang w:val="en-GB" w:eastAsia="en-GB"/>
              </w:rPr>
              <w:tab/>
            </w:r>
            <w:r w:rsidRPr="00E82DAD">
              <w:rPr>
                <w:rStyle w:val="Hyperlink"/>
                <w:noProof/>
              </w:rPr>
              <w:t>Materials and Methods</w:t>
            </w:r>
            <w:r>
              <w:rPr>
                <w:noProof/>
                <w:webHidden/>
              </w:rPr>
              <w:tab/>
            </w:r>
            <w:r>
              <w:rPr>
                <w:noProof/>
                <w:webHidden/>
              </w:rPr>
              <w:fldChar w:fldCharType="begin"/>
            </w:r>
            <w:r>
              <w:rPr>
                <w:noProof/>
                <w:webHidden/>
              </w:rPr>
              <w:instrText xml:space="preserve"> PAGEREF _Toc459130735 \h </w:instrText>
            </w:r>
            <w:r>
              <w:rPr>
                <w:noProof/>
                <w:webHidden/>
              </w:rPr>
            </w:r>
            <w:r>
              <w:rPr>
                <w:noProof/>
                <w:webHidden/>
              </w:rPr>
              <w:fldChar w:fldCharType="separate"/>
            </w:r>
            <w:r>
              <w:rPr>
                <w:noProof/>
                <w:webHidden/>
              </w:rPr>
              <w:t>203</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36" w:history="1">
            <w:r w:rsidRPr="00E82DAD">
              <w:rPr>
                <w:rStyle w:val="Hyperlink"/>
                <w:noProof/>
              </w:rPr>
              <w:t>6.3.1</w:t>
            </w:r>
            <w:r>
              <w:rPr>
                <w:rFonts w:eastAsiaTheme="minorEastAsia"/>
                <w:noProof/>
                <w:lang w:eastAsia="en-GB"/>
              </w:rPr>
              <w:tab/>
            </w:r>
            <w:r w:rsidRPr="00E82DAD">
              <w:rPr>
                <w:rStyle w:val="Hyperlink"/>
                <w:noProof/>
              </w:rPr>
              <w:t>Chemicals and Materials</w:t>
            </w:r>
            <w:r>
              <w:rPr>
                <w:noProof/>
                <w:webHidden/>
              </w:rPr>
              <w:tab/>
            </w:r>
            <w:r>
              <w:rPr>
                <w:noProof/>
                <w:webHidden/>
              </w:rPr>
              <w:fldChar w:fldCharType="begin"/>
            </w:r>
            <w:r>
              <w:rPr>
                <w:noProof/>
                <w:webHidden/>
              </w:rPr>
              <w:instrText xml:space="preserve"> PAGEREF _Toc459130736 \h </w:instrText>
            </w:r>
            <w:r>
              <w:rPr>
                <w:noProof/>
                <w:webHidden/>
              </w:rPr>
            </w:r>
            <w:r>
              <w:rPr>
                <w:noProof/>
                <w:webHidden/>
              </w:rPr>
              <w:fldChar w:fldCharType="separate"/>
            </w:r>
            <w:r>
              <w:rPr>
                <w:noProof/>
                <w:webHidden/>
              </w:rPr>
              <w:t>203</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37" w:history="1">
            <w:r w:rsidRPr="00E82DAD">
              <w:rPr>
                <w:rStyle w:val="Hyperlink"/>
                <w:noProof/>
              </w:rPr>
              <w:t>6.3.2</w:t>
            </w:r>
            <w:r>
              <w:rPr>
                <w:rFonts w:eastAsiaTheme="minorEastAsia"/>
                <w:noProof/>
                <w:lang w:eastAsia="en-GB"/>
              </w:rPr>
              <w:tab/>
            </w:r>
            <w:r w:rsidRPr="00E82DAD">
              <w:rPr>
                <w:rStyle w:val="Hyperlink"/>
                <w:noProof/>
              </w:rPr>
              <w:t>Isothermal Titration Calorimetry</w:t>
            </w:r>
            <w:r>
              <w:rPr>
                <w:noProof/>
                <w:webHidden/>
              </w:rPr>
              <w:tab/>
            </w:r>
            <w:r>
              <w:rPr>
                <w:noProof/>
                <w:webHidden/>
              </w:rPr>
              <w:fldChar w:fldCharType="begin"/>
            </w:r>
            <w:r>
              <w:rPr>
                <w:noProof/>
                <w:webHidden/>
              </w:rPr>
              <w:instrText xml:space="preserve"> PAGEREF _Toc459130737 \h </w:instrText>
            </w:r>
            <w:r>
              <w:rPr>
                <w:noProof/>
                <w:webHidden/>
              </w:rPr>
            </w:r>
            <w:r>
              <w:rPr>
                <w:noProof/>
                <w:webHidden/>
              </w:rPr>
              <w:fldChar w:fldCharType="separate"/>
            </w:r>
            <w:r>
              <w:rPr>
                <w:noProof/>
                <w:webHidden/>
              </w:rPr>
              <w:t>203</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38" w:history="1">
            <w:r w:rsidRPr="00E82DAD">
              <w:rPr>
                <w:rStyle w:val="Hyperlink"/>
                <w:rFonts w:ascii="Times New Roman" w:hAnsi="Times New Roman" w:cs="Times New Roman"/>
                <w:noProof/>
                <w:snapToGrid w:val="0"/>
                <w:w w:val="0"/>
              </w:rPr>
              <w:t>6.4</w:t>
            </w:r>
            <w:r>
              <w:rPr>
                <w:noProof/>
                <w:lang w:val="en-GB" w:eastAsia="en-GB"/>
              </w:rPr>
              <w:tab/>
            </w:r>
            <w:r w:rsidRPr="00E82DAD">
              <w:rPr>
                <w:rStyle w:val="Hyperlink"/>
                <w:noProof/>
              </w:rPr>
              <w:t>Results and Discussion</w:t>
            </w:r>
            <w:r>
              <w:rPr>
                <w:noProof/>
                <w:webHidden/>
              </w:rPr>
              <w:tab/>
            </w:r>
            <w:r>
              <w:rPr>
                <w:noProof/>
                <w:webHidden/>
              </w:rPr>
              <w:fldChar w:fldCharType="begin"/>
            </w:r>
            <w:r>
              <w:rPr>
                <w:noProof/>
                <w:webHidden/>
              </w:rPr>
              <w:instrText xml:space="preserve"> PAGEREF _Toc459130738 \h </w:instrText>
            </w:r>
            <w:r>
              <w:rPr>
                <w:noProof/>
                <w:webHidden/>
              </w:rPr>
            </w:r>
            <w:r>
              <w:rPr>
                <w:noProof/>
                <w:webHidden/>
              </w:rPr>
              <w:fldChar w:fldCharType="separate"/>
            </w:r>
            <w:r>
              <w:rPr>
                <w:noProof/>
                <w:webHidden/>
              </w:rPr>
              <w:t>205</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39" w:history="1">
            <w:r w:rsidRPr="00E82DAD">
              <w:rPr>
                <w:rStyle w:val="Hyperlink"/>
                <w:rFonts w:ascii="Times New Roman" w:hAnsi="Times New Roman" w:cs="Times New Roman"/>
                <w:noProof/>
                <w:snapToGrid w:val="0"/>
                <w:w w:val="0"/>
              </w:rPr>
              <w:t>6.5</w:t>
            </w:r>
            <w:r>
              <w:rPr>
                <w:noProof/>
                <w:lang w:val="en-GB" w:eastAsia="en-GB"/>
              </w:rPr>
              <w:tab/>
            </w:r>
            <w:r w:rsidRPr="00E82DAD">
              <w:rPr>
                <w:rStyle w:val="Hyperlink"/>
                <w:noProof/>
              </w:rPr>
              <w:t>Conclusion</w:t>
            </w:r>
            <w:r>
              <w:rPr>
                <w:noProof/>
                <w:webHidden/>
              </w:rPr>
              <w:tab/>
            </w:r>
            <w:r>
              <w:rPr>
                <w:noProof/>
                <w:webHidden/>
              </w:rPr>
              <w:fldChar w:fldCharType="begin"/>
            </w:r>
            <w:r>
              <w:rPr>
                <w:noProof/>
                <w:webHidden/>
              </w:rPr>
              <w:instrText xml:space="preserve"> PAGEREF _Toc459130739 \h </w:instrText>
            </w:r>
            <w:r>
              <w:rPr>
                <w:noProof/>
                <w:webHidden/>
              </w:rPr>
            </w:r>
            <w:r>
              <w:rPr>
                <w:noProof/>
                <w:webHidden/>
              </w:rPr>
              <w:fldChar w:fldCharType="separate"/>
            </w:r>
            <w:r>
              <w:rPr>
                <w:noProof/>
                <w:webHidden/>
              </w:rPr>
              <w:t>215</w:t>
            </w:r>
            <w:r>
              <w:rPr>
                <w:noProof/>
                <w:webHidden/>
              </w:rPr>
              <w:fldChar w:fldCharType="end"/>
            </w:r>
          </w:hyperlink>
        </w:p>
        <w:p w:rsidR="00610E48" w:rsidRDefault="00610E48">
          <w:pPr>
            <w:pStyle w:val="TOC1"/>
            <w:tabs>
              <w:tab w:val="left" w:pos="440"/>
            </w:tabs>
            <w:rPr>
              <w:rFonts w:eastAsiaTheme="minorEastAsia"/>
              <w:noProof/>
              <w:lang w:eastAsia="en-GB"/>
            </w:rPr>
          </w:pPr>
          <w:hyperlink w:anchor="_Toc459130740" w:history="1">
            <w:r w:rsidRPr="00E82DAD">
              <w:rPr>
                <w:rStyle w:val="Hyperlink"/>
                <w:noProof/>
              </w:rPr>
              <w:t>7</w:t>
            </w:r>
            <w:r>
              <w:rPr>
                <w:rFonts w:eastAsiaTheme="minorEastAsia"/>
                <w:noProof/>
                <w:lang w:eastAsia="en-GB"/>
              </w:rPr>
              <w:tab/>
            </w:r>
            <w:r w:rsidRPr="00E82DAD">
              <w:rPr>
                <w:rStyle w:val="Hyperlink"/>
                <w:noProof/>
              </w:rPr>
              <w:t>Chapter 7: Conclusions and Future Work</w:t>
            </w:r>
            <w:r>
              <w:rPr>
                <w:noProof/>
                <w:webHidden/>
              </w:rPr>
              <w:tab/>
            </w:r>
            <w:r>
              <w:rPr>
                <w:noProof/>
                <w:webHidden/>
              </w:rPr>
              <w:fldChar w:fldCharType="begin"/>
            </w:r>
            <w:r>
              <w:rPr>
                <w:noProof/>
                <w:webHidden/>
              </w:rPr>
              <w:instrText xml:space="preserve"> PAGEREF _Toc459130740 \h </w:instrText>
            </w:r>
            <w:r>
              <w:rPr>
                <w:noProof/>
                <w:webHidden/>
              </w:rPr>
            </w:r>
            <w:r>
              <w:rPr>
                <w:noProof/>
                <w:webHidden/>
              </w:rPr>
              <w:fldChar w:fldCharType="separate"/>
            </w:r>
            <w:r>
              <w:rPr>
                <w:noProof/>
                <w:webHidden/>
              </w:rPr>
              <w:t>216</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41" w:history="1">
            <w:r w:rsidRPr="00E82DAD">
              <w:rPr>
                <w:rStyle w:val="Hyperlink"/>
                <w:rFonts w:ascii="Times New Roman" w:hAnsi="Times New Roman" w:cs="Times New Roman"/>
                <w:noProof/>
                <w:snapToGrid w:val="0"/>
                <w:w w:val="0"/>
              </w:rPr>
              <w:t>7.1</w:t>
            </w:r>
            <w:r>
              <w:rPr>
                <w:noProof/>
                <w:lang w:val="en-GB" w:eastAsia="en-GB"/>
              </w:rPr>
              <w:tab/>
            </w:r>
            <w:r w:rsidRPr="00E82DAD">
              <w:rPr>
                <w:rStyle w:val="Hyperlink"/>
                <w:noProof/>
              </w:rPr>
              <w:t>Main Conclusion</w:t>
            </w:r>
            <w:r>
              <w:rPr>
                <w:noProof/>
                <w:webHidden/>
              </w:rPr>
              <w:tab/>
            </w:r>
            <w:r>
              <w:rPr>
                <w:noProof/>
                <w:webHidden/>
              </w:rPr>
              <w:fldChar w:fldCharType="begin"/>
            </w:r>
            <w:r>
              <w:rPr>
                <w:noProof/>
                <w:webHidden/>
              </w:rPr>
              <w:instrText xml:space="preserve"> PAGEREF _Toc459130741 \h </w:instrText>
            </w:r>
            <w:r>
              <w:rPr>
                <w:noProof/>
                <w:webHidden/>
              </w:rPr>
            </w:r>
            <w:r>
              <w:rPr>
                <w:noProof/>
                <w:webHidden/>
              </w:rPr>
              <w:fldChar w:fldCharType="separate"/>
            </w:r>
            <w:r>
              <w:rPr>
                <w:noProof/>
                <w:webHidden/>
              </w:rPr>
              <w:t>216</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42" w:history="1">
            <w:r w:rsidRPr="00E82DAD">
              <w:rPr>
                <w:rStyle w:val="Hyperlink"/>
                <w:rFonts w:ascii="Times New Roman" w:hAnsi="Times New Roman" w:cs="Times New Roman"/>
                <w:noProof/>
                <w:snapToGrid w:val="0"/>
                <w:w w:val="0"/>
              </w:rPr>
              <w:t>7.2</w:t>
            </w:r>
            <w:r>
              <w:rPr>
                <w:noProof/>
                <w:lang w:val="en-GB" w:eastAsia="en-GB"/>
              </w:rPr>
              <w:tab/>
            </w:r>
            <w:r w:rsidRPr="00E82DAD">
              <w:rPr>
                <w:rStyle w:val="Hyperlink"/>
                <w:noProof/>
              </w:rPr>
              <w:t>Modes of Binding for Tannic Acid and Proanthocyanidins to Biopolymers</w:t>
            </w:r>
            <w:r>
              <w:rPr>
                <w:noProof/>
                <w:webHidden/>
              </w:rPr>
              <w:tab/>
            </w:r>
            <w:r>
              <w:rPr>
                <w:noProof/>
                <w:webHidden/>
              </w:rPr>
              <w:fldChar w:fldCharType="begin"/>
            </w:r>
            <w:r>
              <w:rPr>
                <w:noProof/>
                <w:webHidden/>
              </w:rPr>
              <w:instrText xml:space="preserve"> PAGEREF _Toc459130742 \h </w:instrText>
            </w:r>
            <w:r>
              <w:rPr>
                <w:noProof/>
                <w:webHidden/>
              </w:rPr>
            </w:r>
            <w:r>
              <w:rPr>
                <w:noProof/>
                <w:webHidden/>
              </w:rPr>
              <w:fldChar w:fldCharType="separate"/>
            </w:r>
            <w:r>
              <w:rPr>
                <w:noProof/>
                <w:webHidden/>
              </w:rPr>
              <w:t>216</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43" w:history="1">
            <w:r w:rsidRPr="00E82DAD">
              <w:rPr>
                <w:rStyle w:val="Hyperlink"/>
                <w:rFonts w:ascii="Times New Roman" w:hAnsi="Times New Roman" w:cs="Times New Roman"/>
                <w:noProof/>
                <w:snapToGrid w:val="0"/>
                <w:w w:val="0"/>
              </w:rPr>
              <w:t>7.3</w:t>
            </w:r>
            <w:r>
              <w:rPr>
                <w:noProof/>
                <w:lang w:val="en-GB" w:eastAsia="en-GB"/>
              </w:rPr>
              <w:tab/>
            </w:r>
            <w:r w:rsidRPr="00E82DAD">
              <w:rPr>
                <w:rStyle w:val="Hyperlink"/>
                <w:noProof/>
              </w:rPr>
              <w:t>An Isothermal Titration Calorimetry Study of a Multisite – Electrostatic Binding Interaction between Lysozyme and Phytate</w:t>
            </w:r>
            <w:r>
              <w:rPr>
                <w:noProof/>
                <w:webHidden/>
              </w:rPr>
              <w:tab/>
            </w:r>
            <w:r>
              <w:rPr>
                <w:noProof/>
                <w:webHidden/>
              </w:rPr>
              <w:fldChar w:fldCharType="begin"/>
            </w:r>
            <w:r>
              <w:rPr>
                <w:noProof/>
                <w:webHidden/>
              </w:rPr>
              <w:instrText xml:space="preserve"> PAGEREF _Toc459130743 \h </w:instrText>
            </w:r>
            <w:r>
              <w:rPr>
                <w:noProof/>
                <w:webHidden/>
              </w:rPr>
            </w:r>
            <w:r>
              <w:rPr>
                <w:noProof/>
                <w:webHidden/>
              </w:rPr>
              <w:fldChar w:fldCharType="separate"/>
            </w:r>
            <w:r>
              <w:rPr>
                <w:noProof/>
                <w:webHidden/>
              </w:rPr>
              <w:t>218</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44" w:history="1">
            <w:r w:rsidRPr="00E82DAD">
              <w:rPr>
                <w:rStyle w:val="Hyperlink"/>
                <w:noProof/>
              </w:rPr>
              <w:t>7.3.1</w:t>
            </w:r>
            <w:r>
              <w:rPr>
                <w:rFonts w:eastAsiaTheme="minorEastAsia"/>
                <w:noProof/>
                <w:lang w:eastAsia="en-GB"/>
              </w:rPr>
              <w:tab/>
            </w:r>
            <w:r w:rsidRPr="00E82DAD">
              <w:rPr>
                <w:rStyle w:val="Hyperlink"/>
                <w:noProof/>
              </w:rPr>
              <w:t>Future work</w:t>
            </w:r>
            <w:r>
              <w:rPr>
                <w:noProof/>
                <w:webHidden/>
              </w:rPr>
              <w:tab/>
            </w:r>
            <w:r>
              <w:rPr>
                <w:noProof/>
                <w:webHidden/>
              </w:rPr>
              <w:fldChar w:fldCharType="begin"/>
            </w:r>
            <w:r>
              <w:rPr>
                <w:noProof/>
                <w:webHidden/>
              </w:rPr>
              <w:instrText xml:space="preserve"> PAGEREF _Toc459130744 \h </w:instrText>
            </w:r>
            <w:r>
              <w:rPr>
                <w:noProof/>
                <w:webHidden/>
              </w:rPr>
            </w:r>
            <w:r>
              <w:rPr>
                <w:noProof/>
                <w:webHidden/>
              </w:rPr>
              <w:fldChar w:fldCharType="separate"/>
            </w:r>
            <w:r>
              <w:rPr>
                <w:noProof/>
                <w:webHidden/>
              </w:rPr>
              <w:t>219</w:t>
            </w:r>
            <w:r>
              <w:rPr>
                <w:noProof/>
                <w:webHidden/>
              </w:rPr>
              <w:fldChar w:fldCharType="end"/>
            </w:r>
          </w:hyperlink>
        </w:p>
        <w:p w:rsidR="00610E48" w:rsidRDefault="00610E48">
          <w:pPr>
            <w:pStyle w:val="TOC2"/>
            <w:tabs>
              <w:tab w:val="left" w:pos="880"/>
              <w:tab w:val="right" w:leader="dot" w:pos="8188"/>
            </w:tabs>
            <w:rPr>
              <w:noProof/>
              <w:lang w:val="en-GB" w:eastAsia="en-GB"/>
            </w:rPr>
          </w:pPr>
          <w:hyperlink w:anchor="_Toc459130745" w:history="1">
            <w:r w:rsidRPr="00E82DAD">
              <w:rPr>
                <w:rStyle w:val="Hyperlink"/>
                <w:rFonts w:ascii="Times New Roman" w:hAnsi="Times New Roman" w:cs="Times New Roman"/>
                <w:noProof/>
                <w:snapToGrid w:val="0"/>
                <w:w w:val="0"/>
              </w:rPr>
              <w:t>7.4</w:t>
            </w:r>
            <w:r>
              <w:rPr>
                <w:noProof/>
                <w:lang w:val="en-GB" w:eastAsia="en-GB"/>
              </w:rPr>
              <w:tab/>
            </w:r>
            <w:r w:rsidRPr="00E82DAD">
              <w:rPr>
                <w:rStyle w:val="Hyperlink"/>
                <w:noProof/>
                <w:shd w:val="clear" w:color="auto" w:fill="FFFFFF"/>
              </w:rPr>
              <w:t>A Continuous Isothermal Titration Calorimetry (cITC) Study of the Interaction between Phytate and Lysozyme</w:t>
            </w:r>
            <w:r>
              <w:rPr>
                <w:noProof/>
                <w:webHidden/>
              </w:rPr>
              <w:tab/>
            </w:r>
            <w:r>
              <w:rPr>
                <w:noProof/>
                <w:webHidden/>
              </w:rPr>
              <w:fldChar w:fldCharType="begin"/>
            </w:r>
            <w:r>
              <w:rPr>
                <w:noProof/>
                <w:webHidden/>
              </w:rPr>
              <w:instrText xml:space="preserve"> PAGEREF _Toc459130745 \h </w:instrText>
            </w:r>
            <w:r>
              <w:rPr>
                <w:noProof/>
                <w:webHidden/>
              </w:rPr>
            </w:r>
            <w:r>
              <w:rPr>
                <w:noProof/>
                <w:webHidden/>
              </w:rPr>
              <w:fldChar w:fldCharType="separate"/>
            </w:r>
            <w:r>
              <w:rPr>
                <w:noProof/>
                <w:webHidden/>
              </w:rPr>
              <w:t>220</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46" w:history="1">
            <w:r w:rsidRPr="00E82DAD">
              <w:rPr>
                <w:rStyle w:val="Hyperlink"/>
                <w:noProof/>
              </w:rPr>
              <w:t>7.4.1</w:t>
            </w:r>
            <w:r>
              <w:rPr>
                <w:rFonts w:eastAsiaTheme="minorEastAsia"/>
                <w:noProof/>
                <w:lang w:eastAsia="en-GB"/>
              </w:rPr>
              <w:tab/>
            </w:r>
            <w:r w:rsidRPr="00E82DAD">
              <w:rPr>
                <w:rStyle w:val="Hyperlink"/>
                <w:noProof/>
              </w:rPr>
              <w:t>Future Wor</w:t>
            </w:r>
            <w:bookmarkStart w:id="4" w:name="_GoBack"/>
            <w:bookmarkEnd w:id="4"/>
            <w:r w:rsidRPr="00E82DAD">
              <w:rPr>
                <w:rStyle w:val="Hyperlink"/>
                <w:noProof/>
              </w:rPr>
              <w:t>k</w:t>
            </w:r>
            <w:r>
              <w:rPr>
                <w:noProof/>
                <w:webHidden/>
              </w:rPr>
              <w:tab/>
            </w:r>
            <w:r>
              <w:rPr>
                <w:noProof/>
                <w:webHidden/>
              </w:rPr>
              <w:fldChar w:fldCharType="begin"/>
            </w:r>
            <w:r>
              <w:rPr>
                <w:noProof/>
                <w:webHidden/>
              </w:rPr>
              <w:instrText xml:space="preserve"> PAGEREF _Toc459130746 \h </w:instrText>
            </w:r>
            <w:r>
              <w:rPr>
                <w:noProof/>
                <w:webHidden/>
              </w:rPr>
            </w:r>
            <w:r>
              <w:rPr>
                <w:noProof/>
                <w:webHidden/>
              </w:rPr>
              <w:fldChar w:fldCharType="separate"/>
            </w:r>
            <w:r>
              <w:rPr>
                <w:noProof/>
                <w:webHidden/>
              </w:rPr>
              <w:t>220</w:t>
            </w:r>
            <w:r>
              <w:rPr>
                <w:noProof/>
                <w:webHidden/>
              </w:rPr>
              <w:fldChar w:fldCharType="end"/>
            </w:r>
          </w:hyperlink>
        </w:p>
        <w:p w:rsidR="00610E48" w:rsidRDefault="00610E48">
          <w:pPr>
            <w:pStyle w:val="TOC3"/>
            <w:tabs>
              <w:tab w:val="left" w:pos="1320"/>
              <w:tab w:val="right" w:leader="dot" w:pos="8188"/>
            </w:tabs>
            <w:rPr>
              <w:rFonts w:eastAsiaTheme="minorEastAsia"/>
              <w:noProof/>
              <w:lang w:eastAsia="en-GB"/>
            </w:rPr>
          </w:pPr>
          <w:hyperlink w:anchor="_Toc459130747" w:history="1">
            <w:r w:rsidRPr="00E82DAD">
              <w:rPr>
                <w:rStyle w:val="Hyperlink"/>
                <w:iCs/>
                <w:noProof/>
              </w:rPr>
              <w:t>7.4.2</w:t>
            </w:r>
            <w:r>
              <w:rPr>
                <w:rFonts w:eastAsiaTheme="minorEastAsia"/>
                <w:noProof/>
                <w:lang w:eastAsia="en-GB"/>
              </w:rPr>
              <w:tab/>
            </w:r>
            <w:r w:rsidRPr="00E82DAD">
              <w:rPr>
                <w:rStyle w:val="Hyperlink"/>
                <w:noProof/>
              </w:rPr>
              <w:t>Determining the Specificity of Phytate-Protein Interactions</w:t>
            </w:r>
            <w:r>
              <w:rPr>
                <w:noProof/>
                <w:webHidden/>
              </w:rPr>
              <w:tab/>
            </w:r>
            <w:r>
              <w:rPr>
                <w:noProof/>
                <w:webHidden/>
              </w:rPr>
              <w:fldChar w:fldCharType="begin"/>
            </w:r>
            <w:r>
              <w:rPr>
                <w:noProof/>
                <w:webHidden/>
              </w:rPr>
              <w:instrText xml:space="preserve"> PAGEREF _Toc459130747 \h </w:instrText>
            </w:r>
            <w:r>
              <w:rPr>
                <w:noProof/>
                <w:webHidden/>
              </w:rPr>
            </w:r>
            <w:r>
              <w:rPr>
                <w:noProof/>
                <w:webHidden/>
              </w:rPr>
              <w:fldChar w:fldCharType="separate"/>
            </w:r>
            <w:r>
              <w:rPr>
                <w:noProof/>
                <w:webHidden/>
              </w:rPr>
              <w:t>221</w:t>
            </w:r>
            <w:r>
              <w:rPr>
                <w:noProof/>
                <w:webHidden/>
              </w:rPr>
              <w:fldChar w:fldCharType="end"/>
            </w:r>
          </w:hyperlink>
        </w:p>
        <w:p w:rsidR="00610E48" w:rsidRDefault="00610E48">
          <w:pPr>
            <w:pStyle w:val="TOC1"/>
            <w:tabs>
              <w:tab w:val="left" w:pos="440"/>
            </w:tabs>
            <w:rPr>
              <w:rFonts w:eastAsiaTheme="minorEastAsia"/>
              <w:noProof/>
              <w:lang w:eastAsia="en-GB"/>
            </w:rPr>
          </w:pPr>
          <w:hyperlink w:anchor="_Toc459130748" w:history="1">
            <w:r w:rsidRPr="00E82DAD">
              <w:rPr>
                <w:rStyle w:val="Hyperlink"/>
                <w:noProof/>
              </w:rPr>
              <w:t>8</w:t>
            </w:r>
            <w:r>
              <w:rPr>
                <w:rFonts w:eastAsiaTheme="minorEastAsia"/>
                <w:noProof/>
                <w:lang w:eastAsia="en-GB"/>
              </w:rPr>
              <w:tab/>
            </w:r>
            <w:r w:rsidRPr="00E82DAD">
              <w:rPr>
                <w:rStyle w:val="Hyperlink"/>
                <w:noProof/>
              </w:rPr>
              <w:t>References</w:t>
            </w:r>
            <w:r>
              <w:rPr>
                <w:noProof/>
                <w:webHidden/>
              </w:rPr>
              <w:tab/>
            </w:r>
            <w:r>
              <w:rPr>
                <w:noProof/>
                <w:webHidden/>
              </w:rPr>
              <w:fldChar w:fldCharType="begin"/>
            </w:r>
            <w:r>
              <w:rPr>
                <w:noProof/>
                <w:webHidden/>
              </w:rPr>
              <w:instrText xml:space="preserve"> PAGEREF _Toc459130748 \h </w:instrText>
            </w:r>
            <w:r>
              <w:rPr>
                <w:noProof/>
                <w:webHidden/>
              </w:rPr>
            </w:r>
            <w:r>
              <w:rPr>
                <w:noProof/>
                <w:webHidden/>
              </w:rPr>
              <w:fldChar w:fldCharType="separate"/>
            </w:r>
            <w:r>
              <w:rPr>
                <w:noProof/>
                <w:webHidden/>
              </w:rPr>
              <w:t>223</w:t>
            </w:r>
            <w:r>
              <w:rPr>
                <w:noProof/>
                <w:webHidden/>
              </w:rPr>
              <w:fldChar w:fldCharType="end"/>
            </w:r>
          </w:hyperlink>
        </w:p>
        <w:p w:rsidR="0083333F" w:rsidRDefault="0075172E">
          <w:r>
            <w:fldChar w:fldCharType="end"/>
          </w:r>
        </w:p>
      </w:sdtContent>
    </w:sdt>
    <w:p w:rsidR="00050649" w:rsidRDefault="00050649" w:rsidP="00050649">
      <w:pPr>
        <w:spacing w:line="480" w:lineRule="auto"/>
        <w:rPr>
          <w:b/>
        </w:rPr>
      </w:pPr>
    </w:p>
    <w:p w:rsidR="0052714F" w:rsidRDefault="0052714F" w:rsidP="00050649">
      <w:pPr>
        <w:spacing w:line="480" w:lineRule="auto"/>
        <w:jc w:val="center"/>
        <w:rPr>
          <w:b/>
        </w:rPr>
        <w:sectPr w:rsidR="0052714F" w:rsidSect="00853679">
          <w:pgSz w:w="11906" w:h="16838"/>
          <w:pgMar w:top="1440" w:right="1440" w:bottom="1440" w:left="2268" w:header="709" w:footer="709" w:gutter="0"/>
          <w:pgNumType w:fmt="lowerRoman" w:start="1"/>
          <w:cols w:space="708"/>
          <w:docGrid w:linePitch="360"/>
        </w:sectPr>
      </w:pPr>
    </w:p>
    <w:p w:rsidR="0083333F" w:rsidRDefault="0083333F" w:rsidP="00050649">
      <w:pPr>
        <w:spacing w:line="480" w:lineRule="auto"/>
        <w:jc w:val="center"/>
        <w:rPr>
          <w:b/>
        </w:rPr>
      </w:pPr>
    </w:p>
    <w:p w:rsidR="0083333F" w:rsidRDefault="0083333F" w:rsidP="00050649">
      <w:pPr>
        <w:spacing w:line="480" w:lineRule="auto"/>
        <w:jc w:val="center"/>
        <w:rPr>
          <w:b/>
        </w:rPr>
      </w:pPr>
    </w:p>
    <w:p w:rsidR="0083333F" w:rsidRDefault="0083333F" w:rsidP="00050649">
      <w:pPr>
        <w:spacing w:line="480" w:lineRule="auto"/>
        <w:jc w:val="center"/>
        <w:rPr>
          <w:b/>
        </w:rPr>
      </w:pPr>
    </w:p>
    <w:p w:rsidR="0083333F" w:rsidRDefault="0083333F" w:rsidP="00050649">
      <w:pPr>
        <w:spacing w:line="480" w:lineRule="auto"/>
        <w:jc w:val="center"/>
        <w:rPr>
          <w:b/>
        </w:rPr>
      </w:pPr>
    </w:p>
    <w:p w:rsidR="0083333F" w:rsidRDefault="0083333F" w:rsidP="00050649">
      <w:pPr>
        <w:spacing w:line="480" w:lineRule="auto"/>
        <w:jc w:val="center"/>
        <w:rPr>
          <w:b/>
        </w:rPr>
      </w:pPr>
    </w:p>
    <w:p w:rsidR="0083333F" w:rsidRDefault="0083333F" w:rsidP="00050649">
      <w:pPr>
        <w:spacing w:line="480" w:lineRule="auto"/>
        <w:jc w:val="center"/>
        <w:rPr>
          <w:b/>
        </w:rPr>
      </w:pPr>
    </w:p>
    <w:p w:rsidR="0083333F" w:rsidRDefault="0083333F" w:rsidP="00050649">
      <w:pPr>
        <w:spacing w:line="480" w:lineRule="auto"/>
        <w:jc w:val="center"/>
        <w:rPr>
          <w:b/>
        </w:rPr>
      </w:pPr>
    </w:p>
    <w:p w:rsidR="0083333F" w:rsidRDefault="0083333F" w:rsidP="00050649">
      <w:pPr>
        <w:spacing w:line="480" w:lineRule="auto"/>
        <w:jc w:val="center"/>
        <w:rPr>
          <w:b/>
        </w:rPr>
      </w:pPr>
    </w:p>
    <w:p w:rsidR="0083333F" w:rsidRDefault="0083333F" w:rsidP="00050649">
      <w:pPr>
        <w:spacing w:line="480" w:lineRule="auto"/>
        <w:jc w:val="center"/>
        <w:rPr>
          <w:b/>
        </w:rPr>
      </w:pPr>
    </w:p>
    <w:p w:rsidR="0083333F" w:rsidRDefault="0083333F" w:rsidP="00050649">
      <w:pPr>
        <w:spacing w:line="480" w:lineRule="auto"/>
        <w:jc w:val="center"/>
        <w:rPr>
          <w:b/>
        </w:rPr>
      </w:pPr>
    </w:p>
    <w:p w:rsidR="0083333F" w:rsidRDefault="0083333F" w:rsidP="00050649">
      <w:pPr>
        <w:spacing w:line="480" w:lineRule="auto"/>
        <w:jc w:val="center"/>
        <w:rPr>
          <w:b/>
        </w:rPr>
      </w:pPr>
    </w:p>
    <w:p w:rsidR="00655BE2" w:rsidRPr="00655BE2" w:rsidRDefault="00655BE2" w:rsidP="00655BE2"/>
    <w:p w:rsidR="00050649" w:rsidRDefault="00050649" w:rsidP="002B7197">
      <w:pPr>
        <w:pStyle w:val="Heading1"/>
        <w:jc w:val="center"/>
      </w:pPr>
      <w:bookmarkStart w:id="5" w:name="_Toc459130650"/>
      <w:r>
        <w:lastRenderedPageBreak/>
        <w:t>Chapter 1</w:t>
      </w:r>
      <w:r w:rsidR="00AF4FFA">
        <w:t>: A Literature R</w:t>
      </w:r>
      <w:r w:rsidR="003661FA">
        <w:t>eview</w:t>
      </w:r>
      <w:r w:rsidR="008A5706">
        <w:t>: A View of Binding Interactions from Water</w:t>
      </w:r>
      <w:bookmarkEnd w:id="5"/>
      <w:r w:rsidR="008A5706">
        <w:t xml:space="preserve"> </w:t>
      </w:r>
    </w:p>
    <w:p w:rsidR="00050649" w:rsidRDefault="00050649" w:rsidP="00050649">
      <w:pPr>
        <w:spacing w:line="480" w:lineRule="auto"/>
        <w:rPr>
          <w:b/>
        </w:rPr>
      </w:pPr>
    </w:p>
    <w:p w:rsidR="00050649" w:rsidRDefault="00050649" w:rsidP="00050649">
      <w:pPr>
        <w:spacing w:line="480" w:lineRule="auto"/>
        <w:rPr>
          <w:b/>
        </w:rPr>
      </w:pPr>
    </w:p>
    <w:p w:rsidR="00050649" w:rsidRDefault="00050649" w:rsidP="00DE0962">
      <w:pPr>
        <w:spacing w:line="480" w:lineRule="auto"/>
        <w:jc w:val="center"/>
        <w:rPr>
          <w:b/>
        </w:rPr>
      </w:pPr>
    </w:p>
    <w:p w:rsidR="00050649" w:rsidRDefault="00050649" w:rsidP="00DE0962">
      <w:pPr>
        <w:spacing w:line="480" w:lineRule="auto"/>
        <w:jc w:val="center"/>
        <w:rPr>
          <w:b/>
        </w:rPr>
      </w:pPr>
    </w:p>
    <w:p w:rsidR="00050649" w:rsidRDefault="00050649" w:rsidP="00DE0962">
      <w:pPr>
        <w:spacing w:line="480" w:lineRule="auto"/>
        <w:jc w:val="center"/>
        <w:rPr>
          <w:b/>
        </w:rPr>
      </w:pPr>
    </w:p>
    <w:p w:rsidR="00050649" w:rsidRDefault="00050649" w:rsidP="00DE0962">
      <w:pPr>
        <w:spacing w:line="480" w:lineRule="auto"/>
        <w:jc w:val="center"/>
        <w:rPr>
          <w:b/>
        </w:rPr>
      </w:pPr>
    </w:p>
    <w:p w:rsidR="00050649" w:rsidRDefault="00050649" w:rsidP="00DE0962">
      <w:pPr>
        <w:spacing w:line="480" w:lineRule="auto"/>
        <w:jc w:val="center"/>
        <w:rPr>
          <w:b/>
        </w:rPr>
      </w:pPr>
    </w:p>
    <w:p w:rsidR="00050649" w:rsidRDefault="00050649" w:rsidP="00DE0962">
      <w:pPr>
        <w:spacing w:line="480" w:lineRule="auto"/>
        <w:jc w:val="center"/>
        <w:rPr>
          <w:b/>
        </w:rPr>
      </w:pPr>
    </w:p>
    <w:p w:rsidR="00050649" w:rsidRDefault="00050649" w:rsidP="00DE0962">
      <w:pPr>
        <w:spacing w:line="480" w:lineRule="auto"/>
        <w:jc w:val="center"/>
        <w:rPr>
          <w:b/>
        </w:rPr>
      </w:pPr>
    </w:p>
    <w:p w:rsidR="00050649" w:rsidRDefault="00050649" w:rsidP="00050649">
      <w:pPr>
        <w:spacing w:line="480" w:lineRule="auto"/>
        <w:rPr>
          <w:b/>
        </w:rPr>
      </w:pPr>
    </w:p>
    <w:p w:rsidR="00EC5041" w:rsidRDefault="00EC5041" w:rsidP="002C4688">
      <w:pPr>
        <w:jc w:val="center"/>
        <w:rPr>
          <w:b/>
        </w:rPr>
      </w:pPr>
    </w:p>
    <w:p w:rsidR="00655BE2" w:rsidRDefault="00655BE2" w:rsidP="002C4688">
      <w:pPr>
        <w:jc w:val="center"/>
        <w:rPr>
          <w:b/>
        </w:rPr>
      </w:pPr>
    </w:p>
    <w:p w:rsidR="00655BE2" w:rsidRDefault="00655BE2" w:rsidP="002C4688">
      <w:pPr>
        <w:jc w:val="center"/>
        <w:rPr>
          <w:b/>
        </w:rPr>
      </w:pPr>
    </w:p>
    <w:p w:rsidR="00655BE2" w:rsidRDefault="00655BE2" w:rsidP="002C4688">
      <w:pPr>
        <w:jc w:val="center"/>
        <w:rPr>
          <w:b/>
        </w:rPr>
      </w:pPr>
    </w:p>
    <w:p w:rsidR="00655BE2" w:rsidRDefault="00655BE2" w:rsidP="002C4688">
      <w:pPr>
        <w:jc w:val="center"/>
        <w:rPr>
          <w:b/>
        </w:rPr>
      </w:pPr>
    </w:p>
    <w:p w:rsidR="00655BE2" w:rsidRDefault="00655BE2" w:rsidP="002C4688">
      <w:pPr>
        <w:jc w:val="center"/>
        <w:rPr>
          <w:b/>
        </w:rPr>
      </w:pPr>
    </w:p>
    <w:p w:rsidR="00655BE2" w:rsidRDefault="00655BE2" w:rsidP="002C4688">
      <w:pPr>
        <w:jc w:val="center"/>
        <w:rPr>
          <w:b/>
        </w:rPr>
      </w:pPr>
    </w:p>
    <w:p w:rsidR="00655BE2" w:rsidRDefault="00655BE2" w:rsidP="002C4688">
      <w:pPr>
        <w:jc w:val="center"/>
        <w:rPr>
          <w:b/>
        </w:rPr>
      </w:pPr>
    </w:p>
    <w:p w:rsidR="00655BE2" w:rsidRDefault="00655BE2" w:rsidP="002C4688">
      <w:pPr>
        <w:jc w:val="center"/>
        <w:rPr>
          <w:b/>
        </w:rPr>
      </w:pPr>
    </w:p>
    <w:p w:rsidR="00EC5041" w:rsidRDefault="00EC5041" w:rsidP="002C4688">
      <w:pPr>
        <w:jc w:val="center"/>
        <w:rPr>
          <w:b/>
        </w:rPr>
      </w:pPr>
    </w:p>
    <w:p w:rsidR="00EC5041" w:rsidRDefault="00EC5041" w:rsidP="002C4688">
      <w:pPr>
        <w:jc w:val="center"/>
        <w:rPr>
          <w:b/>
        </w:rPr>
      </w:pPr>
    </w:p>
    <w:p w:rsidR="00D901F9" w:rsidRPr="002C4688" w:rsidRDefault="00AF4FFA" w:rsidP="00EC5041">
      <w:pPr>
        <w:pStyle w:val="Heading2"/>
      </w:pPr>
      <w:bookmarkStart w:id="6" w:name="_Toc459130651"/>
      <w:r>
        <w:lastRenderedPageBreak/>
        <w:t>Literature Review S</w:t>
      </w:r>
      <w:r w:rsidR="00D901F9" w:rsidRPr="002C4688">
        <w:t>ummary</w:t>
      </w:r>
      <w:bookmarkEnd w:id="6"/>
    </w:p>
    <w:p w:rsidR="005E5D1B" w:rsidRPr="005E5D1B" w:rsidRDefault="005E5D1B" w:rsidP="005E5D1B"/>
    <w:p w:rsidR="00D901F9" w:rsidRDefault="0091721E" w:rsidP="00612909">
      <w:pPr>
        <w:spacing w:line="480" w:lineRule="auto"/>
        <w:jc w:val="both"/>
      </w:pPr>
      <w:r>
        <w:t xml:space="preserve">Thermodynamics underpins the driving forces behind protein folding, protein-ligand binding </w:t>
      </w:r>
      <w:r w:rsidR="0029483B">
        <w:t xml:space="preserve">and biosynthesis. This review sets out an introduction to enthalpy </w:t>
      </w:r>
      <w:r w:rsidR="0050110E">
        <w:t>(∆</w:t>
      </w:r>
      <w:r w:rsidR="0050110E" w:rsidRPr="0050110E">
        <w:rPr>
          <w:i/>
        </w:rPr>
        <w:t>H</w:t>
      </w:r>
      <w:r w:rsidR="0050110E">
        <w:t xml:space="preserve">) </w:t>
      </w:r>
      <w:r w:rsidR="0029483B">
        <w:t xml:space="preserve">and entropy </w:t>
      </w:r>
      <w:r w:rsidR="00233F5A">
        <w:t>T∆</w:t>
      </w:r>
      <w:r w:rsidR="00233F5A" w:rsidRPr="00233F5A">
        <w:rPr>
          <w:i/>
        </w:rPr>
        <w:t>S</w:t>
      </w:r>
      <w:r w:rsidR="00233F5A">
        <w:t xml:space="preserve">) </w:t>
      </w:r>
      <w:r w:rsidR="0029483B">
        <w:t>and how these qualities relate to the Gibbs free energy of binding</w:t>
      </w:r>
      <w:r w:rsidR="00233F5A">
        <w:t xml:space="preserve"> (∆</w:t>
      </w:r>
      <w:r w:rsidR="00233F5A">
        <w:rPr>
          <w:i/>
        </w:rPr>
        <w:t>G</w:t>
      </w:r>
      <w:r w:rsidR="00233F5A">
        <w:t>)</w:t>
      </w:r>
      <w:r w:rsidR="0029483B">
        <w:t xml:space="preserve">. </w:t>
      </w:r>
      <w:r w:rsidR="00F71466">
        <w:t xml:space="preserve">This is then put into </w:t>
      </w:r>
      <w:r w:rsidR="007F599D">
        <w:t xml:space="preserve">the </w:t>
      </w:r>
      <w:r w:rsidR="00F71466">
        <w:t xml:space="preserve">context of ligand-protein interactions as this also allows for a review of advances in </w:t>
      </w:r>
      <w:r w:rsidR="00EA5079">
        <w:t xml:space="preserve">isothermal titration calorimetry </w:t>
      </w:r>
      <w:r w:rsidR="00CE1A31">
        <w:t>(ITC)</w:t>
      </w:r>
      <w:r w:rsidR="00F71466">
        <w:t xml:space="preserve">. </w:t>
      </w:r>
      <w:r w:rsidR="00E749BA">
        <w:t xml:space="preserve"> </w:t>
      </w:r>
      <w:r w:rsidR="00F71466">
        <w:t>Many ITC studies</w:t>
      </w:r>
      <w:r w:rsidR="00E749BA">
        <w:t xml:space="preserve"> also</w:t>
      </w:r>
      <w:r w:rsidR="00F71466">
        <w:t xml:space="preserve"> suggest that water is one of the driving forces of protein-ligand interactions and </w:t>
      </w:r>
      <w:r w:rsidR="008644AF">
        <w:t xml:space="preserve">a lack of </w:t>
      </w:r>
      <w:r w:rsidR="00233F5A">
        <w:t xml:space="preserve">a </w:t>
      </w:r>
      <w:r w:rsidR="008644AF">
        <w:t xml:space="preserve">complete understanding of </w:t>
      </w:r>
      <w:r w:rsidR="00F71466">
        <w:t xml:space="preserve">water is </w:t>
      </w:r>
      <w:r w:rsidR="00233F5A">
        <w:t>why</w:t>
      </w:r>
      <w:r w:rsidR="00F71466">
        <w:t xml:space="preserve"> </w:t>
      </w:r>
      <w:r w:rsidR="00233F5A">
        <w:t xml:space="preserve">studying </w:t>
      </w:r>
      <w:r w:rsidR="00F71466">
        <w:t xml:space="preserve">entropy-enthalpy compensation, ligand binding and </w:t>
      </w:r>
      <w:r w:rsidR="00233F5A">
        <w:t>protein conformational changes</w:t>
      </w:r>
      <w:r w:rsidR="00F71466">
        <w:t xml:space="preserve"> </w:t>
      </w:r>
      <w:r w:rsidR="00233F5A">
        <w:t>are particularly challenging.</w:t>
      </w:r>
      <w:r w:rsidR="0029483B">
        <w:t xml:space="preserve"> </w:t>
      </w:r>
      <w:r>
        <w:t xml:space="preserve"> </w:t>
      </w:r>
      <w:r w:rsidR="005D3AFB">
        <w:t xml:space="preserve">The </w:t>
      </w:r>
      <w:r w:rsidR="008644AF">
        <w:t xml:space="preserve">subsequent </w:t>
      </w:r>
      <w:r w:rsidR="005D3AFB">
        <w:t>part of this review sets out n</w:t>
      </w:r>
      <w:r w:rsidR="00CE1A31">
        <w:t>ew theories of molecular water and how the hydration layers around both proteins and ligands can be altered using simple solutes. The last part of the review provides information on different modes of binding cooperativity identified by ITC</w:t>
      </w:r>
      <w:r w:rsidR="00E749BA">
        <w:t xml:space="preserve">. The literature review is set out in such a way that the reader gains an appreciation of </w:t>
      </w:r>
      <w:r w:rsidR="006D76DD">
        <w:t xml:space="preserve">the role of water in protein-ligand interactions and binding cooperativity, as both are </w:t>
      </w:r>
      <w:r w:rsidR="00E749BA">
        <w:t xml:space="preserve">critical to gaining an insight into tannin/phytate interactions with proteins. </w:t>
      </w:r>
    </w:p>
    <w:p w:rsidR="00050649" w:rsidRDefault="00050649" w:rsidP="00612909">
      <w:pPr>
        <w:spacing w:line="480" w:lineRule="auto"/>
        <w:jc w:val="both"/>
      </w:pPr>
    </w:p>
    <w:p w:rsidR="00050649" w:rsidRDefault="00050649" w:rsidP="00612909">
      <w:pPr>
        <w:spacing w:line="480" w:lineRule="auto"/>
        <w:jc w:val="both"/>
      </w:pPr>
    </w:p>
    <w:p w:rsidR="00050649" w:rsidRDefault="00050649" w:rsidP="00612909">
      <w:pPr>
        <w:spacing w:line="480" w:lineRule="auto"/>
        <w:jc w:val="both"/>
      </w:pPr>
    </w:p>
    <w:p w:rsidR="00050649" w:rsidRDefault="00050649" w:rsidP="00612909">
      <w:pPr>
        <w:spacing w:line="480" w:lineRule="auto"/>
        <w:jc w:val="both"/>
      </w:pPr>
    </w:p>
    <w:p w:rsidR="00050649" w:rsidRDefault="00050649" w:rsidP="00612909">
      <w:pPr>
        <w:spacing w:line="480" w:lineRule="auto"/>
        <w:jc w:val="both"/>
      </w:pPr>
    </w:p>
    <w:p w:rsidR="00050649" w:rsidRDefault="00050649" w:rsidP="00612909">
      <w:pPr>
        <w:spacing w:line="480" w:lineRule="auto"/>
        <w:jc w:val="both"/>
      </w:pPr>
    </w:p>
    <w:p w:rsidR="00655BE2" w:rsidRPr="00655BE2" w:rsidRDefault="00655BE2" w:rsidP="00655BE2"/>
    <w:p w:rsidR="00050649" w:rsidRDefault="00050649" w:rsidP="00BA2CC0">
      <w:pPr>
        <w:pStyle w:val="Heading2"/>
      </w:pPr>
      <w:bookmarkStart w:id="7" w:name="_Toc459130652"/>
      <w:r>
        <w:lastRenderedPageBreak/>
        <w:t>Introduction to</w:t>
      </w:r>
      <w:r w:rsidR="00AF4FFA">
        <w:t xml:space="preserve"> Concepts A</w:t>
      </w:r>
      <w:r w:rsidR="0032469F">
        <w:t>ssociated with Free E</w:t>
      </w:r>
      <w:r w:rsidR="00AF4FFA">
        <w:t>nergy C</w:t>
      </w:r>
      <w:r w:rsidR="0083333F">
        <w:t>hanges</w:t>
      </w:r>
      <w:bookmarkEnd w:id="7"/>
    </w:p>
    <w:p w:rsidR="005E5D1B" w:rsidRPr="005E5D1B" w:rsidRDefault="005E5D1B" w:rsidP="005E5D1B"/>
    <w:p w:rsidR="00050649" w:rsidRDefault="00563B06" w:rsidP="00612909">
      <w:pPr>
        <w:spacing w:line="480" w:lineRule="auto"/>
        <w:jc w:val="both"/>
      </w:pPr>
      <w:r>
        <w:t>One of the main objectives of physical biochemistry is the explanation of driving forces for biological interactions.  A related problem for medicinal chemists is how to design compounds with high affinity for biological receptors. At the root of both problems is an incomplete understanding of the fact</w:t>
      </w:r>
      <w:r w:rsidR="00107B4F">
        <w:t xml:space="preserve">ors that determine how strong these interactions are. </w:t>
      </w:r>
      <w:r w:rsidR="009471F4">
        <w:t>Thermodynamics, originally formulated to increase the efficiency of steam engines, can be applied to understand the driving forces behind biological interactions in what</w:t>
      </w:r>
      <w:r w:rsidR="00DB7B4C">
        <w:t xml:space="preserve"> is known as biothermodynamics.</w:t>
      </w:r>
      <w:r w:rsidR="00DC65BD">
        <w:t xml:space="preserve"> </w:t>
      </w:r>
    </w:p>
    <w:p w:rsidR="00DC65BD" w:rsidRDefault="008E7EFA" w:rsidP="00612909">
      <w:pPr>
        <w:spacing w:line="480" w:lineRule="auto"/>
        <w:jc w:val="both"/>
      </w:pPr>
      <w:r>
        <w:t>Enthalpy</w:t>
      </w:r>
      <w:r w:rsidR="00397EF4">
        <w:t xml:space="preserve"> (</w:t>
      </w:r>
      <w:r w:rsidR="00397EF4" w:rsidRPr="00862B2D">
        <w:t>Δ</w:t>
      </w:r>
      <w:r w:rsidR="00397EF4" w:rsidRPr="00397EF4">
        <w:rPr>
          <w:i/>
        </w:rPr>
        <w:t>H</w:t>
      </w:r>
      <w:r w:rsidR="00397EF4">
        <w:t xml:space="preserve">) </w:t>
      </w:r>
      <w:r w:rsidR="004D1C14">
        <w:t xml:space="preserve">is </w:t>
      </w:r>
      <w:r>
        <w:t xml:space="preserve">the change in heat </w:t>
      </w:r>
      <w:r w:rsidR="00FC3F8D">
        <w:t>arising from a change in internal energ</w:t>
      </w:r>
      <w:r w:rsidR="00397EF4">
        <w:t>y (Δ</w:t>
      </w:r>
      <w:r w:rsidR="00397EF4" w:rsidRPr="00D76DD0">
        <w:rPr>
          <w:i/>
        </w:rPr>
        <w:t>U</w:t>
      </w:r>
      <w:r w:rsidR="00397EF4">
        <w:t xml:space="preserve">) </w:t>
      </w:r>
      <w:r w:rsidR="00FC3F8D">
        <w:t>and a change in pressure</w:t>
      </w:r>
      <w:r w:rsidR="00397EF4">
        <w:t xml:space="preserve">, volume or some combination of these </w:t>
      </w:r>
      <w:r w:rsidR="008644AF">
        <w:t>factors (</w:t>
      </w:r>
      <w:r w:rsidR="008644AF" w:rsidRPr="00397EF4">
        <w:rPr>
          <w:i/>
        </w:rPr>
        <w:t>p</w:t>
      </w:r>
      <m:oMath>
        <m:r>
          <m:rPr>
            <m:sty m:val="p"/>
          </m:rPr>
          <w:rPr>
            <w:rFonts w:ascii="Cambria Math" w:hAnsi="Cambria Math"/>
          </w:rPr>
          <m:t>Δ</m:t>
        </m:r>
      </m:oMath>
      <w:r w:rsidR="008644AF" w:rsidRPr="00397EF4">
        <w:rPr>
          <w:i/>
        </w:rPr>
        <w:t>V</w:t>
      </w:r>
      <w:r w:rsidR="008644AF">
        <w:t xml:space="preserve">) </w:t>
      </w:r>
      <w:r w:rsidR="00664087">
        <w:t>(</w:t>
      </w:r>
      <w:r w:rsidR="005958A0">
        <w:t>Equation 1.1</w:t>
      </w:r>
      <w:r w:rsidR="00664087">
        <w:t>)</w:t>
      </w:r>
      <w:r w:rsidR="00C90A1B">
        <w:t>.</w:t>
      </w:r>
      <w:hyperlink w:anchor="_ENREF_1" w:tooltip="Nilsson, 2014 #676" w:history="1">
        <w:r w:rsidR="00512D09">
          <w:fldChar w:fldCharType="begin"/>
        </w:r>
        <w:r w:rsidR="00512D09">
          <w:instrText xml:space="preserve"> ADDIN EN.CITE &lt;EndNote&gt;&lt;Cite&gt;&lt;Author&gt;Nilsson&lt;/Author&gt;&lt;Year&gt;2014&lt;/Year&gt;&lt;RecNum&gt;676&lt;/RecNum&gt;&lt;DisplayText&gt;&lt;style face="superscript"&gt;1&lt;/style&gt;&lt;/DisplayText&gt;&lt;record&gt;&lt;rec-number&gt;676&lt;/rec-number&gt;&lt;foreign-keys&gt;&lt;key app="EN" db-id="5trrespwzsdr07efd5tx2w96x22re9s0fsdt"&gt;676&lt;/key&gt;&lt;/foreign-keys&gt;&lt;ref-type name="Journal Article"&gt;17&lt;/ref-type&gt;&lt;contributors&gt;&lt;authors&gt;&lt;author&gt;Nilsson, Tor&lt;/author&gt;&lt;author&gt;Niedderer, Hans&lt;/author&gt;&lt;/authors&gt;&lt;/contributors&gt;&lt;titles&gt;&lt;title&gt;Undergraduate students&amp;apos; conceptions of enthalpy, enthalpy change and related concepts&lt;/title&gt;&lt;secondary-title&gt;Chemistry Education Research and Practice&lt;/secondary-title&gt;&lt;/titles&gt;&lt;periodical&gt;&lt;full-title&gt;Chemistry Education Research and Practice&lt;/full-title&gt;&lt;/periodical&gt;&lt;pages&gt;336-353&lt;/pages&gt;&lt;volume&gt;15&lt;/volume&gt;&lt;number&gt;3&lt;/number&gt;&lt;dates&gt;&lt;year&gt;2014&lt;/year&gt;&lt;/dates&gt;&lt;urls&gt;&lt;/urls&gt;&lt;/record&gt;&lt;/Cite&gt;&lt;/EndNote&gt;</w:instrText>
        </w:r>
        <w:r w:rsidR="00512D09">
          <w:fldChar w:fldCharType="separate"/>
        </w:r>
        <w:r w:rsidR="00512D09" w:rsidRPr="00C90A1B">
          <w:rPr>
            <w:noProof/>
            <w:vertAlign w:val="superscript"/>
          </w:rPr>
          <w:t>1</w:t>
        </w:r>
        <w:r w:rsidR="00512D09">
          <w:fldChar w:fldCharType="end"/>
        </w:r>
      </w:hyperlink>
      <w:r w:rsidR="00FC3F8D">
        <w:t xml:space="preserve"> In a </w:t>
      </w:r>
      <w:r w:rsidR="00700CF1">
        <w:t>chemistry</w:t>
      </w:r>
      <w:r w:rsidR="00FC3F8D">
        <w:t xml:space="preserve"> context, it is the net heat produced in the breakage and the formation</w:t>
      </w:r>
      <w:r w:rsidR="00700CF1">
        <w:t xml:space="preserve"> of bonds. </w:t>
      </w:r>
      <w:r w:rsidR="00DC65BD">
        <w:t xml:space="preserve">A process in a system which releases heat into the surroundings is </w:t>
      </w:r>
      <w:r w:rsidR="008644AF">
        <w:t>termed</w:t>
      </w:r>
      <w:r w:rsidR="00DC65BD">
        <w:t xml:space="preserve"> exothermic. A process in a system that absorbs heat in the surroundings is </w:t>
      </w:r>
      <w:r w:rsidR="008644AF">
        <w:t>termed</w:t>
      </w:r>
      <w:r w:rsidR="00DC65BD">
        <w:t xml:space="preserve"> endothermic.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061"/>
      </w:tblGrid>
      <w:tr w:rsidR="00BF5905" w:rsidTr="00BF5905">
        <w:tc>
          <w:tcPr>
            <w:tcW w:w="5353" w:type="dxa"/>
          </w:tcPr>
          <w:p w:rsidR="00BF5905" w:rsidRDefault="00BF5905" w:rsidP="00BF5905">
            <w:pPr>
              <w:spacing w:line="480" w:lineRule="auto"/>
              <w:jc w:val="right"/>
            </w:pPr>
            <m:oMath>
              <m:r>
                <w:rPr>
                  <w:rFonts w:ascii="Cambria Math" w:hAnsi="Cambria Math"/>
                </w:rPr>
                <m:t>ΔH= ΔU+ pΔV</m:t>
              </m:r>
            </m:oMath>
            <w:r>
              <w:rPr>
                <w:rFonts w:eastAsiaTheme="minorEastAsia"/>
              </w:rPr>
              <w:t xml:space="preserve">    </w:t>
            </w:r>
          </w:p>
        </w:tc>
        <w:tc>
          <w:tcPr>
            <w:tcW w:w="3061" w:type="dxa"/>
          </w:tcPr>
          <w:p w:rsidR="00BF5905" w:rsidRPr="00BF5905" w:rsidRDefault="00BF5905" w:rsidP="00BF5905">
            <w:pPr>
              <w:keepNext/>
              <w:spacing w:line="480" w:lineRule="auto"/>
              <w:jc w:val="right"/>
              <w:rPr>
                <w:rFonts w:eastAsiaTheme="minorEastAsia"/>
              </w:rPr>
            </w:pPr>
            <w:r>
              <w:rPr>
                <w:rFonts w:eastAsiaTheme="minorEastAsia"/>
              </w:rPr>
              <w:t>(</w:t>
            </w:r>
            <w:r w:rsidRPr="00BF5905">
              <w:rPr>
                <w:rFonts w:eastAsiaTheme="minorEastAsia"/>
                <w:i/>
              </w:rPr>
              <w:t>1.</w:t>
            </w:r>
            <w:r w:rsidR="005958A0">
              <w:rPr>
                <w:rFonts w:eastAsiaTheme="minorEastAsia"/>
                <w:i/>
              </w:rPr>
              <w:t>1</w:t>
            </w:r>
            <w:r>
              <w:rPr>
                <w:rFonts w:eastAsiaTheme="minorEastAsia"/>
              </w:rPr>
              <w:t>)</w:t>
            </w:r>
          </w:p>
        </w:tc>
      </w:tr>
    </w:tbl>
    <w:p w:rsidR="00320CF2" w:rsidRDefault="00D76DD0" w:rsidP="00612909">
      <w:pPr>
        <w:spacing w:line="480" w:lineRule="auto"/>
        <w:jc w:val="both"/>
      </w:pPr>
      <w:r>
        <w:t>Δ</w:t>
      </w:r>
      <w:r>
        <w:rPr>
          <w:i/>
        </w:rPr>
        <w:t>H</w:t>
      </w:r>
      <w:r w:rsidR="00864326" w:rsidRPr="004A723D">
        <w:t xml:space="preserve"> differs from the </w:t>
      </w:r>
      <w:r>
        <w:t>Δ</w:t>
      </w:r>
      <w:r w:rsidRPr="00D76DD0">
        <w:rPr>
          <w:i/>
        </w:rPr>
        <w:t>U</w:t>
      </w:r>
      <w:r w:rsidRPr="004A723D">
        <w:t xml:space="preserve"> </w:t>
      </w:r>
      <w:r w:rsidR="00864326" w:rsidRPr="004A723D">
        <w:t xml:space="preserve">by the addition of the product of the pressure </w:t>
      </w:r>
      <w:r>
        <w:t>(</w:t>
      </w:r>
      <w:r w:rsidR="00233F5A">
        <w:rPr>
          <w:i/>
        </w:rPr>
        <w:t>p</w:t>
      </w:r>
      <w:r>
        <w:rPr>
          <w:i/>
        </w:rPr>
        <w:t>)</w:t>
      </w:r>
      <w:r w:rsidR="00864326" w:rsidRPr="004A723D">
        <w:t xml:space="preserve"> and the volume </w:t>
      </w:r>
      <w:r w:rsidRPr="00D76DD0">
        <w:t>(</w:t>
      </w:r>
      <w:r w:rsidR="00864326" w:rsidRPr="00A0474E">
        <w:rPr>
          <w:i/>
        </w:rPr>
        <w:t>V</w:t>
      </w:r>
      <w:r w:rsidRPr="00D76DD0">
        <w:t>)</w:t>
      </w:r>
      <w:r w:rsidR="00864326" w:rsidRPr="004A723D">
        <w:t xml:space="preserve"> of the system.</w:t>
      </w:r>
      <w:r w:rsidR="00864326">
        <w:t xml:space="preserve"> </w:t>
      </w:r>
      <w:r w:rsidR="00753FF5">
        <w:t xml:space="preserve">Examples from chemistry of exothermic reactions are combustion reactions in which organic compounds are completely oxidised by molecular oxygen to carbon dioxide and water. The thermodynamic driving force can be explained by a favourable reduction in </w:t>
      </w:r>
      <w:r w:rsidR="00397EF4" w:rsidRPr="00A0474E">
        <w:t>Δ</w:t>
      </w:r>
      <w:r w:rsidR="00397EF4" w:rsidRPr="00397EF4">
        <w:rPr>
          <w:i/>
        </w:rPr>
        <w:t>H</w:t>
      </w:r>
      <w:r w:rsidR="00882E9C" w:rsidRPr="00882E9C">
        <w:t xml:space="preserve"> </w:t>
      </w:r>
      <w:r w:rsidR="00753FF5">
        <w:t xml:space="preserve">meaning </w:t>
      </w:r>
      <w:r w:rsidR="00882E9C">
        <w:t xml:space="preserve">a negative value. Endothermic reactions cannot be explained by a favourable reduction in </w:t>
      </w:r>
      <w:r w:rsidR="00397EF4" w:rsidRPr="00A0474E">
        <w:t>Δ</w:t>
      </w:r>
      <w:r w:rsidR="00397EF4" w:rsidRPr="00397EF4">
        <w:rPr>
          <w:i/>
        </w:rPr>
        <w:t>H</w:t>
      </w:r>
      <w:r w:rsidR="00882E9C">
        <w:t xml:space="preserve"> as they have a positive value. This means a secondary factor has to be invoked as some endothermic reactions are spontaneous</w:t>
      </w:r>
      <w:r w:rsidR="00B35AC0">
        <w:t>.</w:t>
      </w:r>
      <w:hyperlink w:anchor="_ENREF_1" w:tooltip="Nilsson, 2014 #676" w:history="1">
        <w:r w:rsidR="00512D09">
          <w:fldChar w:fldCharType="begin"/>
        </w:r>
        <w:r w:rsidR="00512D09">
          <w:instrText xml:space="preserve"> ADDIN EN.CITE &lt;EndNote&gt;&lt;Cite&gt;&lt;Author&gt;Nilsson&lt;/Author&gt;&lt;Year&gt;2014&lt;/Year&gt;&lt;RecNum&gt;676&lt;/RecNum&gt;&lt;DisplayText&gt;&lt;style face="superscript"&gt;1&lt;/style&gt;&lt;/DisplayText&gt;&lt;record&gt;&lt;rec-number&gt;676&lt;/rec-number&gt;&lt;foreign-keys&gt;&lt;key app="EN" db-id="5trrespwzsdr07efd5tx2w96x22re9s0fsdt"&gt;676&lt;/key&gt;&lt;/foreign-keys&gt;&lt;ref-type name="Journal Article"&gt;17&lt;/ref-type&gt;&lt;contributors&gt;&lt;authors&gt;&lt;author&gt;Nilsson, Tor&lt;/author&gt;&lt;author&gt;Niedderer, Hans&lt;/author&gt;&lt;/authors&gt;&lt;/contributors&gt;&lt;titles&gt;&lt;title&gt;Undergraduate students&amp;apos; conceptions of enthalpy, enthalpy change and related concepts&lt;/title&gt;&lt;secondary-title&gt;Chemistry Education Research and Practice&lt;/secondary-title&gt;&lt;/titles&gt;&lt;periodical&gt;&lt;full-title&gt;Chemistry Education Research and Practice&lt;/full-title&gt;&lt;/periodical&gt;&lt;pages&gt;336-353&lt;/pages&gt;&lt;volume&gt;15&lt;/volume&gt;&lt;number&gt;3&lt;/number&gt;&lt;dates&gt;&lt;year&gt;2014&lt;/year&gt;&lt;/dates&gt;&lt;urls&gt;&lt;/urls&gt;&lt;/record&gt;&lt;/Cite&gt;&lt;/EndNote&gt;</w:instrText>
        </w:r>
        <w:r w:rsidR="00512D09">
          <w:fldChar w:fldCharType="separate"/>
        </w:r>
        <w:r w:rsidR="00512D09" w:rsidRPr="00B35AC0">
          <w:rPr>
            <w:noProof/>
            <w:vertAlign w:val="superscript"/>
          </w:rPr>
          <w:t>1</w:t>
        </w:r>
        <w:r w:rsidR="00512D09">
          <w:fldChar w:fldCharType="end"/>
        </w:r>
      </w:hyperlink>
      <w:r w:rsidR="00882E9C">
        <w:t xml:space="preserve"> This is entropy. </w:t>
      </w:r>
    </w:p>
    <w:p w:rsidR="00201F56" w:rsidRDefault="00201F56" w:rsidP="00612909">
      <w:pPr>
        <w:spacing w:line="480" w:lineRule="auto"/>
        <w:jc w:val="both"/>
      </w:pPr>
      <w:r>
        <w:lastRenderedPageBreak/>
        <w:t xml:space="preserve">The expansion of a perfect gas in a vacuum is an example of a spontaneous reaction that occurs with no </w:t>
      </w:r>
      <w:r w:rsidRPr="00A0474E">
        <w:t>Δ</w:t>
      </w:r>
      <w:r w:rsidRPr="00397EF4">
        <w:rPr>
          <w:i/>
        </w:rPr>
        <w:t>H</w:t>
      </w:r>
      <w:r w:rsidR="00B35AC0">
        <w:rPr>
          <w:i/>
        </w:rPr>
        <w:t>.</w:t>
      </w:r>
      <w:hyperlink w:anchor="_ENREF_2" w:tooltip="Langbeheim, 2014 #677" w:history="1">
        <w:r w:rsidR="00512D09" w:rsidRPr="00B35AC0">
          <w:fldChar w:fldCharType="begin"/>
        </w:r>
        <w:r w:rsidR="00512D09" w:rsidRPr="00B35AC0">
          <w:instrText xml:space="preserve"> ADDIN EN.CITE &lt;EndNote&gt;&lt;Cite&gt;&lt;Author&gt;Langbeheim&lt;/Author&gt;&lt;Year&gt;2014&lt;/Year&gt;&lt;RecNum&gt;677&lt;/RecNum&gt;&lt;DisplayText&gt;&lt;style face="superscript"&gt;2&lt;/style&gt;&lt;/DisplayText&gt;&lt;record&gt;&lt;rec-number&gt;677&lt;/rec-number&gt;&lt;foreign-keys&gt;&lt;key app="EN" db-id="5trrespwzsdr07efd5tx2w96x22re9s0fsdt"&gt;677&lt;/key&gt;&lt;/foreign-keys&gt;&lt;ref-type name="Journal Article"&gt;17&lt;/ref-type&gt;&lt;contributors&gt;&lt;authors&gt;&lt;author&gt;Langbeheim, Elon&lt;/author&gt;&lt;author&gt;Safran, Samuel A.&lt;/author&gt;&lt;author&gt;Yerushalmi, Edit&lt;/author&gt;&lt;/authors&gt;&lt;/contributors&gt;&lt;titles&gt;&lt;title&gt;Visualizing the Entropy Change of a Thermal Reservoir&lt;/title&gt;&lt;secondary-title&gt;Journal of Chemical Education&lt;/secondary-title&gt;&lt;/titles&gt;&lt;periodical&gt;&lt;full-title&gt;Journal of Chemical Education&lt;/full-title&gt;&lt;/periodical&gt;&lt;pages&gt;380-385&lt;/pages&gt;&lt;volume&gt;91&lt;/volume&gt;&lt;number&gt;3&lt;/number&gt;&lt;dates&gt;&lt;year&gt;2014&lt;/year&gt;&lt;pub-dates&gt;&lt;date&gt;2014/03/11&lt;/date&gt;&lt;/pub-dates&gt;&lt;/dates&gt;&lt;publisher&gt;American Chemical Society&lt;/publisher&gt;&lt;isbn&gt;0021-9584&lt;/isbn&gt;&lt;urls&gt;&lt;related-urls&gt;&lt;url&gt;http://dx.doi.org/10.1021/ed400180w&lt;/url&gt;&lt;/related-urls&gt;&lt;/urls&gt;&lt;electronic-resource-num&gt;10.1021/ed400180w&lt;/electronic-resource-num&gt;&lt;/record&gt;&lt;/Cite&gt;&lt;/EndNote&gt;</w:instrText>
        </w:r>
        <w:r w:rsidR="00512D09" w:rsidRPr="00B35AC0">
          <w:fldChar w:fldCharType="separate"/>
        </w:r>
        <w:r w:rsidR="00512D09" w:rsidRPr="00B35AC0">
          <w:rPr>
            <w:noProof/>
            <w:vertAlign w:val="superscript"/>
          </w:rPr>
          <w:t>2</w:t>
        </w:r>
        <w:r w:rsidR="00512D09" w:rsidRPr="00B35AC0">
          <w:fldChar w:fldCharType="end"/>
        </w:r>
      </w:hyperlink>
      <w:r>
        <w:t xml:space="preserve"> The key feature is the dispersal of energy (and matter) so that it becomes more evenly distributed throughout the area. The measure of dispersal of energy or matter is called entropy,</w:t>
      </w:r>
      <w:r w:rsidRPr="00397EF4">
        <w:rPr>
          <w:i/>
        </w:rPr>
        <w:t xml:space="preserve"> S</w:t>
      </w:r>
      <w:r w:rsidR="00664087" w:rsidRPr="00664087">
        <w:rPr>
          <w:i/>
        </w:rPr>
        <w:t xml:space="preserve"> </w:t>
      </w:r>
      <w:r w:rsidR="00664087" w:rsidRPr="00B35AC0">
        <w:t>(</w:t>
      </w:r>
      <w:r w:rsidR="00322872">
        <w:t>Equation 1.2</w:t>
      </w:r>
      <w:r w:rsidR="00664087" w:rsidRPr="00B35AC0">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061"/>
      </w:tblGrid>
      <w:tr w:rsidR="00BF5905" w:rsidRPr="00BF5905" w:rsidTr="006E62CB">
        <w:tc>
          <w:tcPr>
            <w:tcW w:w="5353" w:type="dxa"/>
          </w:tcPr>
          <w:p w:rsidR="00BF5905" w:rsidRPr="00787350" w:rsidRDefault="00BF5905" w:rsidP="00787350">
            <w:pPr>
              <w:keepNext/>
              <w:spacing w:line="480" w:lineRule="auto"/>
              <w:jc w:val="center"/>
              <w:rPr>
                <w:rFonts w:eastAsiaTheme="minorEastAsia"/>
              </w:rPr>
            </w:pPr>
            <m:oMathPara>
              <m:oMathParaPr>
                <m:jc m:val="right"/>
              </m:oMathParaPr>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rev</m:t>
                        </m:r>
                      </m:sub>
                    </m:sSub>
                  </m:num>
                  <m:den>
                    <m:r>
                      <w:rPr>
                        <w:rFonts w:ascii="Cambria Math" w:hAnsi="Cambria Math"/>
                      </w:rPr>
                      <m:t>T</m:t>
                    </m:r>
                  </m:den>
                </m:f>
              </m:oMath>
            </m:oMathPara>
          </w:p>
        </w:tc>
        <w:tc>
          <w:tcPr>
            <w:tcW w:w="3061" w:type="dxa"/>
          </w:tcPr>
          <w:p w:rsidR="00BF5905" w:rsidRPr="00BF5905" w:rsidRDefault="00BF5905" w:rsidP="006E62CB">
            <w:pPr>
              <w:keepNext/>
              <w:spacing w:line="480" w:lineRule="auto"/>
              <w:jc w:val="right"/>
              <w:rPr>
                <w:rFonts w:eastAsiaTheme="minorEastAsia"/>
              </w:rPr>
            </w:pPr>
            <w:r>
              <w:rPr>
                <w:rFonts w:eastAsiaTheme="minorEastAsia"/>
              </w:rPr>
              <w:t>(</w:t>
            </w:r>
            <w:r w:rsidR="00322872">
              <w:rPr>
                <w:rFonts w:eastAsiaTheme="minorEastAsia"/>
                <w:i/>
              </w:rPr>
              <w:t>1.2</w:t>
            </w:r>
            <w:r>
              <w:rPr>
                <w:rFonts w:eastAsiaTheme="minorEastAsia"/>
              </w:rPr>
              <w:t>)</w:t>
            </w:r>
          </w:p>
        </w:tc>
      </w:tr>
    </w:tbl>
    <w:p w:rsidR="002C69AF" w:rsidRDefault="002C69AF" w:rsidP="00612909">
      <w:pPr>
        <w:spacing w:line="480" w:lineRule="auto"/>
        <w:jc w:val="both"/>
        <w:rPr>
          <w:rFonts w:eastAsiaTheme="minorEastAsia"/>
        </w:rPr>
      </w:pPr>
      <w:r>
        <w:rPr>
          <w:rFonts w:eastAsiaTheme="minorEastAsia"/>
        </w:rPr>
        <w:t xml:space="preserve">This means that the </w:t>
      </w:r>
      <w:r w:rsidR="0055424C" w:rsidRPr="00A0474E">
        <w:rPr>
          <w:rFonts w:eastAsiaTheme="minorEastAsia"/>
        </w:rPr>
        <w:t>Δ</w:t>
      </w:r>
      <w:r w:rsidR="0055424C">
        <w:rPr>
          <w:rFonts w:eastAsiaTheme="minorEastAsia"/>
          <w:i/>
        </w:rPr>
        <w:t>S</w:t>
      </w:r>
      <w:r w:rsidR="0055424C" w:rsidRPr="0055424C">
        <w:rPr>
          <w:rFonts w:eastAsiaTheme="minorEastAsia"/>
        </w:rPr>
        <w:t xml:space="preserve"> </w:t>
      </w:r>
      <w:r>
        <w:rPr>
          <w:rFonts w:eastAsiaTheme="minorEastAsia"/>
        </w:rPr>
        <w:t xml:space="preserve">of a substance is equal to the energy transferred </w:t>
      </w:r>
      <w:r w:rsidR="00397EF4">
        <w:rPr>
          <w:rFonts w:eastAsiaTheme="minorEastAsia"/>
        </w:rPr>
        <w:t xml:space="preserve">to it as heat </w:t>
      </w:r>
      <w:r>
        <w:rPr>
          <w:rFonts w:eastAsiaTheme="minorEastAsia"/>
        </w:rPr>
        <w:t>reversibly divided by the temperature</w:t>
      </w:r>
      <w:r w:rsidR="00A0474E">
        <w:rPr>
          <w:rFonts w:eastAsiaTheme="minorEastAsia"/>
        </w:rPr>
        <w:t xml:space="preserve"> (</w:t>
      </w:r>
      <w:r w:rsidR="00A0474E" w:rsidRPr="00A0474E">
        <w:rPr>
          <w:rFonts w:eastAsiaTheme="minorEastAsia"/>
          <w:i/>
        </w:rPr>
        <w:t>q</w:t>
      </w:r>
      <w:r w:rsidR="00A0474E" w:rsidRPr="00A0474E">
        <w:rPr>
          <w:rFonts w:eastAsiaTheme="minorEastAsia"/>
          <w:i/>
          <w:vertAlign w:val="subscript"/>
        </w:rPr>
        <w:t>rev</w:t>
      </w:r>
      <w:r w:rsidR="00A0474E">
        <w:rPr>
          <w:rFonts w:eastAsiaTheme="minorEastAsia"/>
        </w:rPr>
        <w:t>/</w:t>
      </w:r>
      <w:r w:rsidR="00A0474E" w:rsidRPr="00A0474E">
        <w:rPr>
          <w:rFonts w:eastAsiaTheme="minorEastAsia"/>
          <w:i/>
        </w:rPr>
        <w:t>T</w:t>
      </w:r>
      <w:r w:rsidR="00A0474E">
        <w:rPr>
          <w:rFonts w:eastAsiaTheme="minorEastAsia"/>
        </w:rPr>
        <w:t>)</w:t>
      </w:r>
      <w:r>
        <w:rPr>
          <w:rFonts w:eastAsiaTheme="minorEastAsia"/>
        </w:rPr>
        <w:t>.</w:t>
      </w:r>
      <w:hyperlink w:anchor="_ENREF_2" w:tooltip="Langbeheim, 2014 #677" w:history="1">
        <w:r w:rsidR="00512D09">
          <w:rPr>
            <w:rFonts w:eastAsiaTheme="minorEastAsia"/>
          </w:rPr>
          <w:fldChar w:fldCharType="begin"/>
        </w:r>
        <w:r w:rsidR="00512D09">
          <w:rPr>
            <w:rFonts w:eastAsiaTheme="minorEastAsia"/>
          </w:rPr>
          <w:instrText xml:space="preserve"> ADDIN EN.CITE &lt;EndNote&gt;&lt;Cite&gt;&lt;Author&gt;Langbeheim&lt;/Author&gt;&lt;Year&gt;2014&lt;/Year&gt;&lt;RecNum&gt;677&lt;/RecNum&gt;&lt;DisplayText&gt;&lt;style face="superscript"&gt;2&lt;/style&gt;&lt;/DisplayText&gt;&lt;record&gt;&lt;rec-number&gt;677&lt;/rec-number&gt;&lt;foreign-keys&gt;&lt;key app="EN" db-id="5trrespwzsdr07efd5tx2w96x22re9s0fsdt"&gt;677&lt;/key&gt;&lt;/foreign-keys&gt;&lt;ref-type name="Journal Article"&gt;17&lt;/ref-type&gt;&lt;contributors&gt;&lt;authors&gt;&lt;author&gt;Langbeheim, Elon&lt;/author&gt;&lt;author&gt;Safran, Samuel A.&lt;/author&gt;&lt;author&gt;Yerushalmi, Edit&lt;/author&gt;&lt;/authors&gt;&lt;/contributors&gt;&lt;titles&gt;&lt;title&gt;Visualizing the Entropy Change of a Thermal Reservoir&lt;/title&gt;&lt;secondary-title&gt;Journal of Chemical Education&lt;/secondary-title&gt;&lt;/titles&gt;&lt;periodical&gt;&lt;full-title&gt;Journal of Chemical Education&lt;/full-title&gt;&lt;/periodical&gt;&lt;pages&gt;380-385&lt;/pages&gt;&lt;volume&gt;91&lt;/volume&gt;&lt;number&gt;3&lt;/number&gt;&lt;dates&gt;&lt;year&gt;2014&lt;/year&gt;&lt;pub-dates&gt;&lt;date&gt;2014/03/11&lt;/date&gt;&lt;/pub-dates&gt;&lt;/dates&gt;&lt;publisher&gt;American Chemical Society&lt;/publisher&gt;&lt;isbn&gt;0021-9584&lt;/isbn&gt;&lt;urls&gt;&lt;related-urls&gt;&lt;url&gt;http://dx.doi.org/10.1021/ed400180w&lt;/url&gt;&lt;/related-urls&gt;&lt;/urls&gt;&lt;electronic-resource-num&gt;10.1021/ed400180w&lt;/electronic-resource-num&gt;&lt;/record&gt;&lt;/Cite&gt;&lt;/EndNote&gt;</w:instrText>
        </w:r>
        <w:r w:rsidR="00512D09">
          <w:rPr>
            <w:rFonts w:eastAsiaTheme="minorEastAsia"/>
          </w:rPr>
          <w:fldChar w:fldCharType="separate"/>
        </w:r>
        <w:r w:rsidR="00512D09" w:rsidRPr="00B35AC0">
          <w:rPr>
            <w:rFonts w:eastAsiaTheme="minorEastAsia"/>
            <w:noProof/>
            <w:vertAlign w:val="superscript"/>
          </w:rPr>
          <w:t>2</w:t>
        </w:r>
        <w:r w:rsidR="00512D09">
          <w:rPr>
            <w:rFonts w:eastAsiaTheme="minorEastAsia"/>
          </w:rPr>
          <w:fldChar w:fldCharType="end"/>
        </w:r>
      </w:hyperlink>
      <w:r>
        <w:rPr>
          <w:rFonts w:eastAsiaTheme="minorEastAsia"/>
        </w:rPr>
        <w:t xml:space="preserve"> </w:t>
      </w:r>
      <w:r w:rsidR="003D479A">
        <w:rPr>
          <w:rFonts w:eastAsiaTheme="minorEastAsia"/>
        </w:rPr>
        <w:t xml:space="preserve">Since </w:t>
      </w:r>
      <w:r w:rsidR="0055424C" w:rsidRPr="0055424C">
        <w:rPr>
          <w:rFonts w:eastAsiaTheme="minorEastAsia"/>
          <w:i/>
        </w:rPr>
        <w:t>S</w:t>
      </w:r>
      <w:r w:rsidR="0055424C">
        <w:rPr>
          <w:rFonts w:eastAsiaTheme="minorEastAsia"/>
        </w:rPr>
        <w:t xml:space="preserve"> </w:t>
      </w:r>
      <w:r w:rsidR="003D479A">
        <w:rPr>
          <w:rFonts w:eastAsiaTheme="minorEastAsia"/>
        </w:rPr>
        <w:t xml:space="preserve">is the change in dispersal of energy it should be proportional to the amount of heat in the system as there is a proportional effect on the random motion of molecules. Temperature in the denominator </w:t>
      </w:r>
      <w:r w:rsidR="008214E5">
        <w:rPr>
          <w:rFonts w:eastAsiaTheme="minorEastAsia"/>
        </w:rPr>
        <w:t xml:space="preserve">takes into the account the amount of heat already present in the system.  </w:t>
      </w:r>
      <w:r w:rsidR="003D479A" w:rsidRPr="003D479A">
        <w:rPr>
          <w:rFonts w:eastAsiaTheme="minorEastAsia"/>
        </w:rPr>
        <w:t xml:space="preserve">The concept </w:t>
      </w:r>
      <w:r w:rsidR="00397EF4">
        <w:rPr>
          <w:rFonts w:eastAsiaTheme="minorEastAsia"/>
        </w:rPr>
        <w:t xml:space="preserve">of reversibility </w:t>
      </w:r>
      <w:r w:rsidR="003D479A" w:rsidRPr="003D479A">
        <w:rPr>
          <w:rFonts w:eastAsiaTheme="minorEastAsia"/>
        </w:rPr>
        <w:t xml:space="preserve">refers to the capacity of an infinitesimal change in a variable such as pressure to change the direction of the process. </w:t>
      </w:r>
    </w:p>
    <w:p w:rsidR="005A1AB6" w:rsidRDefault="00AF4D39" w:rsidP="00612909">
      <w:pPr>
        <w:spacing w:line="480" w:lineRule="auto"/>
        <w:jc w:val="both"/>
        <w:rPr>
          <w:rFonts w:eastAsiaTheme="minorEastAsia"/>
        </w:rPr>
      </w:pPr>
      <w:r>
        <w:rPr>
          <w:rFonts w:eastAsiaTheme="minorEastAsia"/>
        </w:rPr>
        <w:t>More recently, the long term definition of entropy has been challenged. Lambert argued that entropy is a measure of the dispersal of motional molecular energy rather than disorder</w:t>
      </w:r>
      <w:r w:rsidR="006E158B">
        <w:rPr>
          <w:rFonts w:eastAsiaTheme="minorEastAsia"/>
        </w:rPr>
        <w:t>.</w:t>
      </w:r>
      <w:hyperlink w:anchor="_ENREF_3" w:tooltip="Lambert, 2002 #584" w:history="1">
        <w:r w:rsidR="00512D09">
          <w:rPr>
            <w:rFonts w:eastAsiaTheme="minorEastAsia"/>
          </w:rPr>
          <w:fldChar w:fldCharType="begin"/>
        </w:r>
        <w:r w:rsidR="00512D09">
          <w:rPr>
            <w:rFonts w:eastAsiaTheme="minorEastAsia"/>
          </w:rPr>
          <w:instrText xml:space="preserve"> ADDIN EN.CITE &lt;EndNote&gt;&lt;Cite&gt;&lt;Author&gt;Lambert&lt;/Author&gt;&lt;Year&gt;2002&lt;/Year&gt;&lt;RecNum&gt;584&lt;/RecNum&gt;&lt;DisplayText&gt;&lt;style face="superscript"&gt;3&lt;/style&gt;&lt;/DisplayText&gt;&lt;record&gt;&lt;rec-number&gt;584&lt;/rec-number&gt;&lt;foreign-keys&gt;&lt;key app="EN" db-id="5trrespwzsdr07efd5tx2w96x22re9s0fsdt"&gt;584&lt;/key&gt;&lt;/foreign-keys&gt;&lt;ref-type name="Journal Article"&gt;17&lt;/ref-type&gt;&lt;contributors&gt;&lt;authors&gt;&lt;author&gt;Lambert, Frank L.&lt;/author&gt;&lt;/authors&gt;&lt;/contributors&gt;&lt;titles&gt;&lt;title&gt;Disorder - A Cracked Crutch for Supporting Entropy Discussions&lt;/title&gt;&lt;secondary-title&gt;Journal of Chemical Education&lt;/secondary-title&gt;&lt;/titles&gt;&lt;periodical&gt;&lt;full-title&gt;Journal of Chemical Education&lt;/full-title&gt;&lt;/periodical&gt;&lt;pages&gt;187&lt;/pages&gt;&lt;volume&gt;79&lt;/volume&gt;&lt;number&gt;2&lt;/number&gt;&lt;dates&gt;&lt;year&gt;2002&lt;/year&gt;&lt;pub-dates&gt;&lt;date&gt;2002/02/01&lt;/date&gt;&lt;/pub-dates&gt;&lt;/dates&gt;&lt;publisher&gt;American Chemical Society&lt;/publisher&gt;&lt;isbn&gt;0021-9584&lt;/isbn&gt;&lt;urls&gt;&lt;related-urls&gt;&lt;url&gt;http://dx.doi.org/10.1021/ed079p187&lt;/url&gt;&lt;/related-urls&gt;&lt;/urls&gt;&lt;electronic-resource-num&gt;10.1021/ed079p187&lt;/electronic-resource-num&gt;&lt;/record&gt;&lt;/Cite&gt;&lt;/EndNote&gt;</w:instrText>
        </w:r>
        <w:r w:rsidR="00512D09">
          <w:rPr>
            <w:rFonts w:eastAsiaTheme="minorEastAsia"/>
          </w:rPr>
          <w:fldChar w:fldCharType="separate"/>
        </w:r>
        <w:r w:rsidR="00512D09" w:rsidRPr="00B35AC0">
          <w:rPr>
            <w:rFonts w:eastAsiaTheme="minorEastAsia"/>
            <w:noProof/>
            <w:vertAlign w:val="superscript"/>
          </w:rPr>
          <w:t>3</w:t>
        </w:r>
        <w:r w:rsidR="00512D09">
          <w:rPr>
            <w:rFonts w:eastAsiaTheme="minorEastAsia"/>
          </w:rPr>
          <w:fldChar w:fldCharType="end"/>
        </w:r>
      </w:hyperlink>
      <w:r>
        <w:rPr>
          <w:rFonts w:eastAsiaTheme="minorEastAsia"/>
        </w:rPr>
        <w:t xml:space="preserve"> This interpretation is more in line with the quantum mechanical definition of entropy</w:t>
      </w:r>
      <w:r w:rsidR="00235D75">
        <w:rPr>
          <w:rFonts w:eastAsiaTheme="minorEastAsia"/>
        </w:rPr>
        <w:t xml:space="preserve"> (</w:t>
      </w:r>
      <w:r w:rsidR="00322872">
        <w:t>Equation 1.3</w:t>
      </w:r>
      <w:r w:rsidR="00235D75">
        <w:rPr>
          <w:rFonts w:eastAsiaTheme="min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061"/>
      </w:tblGrid>
      <w:tr w:rsidR="00787350" w:rsidTr="006E62CB">
        <w:tc>
          <w:tcPr>
            <w:tcW w:w="5353" w:type="dxa"/>
          </w:tcPr>
          <w:p w:rsidR="00787350" w:rsidRPr="00787350" w:rsidRDefault="00787350" w:rsidP="00787350">
            <w:pPr>
              <w:spacing w:line="480" w:lineRule="auto"/>
              <w:jc w:val="center"/>
              <w:rPr>
                <w:rFonts w:eastAsiaTheme="minorEastAsia"/>
                <w:i/>
              </w:rPr>
            </w:pPr>
            <m:oMathPara>
              <m:oMathParaPr>
                <m:jc m:val="right"/>
              </m:oMathParaPr>
              <m:oMath>
                <m:r>
                  <w:rPr>
                    <w:rFonts w:ascii="Cambria Math" w:eastAsiaTheme="minorEastAsia" w:hAnsi="Cambria Math"/>
                  </w:rPr>
                  <m:t xml:space="preserve">S=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m:rPr>
                    <m:sty m:val="p"/>
                  </m:rPr>
                  <w:rPr>
                    <w:rFonts w:ascii="Cambria Math" w:eastAsiaTheme="minorEastAsia" w:hAnsi="Cambria Math"/>
                  </w:rPr>
                  <m:t>In</m:t>
                </m:r>
                <m:r>
                  <w:rPr>
                    <w:rFonts w:ascii="Cambria Math" w:eastAsiaTheme="minorEastAsia" w:hAnsi="Cambria Math"/>
                  </w:rPr>
                  <m:t>W</m:t>
                </m:r>
              </m:oMath>
            </m:oMathPara>
          </w:p>
        </w:tc>
        <w:tc>
          <w:tcPr>
            <w:tcW w:w="3061" w:type="dxa"/>
          </w:tcPr>
          <w:p w:rsidR="00787350" w:rsidRPr="00BF5905" w:rsidRDefault="00787350" w:rsidP="006E62CB">
            <w:pPr>
              <w:keepNext/>
              <w:spacing w:line="480" w:lineRule="auto"/>
              <w:jc w:val="right"/>
              <w:rPr>
                <w:rFonts w:eastAsiaTheme="minorEastAsia"/>
              </w:rPr>
            </w:pPr>
            <w:r>
              <w:rPr>
                <w:rFonts w:eastAsiaTheme="minorEastAsia"/>
              </w:rPr>
              <w:t>(</w:t>
            </w:r>
            <w:r w:rsidRPr="00BF5905">
              <w:rPr>
                <w:rFonts w:eastAsiaTheme="minorEastAsia"/>
                <w:i/>
              </w:rPr>
              <w:t>1.</w:t>
            </w:r>
            <w:r w:rsidR="00322872">
              <w:rPr>
                <w:rFonts w:eastAsiaTheme="minorEastAsia"/>
                <w:i/>
              </w:rPr>
              <w:t>3</w:t>
            </w:r>
            <w:r>
              <w:rPr>
                <w:rFonts w:eastAsiaTheme="minorEastAsia"/>
              </w:rPr>
              <w:t>)</w:t>
            </w:r>
          </w:p>
        </w:tc>
      </w:tr>
    </w:tbl>
    <w:p w:rsidR="006A192D" w:rsidRDefault="00787350" w:rsidP="00612909">
      <w:pPr>
        <w:spacing w:line="480" w:lineRule="auto"/>
        <w:jc w:val="both"/>
        <w:rPr>
          <w:rFonts w:eastAsiaTheme="minorEastAsia"/>
        </w:rPr>
      </w:pPr>
      <w:r>
        <w:rPr>
          <w:rFonts w:eastAsiaTheme="minorEastAsia"/>
        </w:rPr>
        <w:t xml:space="preserve">Equation </w:t>
      </w:r>
      <w:r w:rsidR="00322872">
        <w:rPr>
          <w:rFonts w:eastAsiaTheme="minorEastAsia"/>
        </w:rPr>
        <w:t>1.3</w:t>
      </w:r>
      <w:r w:rsidR="002A48E8">
        <w:rPr>
          <w:rFonts w:eastAsiaTheme="minorEastAsia"/>
        </w:rPr>
        <w:t xml:space="preserve"> demonstrates</w:t>
      </w:r>
      <w:r w:rsidR="006A192D">
        <w:rPr>
          <w:rFonts w:eastAsiaTheme="minorEastAsia"/>
        </w:rPr>
        <w:t xml:space="preserve"> entropy (</w:t>
      </w:r>
      <w:r w:rsidR="006A192D" w:rsidRPr="006A192D">
        <w:rPr>
          <w:rFonts w:eastAsiaTheme="minorEastAsia"/>
          <w:i/>
        </w:rPr>
        <w:t>S</w:t>
      </w:r>
      <w:r w:rsidR="006A192D">
        <w:rPr>
          <w:rFonts w:eastAsiaTheme="minorEastAsia"/>
        </w:rPr>
        <w:t>)</w:t>
      </w:r>
      <w:r w:rsidR="002A48E8">
        <w:rPr>
          <w:rFonts w:eastAsiaTheme="minorEastAsia"/>
        </w:rPr>
        <w:t xml:space="preserve"> </w:t>
      </w:r>
      <w:r w:rsidR="006A192D">
        <w:rPr>
          <w:rFonts w:eastAsiaTheme="minorEastAsia"/>
        </w:rPr>
        <w:t>is logarithmically proportional to the number of microstates</w:t>
      </w:r>
      <w:r w:rsidR="00A0474E">
        <w:rPr>
          <w:rFonts w:eastAsiaTheme="minorEastAsia"/>
        </w:rPr>
        <w:t xml:space="preserve"> </w:t>
      </w:r>
      <w:r w:rsidR="00371FAE">
        <w:rPr>
          <w:rFonts w:eastAsiaTheme="minorEastAsia"/>
        </w:rPr>
        <w:t>w</w:t>
      </w:r>
      <w:r w:rsidR="00A0474E">
        <w:rPr>
          <w:rFonts w:eastAsiaTheme="minorEastAsia"/>
        </w:rPr>
        <w:t xml:space="preserve">here </w:t>
      </w:r>
      <w:r w:rsidR="000E6201" w:rsidRPr="00A0474E">
        <w:rPr>
          <w:rFonts w:eastAsiaTheme="minorEastAsia"/>
          <w:i/>
        </w:rPr>
        <w:t>k</w:t>
      </w:r>
      <w:r w:rsidR="00A0474E" w:rsidRPr="00A0474E">
        <w:rPr>
          <w:rFonts w:eastAsiaTheme="minorEastAsia"/>
          <w:i/>
          <w:vertAlign w:val="subscript"/>
        </w:rPr>
        <w:t>B</w:t>
      </w:r>
      <w:r w:rsidR="00A0474E" w:rsidRPr="00A0474E">
        <w:rPr>
          <w:rFonts w:eastAsiaTheme="minorEastAsia"/>
          <w:vertAlign w:val="subscript"/>
        </w:rPr>
        <w:t xml:space="preserve"> </w:t>
      </w:r>
      <w:r w:rsidR="00A0474E">
        <w:rPr>
          <w:rFonts w:eastAsiaTheme="minorEastAsia"/>
        </w:rPr>
        <w:t xml:space="preserve">is the Boltzmann constant and </w:t>
      </w:r>
      <w:r w:rsidR="00A0474E" w:rsidRPr="00A0474E">
        <w:rPr>
          <w:rFonts w:eastAsiaTheme="minorEastAsia"/>
          <w:i/>
        </w:rPr>
        <w:t>W</w:t>
      </w:r>
      <w:r w:rsidR="00A0474E" w:rsidRPr="00A0474E">
        <w:rPr>
          <w:rFonts w:eastAsiaTheme="minorEastAsia"/>
        </w:rPr>
        <w:t xml:space="preserve"> </w:t>
      </w:r>
      <w:r w:rsidR="00A0474E">
        <w:rPr>
          <w:rFonts w:eastAsiaTheme="minorEastAsia"/>
        </w:rPr>
        <w:t>is the number of microstates corresponding to a given macrostate. I</w:t>
      </w:r>
      <w:r w:rsidR="006A192D">
        <w:rPr>
          <w:rFonts w:eastAsiaTheme="minorEastAsia"/>
        </w:rPr>
        <w:t>ncreasing the temperature increases the dispersal of energy among these microstates. A microstate represents a way of distributing energy at the quantum level. A number of microstates can make up a macrostate which is typically observable though perturbing the temperature, pressure or volume of the system.</w:t>
      </w:r>
      <w:hyperlink w:anchor="_ENREF_3" w:tooltip="Lambert, 2002 #584" w:history="1">
        <w:r w:rsidR="00512D09">
          <w:rPr>
            <w:rFonts w:eastAsiaTheme="minorEastAsia"/>
          </w:rPr>
          <w:fldChar w:fldCharType="begin"/>
        </w:r>
        <w:r w:rsidR="00512D09">
          <w:rPr>
            <w:rFonts w:eastAsiaTheme="minorEastAsia"/>
          </w:rPr>
          <w:instrText xml:space="preserve"> ADDIN EN.CITE &lt;EndNote&gt;&lt;Cite&gt;&lt;Author&gt;Lambert&lt;/Author&gt;&lt;Year&gt;2002&lt;/Year&gt;&lt;RecNum&gt;584&lt;/RecNum&gt;&lt;DisplayText&gt;&lt;style face="superscript"&gt;3&lt;/style&gt;&lt;/DisplayText&gt;&lt;record&gt;&lt;rec-number&gt;584&lt;/rec-number&gt;&lt;foreign-keys&gt;&lt;key app="EN" db-id="5trrespwzsdr07efd5tx2w96x22re9s0fsdt"&gt;584&lt;/key&gt;&lt;/foreign-keys&gt;&lt;ref-type name="Journal Article"&gt;17&lt;/ref-type&gt;&lt;contributors&gt;&lt;authors&gt;&lt;author&gt;Lambert, Frank L.&lt;/author&gt;&lt;/authors&gt;&lt;/contributors&gt;&lt;titles&gt;&lt;title&gt;Disorder - A Cracked Crutch for Supporting Entropy Discussions&lt;/title&gt;&lt;secondary-title&gt;Journal of Chemical Education&lt;/secondary-title&gt;&lt;/titles&gt;&lt;periodical&gt;&lt;full-title&gt;Journal of Chemical Education&lt;/full-title&gt;&lt;/periodical&gt;&lt;pages&gt;187&lt;/pages&gt;&lt;volume&gt;79&lt;/volume&gt;&lt;number&gt;2&lt;/number&gt;&lt;dates&gt;&lt;year&gt;2002&lt;/year&gt;&lt;pub-dates&gt;&lt;date&gt;2002/02/01&lt;/date&gt;&lt;/pub-dates&gt;&lt;/dates&gt;&lt;publisher&gt;American Chemical Society&lt;/publisher&gt;&lt;isbn&gt;0021-9584&lt;/isbn&gt;&lt;urls&gt;&lt;related-urls&gt;&lt;url&gt;http://dx.doi.org/10.1021/ed079p187&lt;/url&gt;&lt;/related-urls&gt;&lt;/urls&gt;&lt;electronic-resource-num&gt;10.1021/ed079p187&lt;/electronic-resource-num&gt;&lt;/record&gt;&lt;/Cite&gt;&lt;/EndNote&gt;</w:instrText>
        </w:r>
        <w:r w:rsidR="00512D09">
          <w:rPr>
            <w:rFonts w:eastAsiaTheme="minorEastAsia"/>
          </w:rPr>
          <w:fldChar w:fldCharType="separate"/>
        </w:r>
        <w:r w:rsidR="00512D09" w:rsidRPr="00B35AC0">
          <w:rPr>
            <w:rFonts w:eastAsiaTheme="minorEastAsia"/>
            <w:noProof/>
            <w:vertAlign w:val="superscript"/>
          </w:rPr>
          <w:t>3</w:t>
        </w:r>
        <w:r w:rsidR="00512D09">
          <w:rPr>
            <w:rFonts w:eastAsiaTheme="minorEastAsia"/>
          </w:rPr>
          <w:fldChar w:fldCharType="end"/>
        </w:r>
      </w:hyperlink>
      <w:r w:rsidR="006A192D">
        <w:rPr>
          <w:rFonts w:eastAsiaTheme="minorEastAsia"/>
        </w:rPr>
        <w:t xml:space="preserve"> </w:t>
      </w:r>
    </w:p>
    <w:p w:rsidR="004D1C14" w:rsidRDefault="004D1C14" w:rsidP="00612909">
      <w:pPr>
        <w:spacing w:line="480" w:lineRule="auto"/>
        <w:jc w:val="both"/>
        <w:rPr>
          <w:rFonts w:eastAsiaTheme="minorEastAsia"/>
        </w:rPr>
      </w:pPr>
      <w:r>
        <w:rPr>
          <w:rFonts w:eastAsiaTheme="minorEastAsia"/>
        </w:rPr>
        <w:lastRenderedPageBreak/>
        <w:t xml:space="preserve">The second law of thermodynamics is concerned with </w:t>
      </w:r>
      <w:r w:rsidR="0055424C" w:rsidRPr="0055424C">
        <w:rPr>
          <w:rFonts w:eastAsiaTheme="minorEastAsia"/>
          <w:i/>
        </w:rPr>
        <w:t>S</w:t>
      </w:r>
      <w:r w:rsidR="008644AF">
        <w:rPr>
          <w:rFonts w:eastAsiaTheme="minorEastAsia"/>
        </w:rPr>
        <w:t xml:space="preserve">, which </w:t>
      </w:r>
      <w:r>
        <w:rPr>
          <w:rFonts w:eastAsiaTheme="minorEastAsia"/>
        </w:rPr>
        <w:t xml:space="preserve">states that “in a closed system, spontaneous processes occur in the direction of increasing entropy”, a rule which is sustained by physical and chemical experimentation. </w:t>
      </w:r>
      <w:r w:rsidR="0055424C" w:rsidRPr="0055424C">
        <w:rPr>
          <w:rFonts w:eastAsiaTheme="minorEastAsia"/>
          <w:i/>
        </w:rPr>
        <w:t>S</w:t>
      </w:r>
      <w:r w:rsidRPr="0055424C">
        <w:rPr>
          <w:rFonts w:eastAsiaTheme="minorEastAsia"/>
          <w:i/>
        </w:rPr>
        <w:t xml:space="preserve"> </w:t>
      </w:r>
      <w:r w:rsidR="00D76DD0" w:rsidRPr="00D76DD0">
        <w:rPr>
          <w:rFonts w:eastAsiaTheme="minorEastAsia"/>
        </w:rPr>
        <w:t>normally</w:t>
      </w:r>
      <w:r w:rsidR="00D76DD0">
        <w:rPr>
          <w:rFonts w:eastAsiaTheme="minorEastAsia"/>
          <w:i/>
        </w:rPr>
        <w:t xml:space="preserve"> </w:t>
      </w:r>
      <w:r>
        <w:rPr>
          <w:rFonts w:eastAsiaTheme="minorEastAsia"/>
        </w:rPr>
        <w:t xml:space="preserve">increases during dissociative processes such as the breaking of bonds and, equally, </w:t>
      </w:r>
      <w:r w:rsidR="0055424C">
        <w:rPr>
          <w:rFonts w:eastAsiaTheme="minorEastAsia"/>
        </w:rPr>
        <w:t xml:space="preserve">decreases during associative ones such as bond </w:t>
      </w:r>
      <w:r w:rsidR="008644AF">
        <w:rPr>
          <w:rFonts w:eastAsiaTheme="minorEastAsia"/>
        </w:rPr>
        <w:t>formation</w:t>
      </w:r>
      <w:r w:rsidR="0055424C">
        <w:rPr>
          <w:rFonts w:eastAsiaTheme="minorEastAsia"/>
        </w:rPr>
        <w:t xml:space="preserve">. This does not mean association </w:t>
      </w:r>
      <w:r w:rsidR="008644AF">
        <w:rPr>
          <w:rFonts w:eastAsiaTheme="minorEastAsia"/>
        </w:rPr>
        <w:t>cannot</w:t>
      </w:r>
      <w:r w:rsidR="0055424C">
        <w:rPr>
          <w:rFonts w:eastAsiaTheme="minorEastAsia"/>
        </w:rPr>
        <w:t xml:space="preserve"> occur spontaneously, which would be in contradiction to many processes in biochemistry such as some instances of ligand-receptor binding. It does </w:t>
      </w:r>
      <w:r w:rsidR="008644AF">
        <w:rPr>
          <w:rFonts w:eastAsiaTheme="minorEastAsia"/>
        </w:rPr>
        <w:t>however</w:t>
      </w:r>
      <w:r w:rsidR="0055424C">
        <w:rPr>
          <w:rFonts w:eastAsiaTheme="minorEastAsia"/>
        </w:rPr>
        <w:t xml:space="preserve"> </w:t>
      </w:r>
      <w:r w:rsidR="008644AF">
        <w:rPr>
          <w:rFonts w:eastAsiaTheme="minorEastAsia"/>
        </w:rPr>
        <w:t xml:space="preserve">mean </w:t>
      </w:r>
      <w:r w:rsidR="0055424C">
        <w:rPr>
          <w:rFonts w:eastAsiaTheme="minorEastAsia"/>
        </w:rPr>
        <w:t xml:space="preserve">that </w:t>
      </w:r>
      <w:r w:rsidR="00B85C83">
        <w:rPr>
          <w:rFonts w:eastAsiaTheme="minorEastAsia"/>
        </w:rPr>
        <w:t>a favourable ΔH must drive these interactions</w:t>
      </w:r>
      <w:r w:rsidR="0055424C">
        <w:rPr>
          <w:rFonts w:eastAsiaTheme="minorEastAsia"/>
        </w:rPr>
        <w:t xml:space="preserve">.  Historically, it has been theorised that a combination of both </w:t>
      </w:r>
      <w:r w:rsidR="000D0D8B">
        <w:rPr>
          <w:rFonts w:eastAsiaTheme="minorEastAsia"/>
        </w:rPr>
        <w:t>T∆</w:t>
      </w:r>
      <w:r w:rsidR="0055424C" w:rsidRPr="0055424C">
        <w:rPr>
          <w:rFonts w:eastAsiaTheme="minorEastAsia"/>
          <w:i/>
        </w:rPr>
        <w:t xml:space="preserve">S </w:t>
      </w:r>
      <w:r w:rsidR="0055424C">
        <w:rPr>
          <w:rFonts w:eastAsiaTheme="minorEastAsia"/>
        </w:rPr>
        <w:t xml:space="preserve">and </w:t>
      </w:r>
      <w:r w:rsidR="000D0D8B">
        <w:rPr>
          <w:rFonts w:eastAsiaTheme="minorEastAsia"/>
        </w:rPr>
        <w:t>∆</w:t>
      </w:r>
      <w:r w:rsidR="0055424C" w:rsidRPr="0055424C">
        <w:rPr>
          <w:rFonts w:eastAsiaTheme="minorEastAsia"/>
          <w:i/>
        </w:rPr>
        <w:t>H</w:t>
      </w:r>
      <w:r w:rsidR="0055424C">
        <w:rPr>
          <w:rFonts w:eastAsiaTheme="minorEastAsia"/>
          <w:i/>
        </w:rPr>
        <w:t xml:space="preserve"> </w:t>
      </w:r>
      <w:r w:rsidR="0055424C">
        <w:rPr>
          <w:rFonts w:eastAsiaTheme="minorEastAsia"/>
        </w:rPr>
        <w:t xml:space="preserve">is required to bring about a spontaneous change. </w:t>
      </w:r>
      <w:r w:rsidR="00CB2645">
        <w:rPr>
          <w:rFonts w:eastAsiaTheme="minorEastAsia"/>
        </w:rPr>
        <w:t xml:space="preserve">This is known as the Gibbs function or Gibbs free energy </w:t>
      </w:r>
      <w:r w:rsidR="00664087">
        <w:rPr>
          <w:rFonts w:eastAsiaTheme="minorEastAsia"/>
        </w:rPr>
        <w:t>(</w:t>
      </w:r>
      <w:r w:rsidR="00322872">
        <w:t>Equation 1.4</w:t>
      </w:r>
      <w:r w:rsidR="00664087" w:rsidRPr="008644AF">
        <w:rPr>
          <w:rFonts w:eastAsiaTheme="minorEastAsia"/>
        </w:rPr>
        <w:t>)</w:t>
      </w:r>
      <w:r w:rsidR="00CB2645">
        <w:rPr>
          <w:rFonts w:eastAsiaTheme="min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061"/>
      </w:tblGrid>
      <w:tr w:rsidR="00BE7CB4" w:rsidRPr="00BF5905" w:rsidTr="006E62CB">
        <w:tc>
          <w:tcPr>
            <w:tcW w:w="5353" w:type="dxa"/>
          </w:tcPr>
          <w:p w:rsidR="00BE7CB4" w:rsidRPr="00BE7CB4" w:rsidRDefault="00BE7CB4" w:rsidP="00BE7CB4">
            <w:pPr>
              <w:keepNext/>
              <w:spacing w:line="480" w:lineRule="auto"/>
              <w:jc w:val="center"/>
              <w:rPr>
                <w:rFonts w:eastAsiaTheme="minorEastAsia"/>
              </w:rPr>
            </w:pPr>
            <m:oMathPara>
              <m:oMathParaPr>
                <m:jc m:val="right"/>
              </m:oMathParaPr>
              <m:oMath>
                <m:r>
                  <w:rPr>
                    <w:rFonts w:ascii="Cambria Math" w:eastAsiaTheme="minorEastAsia" w:hAnsi="Cambria Math"/>
                  </w:rPr>
                  <m:t>∆G= ∆H-T∆S</m:t>
                </m:r>
              </m:oMath>
            </m:oMathPara>
          </w:p>
        </w:tc>
        <w:tc>
          <w:tcPr>
            <w:tcW w:w="3061" w:type="dxa"/>
          </w:tcPr>
          <w:p w:rsidR="00BE7CB4" w:rsidRPr="00BF5905" w:rsidRDefault="00BE7CB4" w:rsidP="006E62CB">
            <w:pPr>
              <w:keepNext/>
              <w:spacing w:line="480" w:lineRule="auto"/>
              <w:jc w:val="right"/>
              <w:rPr>
                <w:rFonts w:eastAsiaTheme="minorEastAsia"/>
              </w:rPr>
            </w:pPr>
            <w:r>
              <w:rPr>
                <w:rFonts w:eastAsiaTheme="minorEastAsia"/>
              </w:rPr>
              <w:t>(</w:t>
            </w:r>
            <w:r w:rsidRPr="00BF5905">
              <w:rPr>
                <w:rFonts w:eastAsiaTheme="minorEastAsia"/>
                <w:i/>
              </w:rPr>
              <w:t>1.</w:t>
            </w:r>
            <w:r w:rsidR="00322872">
              <w:rPr>
                <w:rFonts w:eastAsiaTheme="minorEastAsia"/>
                <w:i/>
              </w:rPr>
              <w:t>4</w:t>
            </w:r>
            <w:r>
              <w:rPr>
                <w:rFonts w:eastAsiaTheme="minorEastAsia"/>
              </w:rPr>
              <w:t>)</w:t>
            </w:r>
          </w:p>
        </w:tc>
      </w:tr>
    </w:tbl>
    <w:p w:rsidR="00C91F17" w:rsidRDefault="00D7517A" w:rsidP="000D0D8B">
      <w:pPr>
        <w:spacing w:line="480" w:lineRule="auto"/>
        <w:jc w:val="both"/>
        <w:rPr>
          <w:rFonts w:eastAsiaTheme="minorEastAsia"/>
        </w:rPr>
      </w:pPr>
      <w:r w:rsidRPr="007979BA">
        <w:rPr>
          <w:rFonts w:eastAsiaTheme="minorEastAsia"/>
        </w:rPr>
        <w:t>Δ</w:t>
      </w:r>
      <w:r>
        <w:rPr>
          <w:rFonts w:eastAsiaTheme="minorEastAsia"/>
          <w:i/>
        </w:rPr>
        <w:t xml:space="preserve">G </w:t>
      </w:r>
      <w:r>
        <w:rPr>
          <w:rFonts w:eastAsiaTheme="minorEastAsia"/>
        </w:rPr>
        <w:t>gives a numerical measure of how spontaneous a reaction is.</w:t>
      </w:r>
      <w:r w:rsidR="00347BB6">
        <w:rPr>
          <w:rFonts w:eastAsiaTheme="minorEastAsia"/>
        </w:rPr>
        <w:t xml:space="preserve"> Positive values of </w:t>
      </w:r>
      <w:r w:rsidR="00347BB6" w:rsidRPr="007979BA">
        <w:rPr>
          <w:rFonts w:eastAsiaTheme="minorEastAsia"/>
        </w:rPr>
        <w:t>Δ</w:t>
      </w:r>
      <w:r w:rsidR="00347BB6" w:rsidRPr="00D7517A">
        <w:rPr>
          <w:rFonts w:eastAsiaTheme="minorEastAsia"/>
          <w:i/>
        </w:rPr>
        <w:t>G</w:t>
      </w:r>
      <w:r w:rsidR="00347BB6">
        <w:rPr>
          <w:rFonts w:eastAsiaTheme="minorEastAsia"/>
          <w:i/>
        </w:rPr>
        <w:t xml:space="preserve"> </w:t>
      </w:r>
      <w:r w:rsidR="00347BB6">
        <w:rPr>
          <w:rFonts w:eastAsiaTheme="minorEastAsia"/>
        </w:rPr>
        <w:t xml:space="preserve">mean the reaction is thermodynamically unfavourable, whilst negative values mean the reaction is favourable. </w:t>
      </w:r>
      <w:r>
        <w:rPr>
          <w:rFonts w:eastAsiaTheme="minorEastAsia"/>
        </w:rPr>
        <w:t xml:space="preserve"> </w:t>
      </w:r>
      <w:r w:rsidRPr="00D7517A">
        <w:rPr>
          <w:rFonts w:eastAsiaTheme="minorEastAsia"/>
          <w:i/>
        </w:rPr>
        <w:t>ΔG</w:t>
      </w:r>
      <w:r>
        <w:rPr>
          <w:rFonts w:eastAsiaTheme="minorEastAsia"/>
          <w:i/>
        </w:rPr>
        <w:t xml:space="preserve"> </w:t>
      </w:r>
      <w:r>
        <w:rPr>
          <w:rFonts w:eastAsiaTheme="minorEastAsia"/>
        </w:rPr>
        <w:t xml:space="preserve">is related to the equilibrium constant </w:t>
      </w:r>
      <w:r w:rsidRPr="00D7517A">
        <w:rPr>
          <w:rFonts w:eastAsiaTheme="minorEastAsia"/>
          <w:i/>
        </w:rPr>
        <w:t>K</w:t>
      </w:r>
      <w:r>
        <w:rPr>
          <w:rFonts w:eastAsiaTheme="minorEastAsia"/>
        </w:rPr>
        <w:t xml:space="preserve">, a value that determines how stable the products are from the reactants. </w:t>
      </w:r>
      <w:r w:rsidR="00BC77E7">
        <w:rPr>
          <w:rFonts w:eastAsiaTheme="minorEastAsia"/>
        </w:rPr>
        <w:t xml:space="preserve">In the context of biological interactions, </w:t>
      </w:r>
      <w:r w:rsidR="00BC77E7" w:rsidRPr="00BC77E7">
        <w:rPr>
          <w:rFonts w:eastAsiaTheme="minorEastAsia"/>
          <w:i/>
        </w:rPr>
        <w:t>K</w:t>
      </w:r>
      <w:r w:rsidR="00BC77E7">
        <w:rPr>
          <w:rFonts w:eastAsiaTheme="minorEastAsia"/>
          <w:i/>
        </w:rPr>
        <w:t xml:space="preserve"> </w:t>
      </w:r>
      <w:r w:rsidR="00BC77E7">
        <w:rPr>
          <w:rFonts w:eastAsiaTheme="minorEastAsia"/>
        </w:rPr>
        <w:t>is a measure of affinity of a small molecule for a macromolecule</w:t>
      </w:r>
      <w:r w:rsidR="00664087">
        <w:rPr>
          <w:rFonts w:eastAsiaTheme="minorEastAsia"/>
        </w:rPr>
        <w:t xml:space="preserve"> (</w:t>
      </w:r>
      <w:r w:rsidR="00322872">
        <w:t>Equation 1.5</w:t>
      </w:r>
      <w:r w:rsidR="00664087" w:rsidRPr="00612909">
        <w:rPr>
          <w:rFonts w:eastAsiaTheme="minorEastAsia"/>
        </w:rPr>
        <w:t>)</w:t>
      </w:r>
      <w:r w:rsidR="00347BB6">
        <w:rPr>
          <w:rFonts w:eastAsiaTheme="minorEastAsia"/>
        </w:rP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3072"/>
      </w:tblGrid>
      <w:tr w:rsidR="00BE7CB4" w:rsidRPr="00BF5905" w:rsidTr="00BE7CB4">
        <w:trPr>
          <w:trHeight w:val="564"/>
        </w:trPr>
        <w:tc>
          <w:tcPr>
            <w:tcW w:w="5372" w:type="dxa"/>
          </w:tcPr>
          <w:p w:rsidR="00BE7CB4" w:rsidRPr="00BE7CB4" w:rsidRDefault="00BE7CB4" w:rsidP="00BE7CB4">
            <w:pPr>
              <w:spacing w:line="480" w:lineRule="auto"/>
              <w:jc w:val="center"/>
              <w:rPr>
                <w:rFonts w:eastAsiaTheme="minorEastAsia"/>
              </w:rPr>
            </w:pPr>
            <m:oMathPara>
              <m:oMathParaPr>
                <m:jc m:val="right"/>
              </m:oMathParaPr>
              <m:oMath>
                <m:r>
                  <w:rPr>
                    <w:rFonts w:ascii="Cambria Math" w:hAnsi="Cambria Math"/>
                  </w:rPr>
                  <m:t xml:space="preserve">∆G= -RT </m:t>
                </m:r>
                <m:r>
                  <m:rPr>
                    <m:sty m:val="p"/>
                  </m:rPr>
                  <w:rPr>
                    <w:rFonts w:ascii="Cambria Math" w:hAnsi="Cambria Math"/>
                  </w:rPr>
                  <m:t>In</m:t>
                </m:r>
                <m:r>
                  <w:rPr>
                    <w:rFonts w:ascii="Cambria Math" w:hAnsi="Cambria Math"/>
                  </w:rPr>
                  <m:t>K</m:t>
                </m:r>
              </m:oMath>
            </m:oMathPara>
          </w:p>
        </w:tc>
        <w:tc>
          <w:tcPr>
            <w:tcW w:w="3072" w:type="dxa"/>
          </w:tcPr>
          <w:p w:rsidR="00BE7CB4" w:rsidRPr="00BF5905" w:rsidRDefault="00BE7CB4" w:rsidP="006E62CB">
            <w:pPr>
              <w:keepNext/>
              <w:spacing w:line="480" w:lineRule="auto"/>
              <w:jc w:val="right"/>
              <w:rPr>
                <w:rFonts w:eastAsiaTheme="minorEastAsia"/>
              </w:rPr>
            </w:pPr>
            <w:r>
              <w:rPr>
                <w:rFonts w:eastAsiaTheme="minorEastAsia"/>
              </w:rPr>
              <w:t>(</w:t>
            </w:r>
            <w:r w:rsidRPr="00BF5905">
              <w:rPr>
                <w:rFonts w:eastAsiaTheme="minorEastAsia"/>
                <w:i/>
              </w:rPr>
              <w:t>1.</w:t>
            </w:r>
            <w:r w:rsidR="00322872">
              <w:rPr>
                <w:rFonts w:eastAsiaTheme="minorEastAsia"/>
                <w:i/>
              </w:rPr>
              <w:t>5</w:t>
            </w:r>
            <w:r>
              <w:rPr>
                <w:rFonts w:eastAsiaTheme="minorEastAsia"/>
              </w:rPr>
              <w:t>)</w:t>
            </w:r>
          </w:p>
        </w:tc>
      </w:tr>
    </w:tbl>
    <w:p w:rsidR="00DD065D" w:rsidRDefault="000D0D8B" w:rsidP="00612909">
      <w:pPr>
        <w:spacing w:line="480" w:lineRule="auto"/>
        <w:jc w:val="both"/>
        <w:rPr>
          <w:rFonts w:eastAsiaTheme="minorEastAsia"/>
        </w:rPr>
      </w:pPr>
      <w:r>
        <w:rPr>
          <w:rFonts w:eastAsiaTheme="minorEastAsia"/>
        </w:rPr>
        <w:t xml:space="preserve">Where </w:t>
      </w:r>
      <w:r w:rsidRPr="008339ED">
        <w:rPr>
          <w:i/>
        </w:rPr>
        <w:t>R</w:t>
      </w:r>
      <w:r w:rsidR="00347BB6">
        <w:t xml:space="preserve"> is the gas constant 8.314 </w:t>
      </w:r>
      <w:r w:rsidR="007979BA">
        <w:t xml:space="preserve">in </w:t>
      </w:r>
      <w:r w:rsidR="00347BB6" w:rsidRPr="00347BB6">
        <w:rPr>
          <w:rStyle w:val="Emphasis"/>
          <w:rFonts w:cs="Arial"/>
          <w:bCs/>
          <w:i w:val="0"/>
          <w:iCs w:val="0"/>
          <w:color w:val="000000" w:themeColor="text1"/>
          <w:shd w:val="clear" w:color="auto" w:fill="FFFFFF"/>
        </w:rPr>
        <w:t>J</w:t>
      </w:r>
      <w:r w:rsidR="00B85C83" w:rsidRPr="00347BB6">
        <w:rPr>
          <w:rFonts w:cs="Arial"/>
          <w:color w:val="000000" w:themeColor="text1"/>
          <w:shd w:val="clear" w:color="auto" w:fill="FFFFFF"/>
        </w:rPr>
        <w:t>/</w:t>
      </w:r>
      <w:r w:rsidR="00B85C83">
        <w:rPr>
          <w:rFonts w:cs="Arial"/>
          <w:color w:val="000000" w:themeColor="text1"/>
          <w:shd w:val="clear" w:color="auto" w:fill="FFFFFF"/>
        </w:rPr>
        <w:t xml:space="preserve"> (</w:t>
      </w:r>
      <w:r w:rsidR="00347BB6" w:rsidRPr="00347BB6">
        <w:rPr>
          <w:rStyle w:val="Emphasis"/>
          <w:rFonts w:cs="Arial"/>
          <w:bCs/>
          <w:i w:val="0"/>
          <w:iCs w:val="0"/>
          <w:color w:val="000000" w:themeColor="text1"/>
          <w:shd w:val="clear" w:color="auto" w:fill="FFFFFF"/>
        </w:rPr>
        <w:t>mol</w:t>
      </w:r>
      <w:r w:rsidR="00347BB6" w:rsidRPr="00347BB6">
        <w:rPr>
          <w:rFonts w:cs="Arial"/>
          <w:color w:val="000000" w:themeColor="text1"/>
          <w:shd w:val="clear" w:color="auto" w:fill="FFFFFF"/>
        </w:rPr>
        <w:t>·</w:t>
      </w:r>
      <w:r w:rsidR="00347BB6" w:rsidRPr="00347BB6">
        <w:rPr>
          <w:rStyle w:val="Emphasis"/>
          <w:rFonts w:cs="Arial"/>
          <w:bCs/>
          <w:i w:val="0"/>
          <w:iCs w:val="0"/>
          <w:color w:val="000000" w:themeColor="text1"/>
          <w:shd w:val="clear" w:color="auto" w:fill="FFFFFF"/>
        </w:rPr>
        <w:t>K</w:t>
      </w:r>
      <w:r w:rsidR="007979BA">
        <w:rPr>
          <w:rStyle w:val="Emphasis"/>
          <w:rFonts w:cs="Arial"/>
          <w:bCs/>
          <w:i w:val="0"/>
          <w:iCs w:val="0"/>
          <w:color w:val="000000" w:themeColor="text1"/>
          <w:shd w:val="clear" w:color="auto" w:fill="FFFFFF"/>
        </w:rPr>
        <w:t>)</w:t>
      </w:r>
      <w:r w:rsidR="00347BB6" w:rsidRPr="008339ED">
        <w:t xml:space="preserve"> </w:t>
      </w:r>
      <w:r w:rsidRPr="008339ED">
        <w:t xml:space="preserve">and </w:t>
      </w:r>
      <w:r w:rsidRPr="008339ED">
        <w:rPr>
          <w:i/>
        </w:rPr>
        <w:t xml:space="preserve">T </w:t>
      </w:r>
      <w:r w:rsidRPr="008339ED">
        <w:t>is the temperature of the reaction</w:t>
      </w:r>
      <w:r w:rsidR="00347BB6">
        <w:t xml:space="preserve"> in Kelvin</w:t>
      </w:r>
      <w:r w:rsidRPr="008339ED">
        <w:t>.</w:t>
      </w:r>
      <w:r>
        <w:t xml:space="preserve"> </w:t>
      </w:r>
      <w:r w:rsidR="00322872">
        <w:t>Table 1.1</w:t>
      </w:r>
      <w:r w:rsidR="00655BE2">
        <w:t xml:space="preserve"> </w:t>
      </w:r>
      <w:r w:rsidR="00AA23FB">
        <w:rPr>
          <w:rFonts w:eastAsiaTheme="minorEastAsia"/>
        </w:rPr>
        <w:t xml:space="preserve">gives the relationship between </w:t>
      </w:r>
      <w:r w:rsidR="00AA23FB" w:rsidRPr="0095721B">
        <w:rPr>
          <w:rFonts w:eastAsiaTheme="minorEastAsia"/>
          <w:i/>
        </w:rPr>
        <w:t>ΔG</w:t>
      </w:r>
      <w:r w:rsidR="00AA23FB">
        <w:rPr>
          <w:rFonts w:eastAsiaTheme="minorEastAsia"/>
        </w:rPr>
        <w:t xml:space="preserve">, </w:t>
      </w:r>
      <w:r w:rsidR="00AA23FB" w:rsidRPr="0095721B">
        <w:rPr>
          <w:rFonts w:eastAsiaTheme="minorEastAsia"/>
          <w:i/>
        </w:rPr>
        <w:t xml:space="preserve">K </w:t>
      </w:r>
      <w:r w:rsidR="00AA23FB">
        <w:rPr>
          <w:rFonts w:eastAsiaTheme="minorEastAsia"/>
        </w:rPr>
        <w:t xml:space="preserve">and equilibrium composition for equilibria between equal numbers of reactant and product molecules. </w:t>
      </w:r>
    </w:p>
    <w:p w:rsidR="00BE7CB4" w:rsidRDefault="00BE7CB4" w:rsidP="00612909">
      <w:pPr>
        <w:spacing w:line="480" w:lineRule="auto"/>
        <w:jc w:val="both"/>
        <w:rPr>
          <w:rFonts w:eastAsiaTheme="minorEastAsia"/>
        </w:rPr>
      </w:pPr>
    </w:p>
    <w:p w:rsidR="00BE7CB4" w:rsidRDefault="00BE7CB4" w:rsidP="00612909">
      <w:pPr>
        <w:spacing w:line="480" w:lineRule="auto"/>
        <w:jc w:val="both"/>
        <w:rPr>
          <w:rFonts w:eastAsiaTheme="minorEastAsia"/>
        </w:rPr>
      </w:pPr>
    </w:p>
    <w:p w:rsidR="00BE7CB4" w:rsidRDefault="00BE7CB4" w:rsidP="00612909">
      <w:pPr>
        <w:spacing w:line="480" w:lineRule="auto"/>
        <w:jc w:val="both"/>
        <w:rPr>
          <w:rFonts w:eastAsiaTheme="minorEastAsia"/>
        </w:rPr>
      </w:pPr>
    </w:p>
    <w:p w:rsidR="00BE7CB4" w:rsidRPr="00096BCE" w:rsidRDefault="00BE7CB4" w:rsidP="00612909">
      <w:pPr>
        <w:spacing w:line="480" w:lineRule="auto"/>
        <w:jc w:val="both"/>
        <w:rPr>
          <w:rFonts w:eastAsiaTheme="minorEastAsia"/>
        </w:rPr>
      </w:pPr>
    </w:p>
    <w:p w:rsidR="0095721B" w:rsidRPr="00533C62" w:rsidRDefault="00322872" w:rsidP="008D5CBE">
      <w:pPr>
        <w:pStyle w:val="Caption"/>
        <w:keepNext/>
        <w:jc w:val="center"/>
      </w:pPr>
      <w:bookmarkStart w:id="8" w:name="_Ref442800962"/>
      <w:r>
        <w:lastRenderedPageBreak/>
        <w:t xml:space="preserve">Table </w:t>
      </w:r>
      <w:r w:rsidR="0075172E">
        <w:fldChar w:fldCharType="begin"/>
      </w:r>
      <w:r w:rsidR="00AC2227">
        <w:instrText xml:space="preserve"> STYLEREF 1 \s </w:instrText>
      </w:r>
      <w:r w:rsidR="0075172E">
        <w:fldChar w:fldCharType="separate"/>
      </w:r>
      <w:r w:rsidR="00E71593">
        <w:rPr>
          <w:noProof/>
        </w:rPr>
        <w:t>1</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1</w:t>
      </w:r>
      <w:r w:rsidR="0075172E">
        <w:fldChar w:fldCharType="end"/>
      </w:r>
      <w:r>
        <w:t>:</w:t>
      </w:r>
      <w:bookmarkEnd w:id="8"/>
      <w:r w:rsidR="00533C62" w:rsidRPr="00533C62">
        <w:t xml:space="preserve">The relationship between </w:t>
      </w:r>
      <w:r w:rsidR="00533C62" w:rsidRPr="00533C62">
        <w:rPr>
          <w:i/>
        </w:rPr>
        <w:t>ΔG</w:t>
      </w:r>
      <w:r w:rsidR="00533C62" w:rsidRPr="00533C62">
        <w:t xml:space="preserve"> and</w:t>
      </w:r>
      <w:r w:rsidR="00533C62" w:rsidRPr="00533C62">
        <w:rPr>
          <w:i/>
        </w:rPr>
        <w:t xml:space="preserve"> K </w:t>
      </w:r>
      <w:r w:rsidR="00533C62" w:rsidRPr="00533C62">
        <w:t xml:space="preserve">for A </w:t>
      </w:r>
      <w:r w:rsidR="00533C62" w:rsidRPr="00533C62">
        <w:rPr>
          <w:rFonts w:ascii="Cambria Math" w:hAnsi="Cambria Math" w:cs="Cambria Math"/>
        </w:rPr>
        <w:t>⇄</w:t>
      </w:r>
      <w:r w:rsidR="00533C62" w:rsidRPr="00533C62">
        <w:t>B at 298 K. Reproduced from Isaacs</w:t>
      </w:r>
      <w:hyperlink w:anchor="_ENREF_4" w:tooltip="Isaacs, 1995 #675" w:history="1">
        <w:r w:rsidR="00512D09">
          <w:fldChar w:fldCharType="begin"/>
        </w:r>
        <w:r w:rsidR="00512D09">
          <w:instrText xml:space="preserve"> ADDIN EN.CITE &lt;EndNote&gt;&lt;Cite&gt;&lt;Author&gt;Isaacs&lt;/Author&gt;&lt;Year&gt;1995&lt;/Year&gt;&lt;RecNum&gt;675&lt;/RecNum&gt;&lt;DisplayText&gt;&lt;style face="superscript"&gt;4&lt;/style&gt;&lt;/DisplayText&gt;&lt;record&gt;&lt;rec-number&gt;675&lt;/rec-number&gt;&lt;foreign-keys&gt;&lt;key app="EN" db-id="5trrespwzsdr07efd5tx2w96x22re9s0fsdt"&gt;675&lt;/key&gt;&lt;/foreign-keys&gt;&lt;ref-type name="Book Section"&gt;5&lt;/ref-type&gt;&lt;contributors&gt;&lt;authors&gt;&lt;author&gt;Isaacs, Neil S&lt;/author&gt;&lt;/authors&gt;&lt;/contributors&gt;&lt;titles&gt;&lt;title&gt;Physical organic chemistry&lt;/title&gt;&lt;/titles&gt;&lt;pages&gt;98&lt;/pages&gt;&lt;edition&gt;Second&lt;/edition&gt;&lt;section&gt;2&lt;/section&gt;&lt;dates&gt;&lt;year&gt;1995&lt;/year&gt;&lt;/dates&gt;&lt;publisher&gt;Longman Scientific &amp;amp; Technical; Wiley &amp;amp; Sons&lt;/publisher&gt;&lt;isbn&gt;0470234563&lt;/isbn&gt;&lt;urls&gt;&lt;/urls&gt;&lt;/record&gt;&lt;/Cite&gt;&lt;/EndNote&gt;</w:instrText>
        </w:r>
        <w:r w:rsidR="00512D09">
          <w:fldChar w:fldCharType="separate"/>
        </w:r>
        <w:r w:rsidR="00512D09" w:rsidRPr="00E30C0B">
          <w:rPr>
            <w:noProof/>
            <w:vertAlign w:val="superscript"/>
          </w:rPr>
          <w:t>4</w:t>
        </w:r>
        <w:r w:rsidR="00512D09">
          <w:fldChar w:fldCharType="end"/>
        </w:r>
      </w:hyperlink>
    </w:p>
    <w:tbl>
      <w:tblPr>
        <w:tblW w:w="0" w:type="auto"/>
        <w:tblInd w:w="2160" w:type="dxa"/>
        <w:tblLook w:val="04A0" w:firstRow="1" w:lastRow="0" w:firstColumn="1" w:lastColumn="0" w:noHBand="0" w:noVBand="1"/>
      </w:tblPr>
      <w:tblGrid>
        <w:gridCol w:w="901"/>
        <w:gridCol w:w="541"/>
        <w:gridCol w:w="3286"/>
      </w:tblGrid>
      <w:tr w:rsidR="00AA23FB" w:rsidTr="001A2D05">
        <w:tc>
          <w:tcPr>
            <w:tcW w:w="0" w:type="auto"/>
            <w:tcBorders>
              <w:top w:val="single" w:sz="4" w:space="0" w:color="auto"/>
              <w:bottom w:val="single" w:sz="4" w:space="0" w:color="auto"/>
            </w:tcBorders>
          </w:tcPr>
          <w:p w:rsidR="00164ED4" w:rsidRPr="00096BCE" w:rsidRDefault="00164ED4" w:rsidP="00096BCE">
            <w:pPr>
              <w:spacing w:line="240" w:lineRule="auto"/>
              <w:jc w:val="center"/>
              <w:rPr>
                <w:b/>
                <w:sz w:val="16"/>
                <w:szCs w:val="16"/>
              </w:rPr>
            </w:pPr>
          </w:p>
          <w:p w:rsidR="00AA23FB" w:rsidRPr="00096BCE" w:rsidRDefault="00EB16FC" w:rsidP="00096BCE">
            <w:pPr>
              <w:spacing w:line="240" w:lineRule="auto"/>
              <w:jc w:val="center"/>
              <w:rPr>
                <w:b/>
                <w:sz w:val="16"/>
                <w:szCs w:val="16"/>
                <w:vertAlign w:val="superscript"/>
              </w:rPr>
            </w:pPr>
            <w:r w:rsidRPr="00096BCE">
              <w:rPr>
                <w:b/>
                <w:sz w:val="16"/>
                <w:szCs w:val="16"/>
              </w:rPr>
              <w:t>Δ</w:t>
            </w:r>
            <w:r w:rsidRPr="0050110E">
              <w:rPr>
                <w:b/>
                <w:i/>
                <w:sz w:val="16"/>
                <w:szCs w:val="16"/>
              </w:rPr>
              <w:t>G</w:t>
            </w:r>
            <w:r w:rsidRPr="00096BCE">
              <w:rPr>
                <w:b/>
                <w:sz w:val="16"/>
                <w:szCs w:val="16"/>
              </w:rPr>
              <w:t xml:space="preserve"> </w:t>
            </w:r>
            <w:r w:rsidR="00096BCE">
              <w:rPr>
                <w:b/>
                <w:sz w:val="16"/>
                <w:szCs w:val="16"/>
              </w:rPr>
              <w:t>kJ/</w:t>
            </w:r>
            <w:r w:rsidR="00AA23FB" w:rsidRPr="00096BCE">
              <w:rPr>
                <w:b/>
                <w:sz w:val="16"/>
                <w:szCs w:val="16"/>
              </w:rPr>
              <w:t>mol</w:t>
            </w:r>
          </w:p>
          <w:p w:rsidR="0095721B" w:rsidRPr="00096BCE" w:rsidRDefault="0095721B" w:rsidP="00096BCE">
            <w:pPr>
              <w:spacing w:line="240" w:lineRule="auto"/>
              <w:jc w:val="center"/>
              <w:rPr>
                <w:b/>
                <w:sz w:val="16"/>
                <w:szCs w:val="16"/>
              </w:rPr>
            </w:pPr>
            <w:r w:rsidRPr="00096BCE">
              <w:rPr>
                <w:b/>
                <w:sz w:val="16"/>
                <w:szCs w:val="16"/>
              </w:rPr>
              <w:t>-</w:t>
            </w:r>
          </w:p>
        </w:tc>
        <w:tc>
          <w:tcPr>
            <w:tcW w:w="0" w:type="auto"/>
            <w:tcBorders>
              <w:top w:val="single" w:sz="4" w:space="0" w:color="auto"/>
              <w:bottom w:val="single" w:sz="4" w:space="0" w:color="auto"/>
            </w:tcBorders>
          </w:tcPr>
          <w:p w:rsidR="00164ED4" w:rsidRPr="00096BCE" w:rsidRDefault="00164ED4" w:rsidP="00096BCE">
            <w:pPr>
              <w:spacing w:line="240" w:lineRule="auto"/>
              <w:jc w:val="center"/>
              <w:rPr>
                <w:b/>
                <w:sz w:val="16"/>
                <w:szCs w:val="16"/>
              </w:rPr>
            </w:pPr>
          </w:p>
          <w:p w:rsidR="00AA23FB" w:rsidRPr="00096BCE" w:rsidRDefault="0095721B" w:rsidP="00096BCE">
            <w:pPr>
              <w:spacing w:line="240" w:lineRule="auto"/>
              <w:jc w:val="center"/>
              <w:rPr>
                <w:b/>
                <w:sz w:val="16"/>
                <w:szCs w:val="16"/>
              </w:rPr>
            </w:pPr>
            <w:r w:rsidRPr="00096BCE">
              <w:rPr>
                <w:b/>
                <w:sz w:val="16"/>
                <w:szCs w:val="16"/>
              </w:rPr>
              <w:t>K</w:t>
            </w:r>
          </w:p>
        </w:tc>
        <w:tc>
          <w:tcPr>
            <w:tcW w:w="0" w:type="auto"/>
            <w:tcBorders>
              <w:top w:val="single" w:sz="4" w:space="0" w:color="auto"/>
              <w:bottom w:val="single" w:sz="4" w:space="0" w:color="auto"/>
            </w:tcBorders>
          </w:tcPr>
          <w:p w:rsidR="00164ED4" w:rsidRPr="00096BCE" w:rsidRDefault="00164ED4" w:rsidP="00096BCE">
            <w:pPr>
              <w:spacing w:line="240" w:lineRule="auto"/>
              <w:jc w:val="center"/>
              <w:rPr>
                <w:b/>
                <w:sz w:val="16"/>
                <w:szCs w:val="16"/>
              </w:rPr>
            </w:pPr>
          </w:p>
          <w:p w:rsidR="00AA23FB" w:rsidRPr="00096BCE" w:rsidRDefault="0095721B" w:rsidP="00096BCE">
            <w:pPr>
              <w:spacing w:line="240" w:lineRule="auto"/>
              <w:jc w:val="center"/>
              <w:rPr>
                <w:b/>
                <w:sz w:val="16"/>
                <w:szCs w:val="16"/>
              </w:rPr>
            </w:pPr>
            <w:r w:rsidRPr="00096BCE">
              <w:rPr>
                <w:b/>
                <w:sz w:val="16"/>
                <w:szCs w:val="16"/>
              </w:rPr>
              <w:t>Equilibrium percentage of more stable species</w:t>
            </w:r>
          </w:p>
        </w:tc>
      </w:tr>
      <w:tr w:rsidR="00AA23FB" w:rsidTr="001A2D05">
        <w:tc>
          <w:tcPr>
            <w:tcW w:w="0" w:type="auto"/>
            <w:tcBorders>
              <w:top w:val="single" w:sz="4" w:space="0" w:color="auto"/>
            </w:tcBorders>
          </w:tcPr>
          <w:p w:rsidR="00AA23FB" w:rsidRPr="00096BCE" w:rsidRDefault="0095721B" w:rsidP="00096BCE">
            <w:pPr>
              <w:spacing w:line="240" w:lineRule="auto"/>
              <w:jc w:val="center"/>
              <w:rPr>
                <w:sz w:val="16"/>
                <w:szCs w:val="16"/>
              </w:rPr>
            </w:pPr>
            <w:r w:rsidRPr="00096BCE">
              <w:rPr>
                <w:sz w:val="16"/>
                <w:szCs w:val="16"/>
              </w:rPr>
              <w:t>0</w:t>
            </w:r>
          </w:p>
        </w:tc>
        <w:tc>
          <w:tcPr>
            <w:tcW w:w="0" w:type="auto"/>
            <w:tcBorders>
              <w:top w:val="single" w:sz="4" w:space="0" w:color="auto"/>
            </w:tcBorders>
          </w:tcPr>
          <w:p w:rsidR="00AA23FB" w:rsidRPr="00096BCE" w:rsidRDefault="0095721B" w:rsidP="00096BCE">
            <w:pPr>
              <w:spacing w:line="240" w:lineRule="auto"/>
              <w:jc w:val="center"/>
              <w:rPr>
                <w:sz w:val="16"/>
                <w:szCs w:val="16"/>
              </w:rPr>
            </w:pPr>
            <w:r w:rsidRPr="00096BCE">
              <w:rPr>
                <w:sz w:val="16"/>
                <w:szCs w:val="16"/>
              </w:rPr>
              <w:t>1</w:t>
            </w:r>
          </w:p>
        </w:tc>
        <w:tc>
          <w:tcPr>
            <w:tcW w:w="0" w:type="auto"/>
            <w:tcBorders>
              <w:top w:val="single" w:sz="4" w:space="0" w:color="auto"/>
            </w:tcBorders>
          </w:tcPr>
          <w:p w:rsidR="00AA23FB" w:rsidRPr="00096BCE" w:rsidRDefault="0095721B" w:rsidP="00096BCE">
            <w:pPr>
              <w:spacing w:line="240" w:lineRule="auto"/>
              <w:jc w:val="center"/>
              <w:rPr>
                <w:sz w:val="16"/>
                <w:szCs w:val="16"/>
              </w:rPr>
            </w:pPr>
            <w:r w:rsidRPr="00096BCE">
              <w:rPr>
                <w:sz w:val="16"/>
                <w:szCs w:val="16"/>
              </w:rPr>
              <w:t>50</w:t>
            </w:r>
          </w:p>
        </w:tc>
      </w:tr>
      <w:tr w:rsidR="00AA23FB" w:rsidTr="001A2D05">
        <w:tc>
          <w:tcPr>
            <w:tcW w:w="0" w:type="auto"/>
          </w:tcPr>
          <w:p w:rsidR="00AA23FB" w:rsidRPr="00096BCE" w:rsidRDefault="0095721B" w:rsidP="00096BCE">
            <w:pPr>
              <w:spacing w:line="240" w:lineRule="auto"/>
              <w:jc w:val="center"/>
              <w:rPr>
                <w:sz w:val="16"/>
                <w:szCs w:val="16"/>
              </w:rPr>
            </w:pPr>
            <w:r w:rsidRPr="00096BCE">
              <w:rPr>
                <w:sz w:val="16"/>
                <w:szCs w:val="16"/>
              </w:rPr>
              <w:t>1</w:t>
            </w:r>
          </w:p>
        </w:tc>
        <w:tc>
          <w:tcPr>
            <w:tcW w:w="0" w:type="auto"/>
          </w:tcPr>
          <w:p w:rsidR="00AA23FB" w:rsidRPr="00096BCE" w:rsidRDefault="0095721B" w:rsidP="00096BCE">
            <w:pPr>
              <w:spacing w:line="240" w:lineRule="auto"/>
              <w:jc w:val="center"/>
              <w:rPr>
                <w:sz w:val="16"/>
                <w:szCs w:val="16"/>
              </w:rPr>
            </w:pPr>
            <w:r w:rsidRPr="00096BCE">
              <w:rPr>
                <w:sz w:val="16"/>
                <w:szCs w:val="16"/>
              </w:rPr>
              <w:t>1.5</w:t>
            </w:r>
          </w:p>
        </w:tc>
        <w:tc>
          <w:tcPr>
            <w:tcW w:w="0" w:type="auto"/>
          </w:tcPr>
          <w:p w:rsidR="00AA23FB" w:rsidRPr="00096BCE" w:rsidRDefault="0095721B" w:rsidP="00096BCE">
            <w:pPr>
              <w:spacing w:line="240" w:lineRule="auto"/>
              <w:jc w:val="center"/>
              <w:rPr>
                <w:sz w:val="16"/>
                <w:szCs w:val="16"/>
              </w:rPr>
            </w:pPr>
            <w:r w:rsidRPr="00096BCE">
              <w:rPr>
                <w:sz w:val="16"/>
                <w:szCs w:val="16"/>
              </w:rPr>
              <w:t>60</w:t>
            </w:r>
          </w:p>
        </w:tc>
      </w:tr>
      <w:tr w:rsidR="00AA23FB" w:rsidTr="001A2D05">
        <w:tc>
          <w:tcPr>
            <w:tcW w:w="0" w:type="auto"/>
          </w:tcPr>
          <w:p w:rsidR="00AA23FB" w:rsidRPr="00096BCE" w:rsidRDefault="0095721B" w:rsidP="00096BCE">
            <w:pPr>
              <w:spacing w:line="240" w:lineRule="auto"/>
              <w:jc w:val="center"/>
              <w:rPr>
                <w:sz w:val="16"/>
                <w:szCs w:val="16"/>
              </w:rPr>
            </w:pPr>
            <w:r w:rsidRPr="00096BCE">
              <w:rPr>
                <w:sz w:val="16"/>
                <w:szCs w:val="16"/>
              </w:rPr>
              <w:t>2.1</w:t>
            </w:r>
          </w:p>
        </w:tc>
        <w:tc>
          <w:tcPr>
            <w:tcW w:w="0" w:type="auto"/>
          </w:tcPr>
          <w:p w:rsidR="00AA23FB" w:rsidRPr="00096BCE" w:rsidRDefault="0095721B" w:rsidP="00096BCE">
            <w:pPr>
              <w:spacing w:line="240" w:lineRule="auto"/>
              <w:jc w:val="center"/>
              <w:rPr>
                <w:sz w:val="16"/>
                <w:szCs w:val="16"/>
              </w:rPr>
            </w:pPr>
            <w:r w:rsidRPr="00096BCE">
              <w:rPr>
                <w:sz w:val="16"/>
                <w:szCs w:val="16"/>
              </w:rPr>
              <w:t>2.33</w:t>
            </w:r>
          </w:p>
        </w:tc>
        <w:tc>
          <w:tcPr>
            <w:tcW w:w="0" w:type="auto"/>
          </w:tcPr>
          <w:p w:rsidR="00AA23FB" w:rsidRPr="00096BCE" w:rsidRDefault="0095721B" w:rsidP="00096BCE">
            <w:pPr>
              <w:spacing w:line="240" w:lineRule="auto"/>
              <w:jc w:val="center"/>
              <w:rPr>
                <w:sz w:val="16"/>
                <w:szCs w:val="16"/>
              </w:rPr>
            </w:pPr>
            <w:r w:rsidRPr="00096BCE">
              <w:rPr>
                <w:sz w:val="16"/>
                <w:szCs w:val="16"/>
              </w:rPr>
              <w:t>80</w:t>
            </w:r>
          </w:p>
        </w:tc>
      </w:tr>
      <w:tr w:rsidR="00AA23FB" w:rsidTr="001A2D05">
        <w:tc>
          <w:tcPr>
            <w:tcW w:w="0" w:type="auto"/>
          </w:tcPr>
          <w:p w:rsidR="00AA23FB" w:rsidRPr="00096BCE" w:rsidRDefault="0095721B" w:rsidP="00096BCE">
            <w:pPr>
              <w:spacing w:line="240" w:lineRule="auto"/>
              <w:jc w:val="center"/>
              <w:rPr>
                <w:sz w:val="16"/>
                <w:szCs w:val="16"/>
              </w:rPr>
            </w:pPr>
            <w:r w:rsidRPr="00096BCE">
              <w:rPr>
                <w:sz w:val="16"/>
                <w:szCs w:val="16"/>
              </w:rPr>
              <w:t>5.4</w:t>
            </w:r>
          </w:p>
        </w:tc>
        <w:tc>
          <w:tcPr>
            <w:tcW w:w="0" w:type="auto"/>
          </w:tcPr>
          <w:p w:rsidR="00AA23FB" w:rsidRPr="00096BCE" w:rsidRDefault="0095721B" w:rsidP="00096BCE">
            <w:pPr>
              <w:spacing w:line="240" w:lineRule="auto"/>
              <w:jc w:val="center"/>
              <w:rPr>
                <w:sz w:val="16"/>
                <w:szCs w:val="16"/>
              </w:rPr>
            </w:pPr>
            <w:r w:rsidRPr="00096BCE">
              <w:rPr>
                <w:sz w:val="16"/>
                <w:szCs w:val="16"/>
              </w:rPr>
              <w:t>9.0</w:t>
            </w:r>
          </w:p>
        </w:tc>
        <w:tc>
          <w:tcPr>
            <w:tcW w:w="0" w:type="auto"/>
          </w:tcPr>
          <w:p w:rsidR="00AA23FB" w:rsidRPr="00096BCE" w:rsidRDefault="0095721B" w:rsidP="00096BCE">
            <w:pPr>
              <w:spacing w:line="240" w:lineRule="auto"/>
              <w:jc w:val="center"/>
              <w:rPr>
                <w:sz w:val="16"/>
                <w:szCs w:val="16"/>
              </w:rPr>
            </w:pPr>
            <w:r w:rsidRPr="00096BCE">
              <w:rPr>
                <w:sz w:val="16"/>
                <w:szCs w:val="16"/>
              </w:rPr>
              <w:t>90</w:t>
            </w:r>
          </w:p>
        </w:tc>
      </w:tr>
      <w:tr w:rsidR="00AA23FB" w:rsidTr="001A2D05">
        <w:tc>
          <w:tcPr>
            <w:tcW w:w="0" w:type="auto"/>
          </w:tcPr>
          <w:p w:rsidR="00AA23FB" w:rsidRPr="00096BCE" w:rsidRDefault="0095721B" w:rsidP="00096BCE">
            <w:pPr>
              <w:spacing w:line="240" w:lineRule="auto"/>
              <w:jc w:val="center"/>
              <w:rPr>
                <w:sz w:val="16"/>
                <w:szCs w:val="16"/>
              </w:rPr>
            </w:pPr>
            <w:r w:rsidRPr="00096BCE">
              <w:rPr>
                <w:sz w:val="16"/>
                <w:szCs w:val="16"/>
              </w:rPr>
              <w:t>17.0</w:t>
            </w:r>
          </w:p>
        </w:tc>
        <w:tc>
          <w:tcPr>
            <w:tcW w:w="0" w:type="auto"/>
          </w:tcPr>
          <w:p w:rsidR="00AA23FB" w:rsidRPr="00096BCE" w:rsidRDefault="0095721B" w:rsidP="00096BCE">
            <w:pPr>
              <w:spacing w:line="240" w:lineRule="auto"/>
              <w:jc w:val="center"/>
              <w:rPr>
                <w:sz w:val="16"/>
                <w:szCs w:val="16"/>
              </w:rPr>
            </w:pPr>
            <w:r w:rsidRPr="00096BCE">
              <w:rPr>
                <w:sz w:val="16"/>
                <w:szCs w:val="16"/>
              </w:rPr>
              <w:t>999</w:t>
            </w:r>
          </w:p>
        </w:tc>
        <w:tc>
          <w:tcPr>
            <w:tcW w:w="0" w:type="auto"/>
          </w:tcPr>
          <w:p w:rsidR="00AA23FB" w:rsidRPr="00096BCE" w:rsidRDefault="0095721B" w:rsidP="00096BCE">
            <w:pPr>
              <w:spacing w:line="240" w:lineRule="auto"/>
              <w:jc w:val="center"/>
              <w:rPr>
                <w:sz w:val="16"/>
                <w:szCs w:val="16"/>
              </w:rPr>
            </w:pPr>
            <w:r w:rsidRPr="00096BCE">
              <w:rPr>
                <w:sz w:val="16"/>
                <w:szCs w:val="16"/>
              </w:rPr>
              <w:t>99.9</w:t>
            </w:r>
          </w:p>
        </w:tc>
      </w:tr>
      <w:tr w:rsidR="00AA23FB" w:rsidTr="001A2D05">
        <w:trPr>
          <w:trHeight w:val="66"/>
        </w:trPr>
        <w:tc>
          <w:tcPr>
            <w:tcW w:w="0" w:type="auto"/>
            <w:tcBorders>
              <w:bottom w:val="single" w:sz="4" w:space="0" w:color="auto"/>
            </w:tcBorders>
          </w:tcPr>
          <w:p w:rsidR="00AA23FB" w:rsidRPr="00096BCE" w:rsidRDefault="0095721B" w:rsidP="00096BCE">
            <w:pPr>
              <w:spacing w:line="240" w:lineRule="auto"/>
              <w:jc w:val="center"/>
              <w:rPr>
                <w:sz w:val="16"/>
                <w:szCs w:val="16"/>
              </w:rPr>
            </w:pPr>
            <w:r w:rsidRPr="00096BCE">
              <w:rPr>
                <w:sz w:val="16"/>
                <w:szCs w:val="16"/>
              </w:rPr>
              <w:t>22.8</w:t>
            </w:r>
          </w:p>
        </w:tc>
        <w:tc>
          <w:tcPr>
            <w:tcW w:w="0" w:type="auto"/>
            <w:tcBorders>
              <w:bottom w:val="single" w:sz="4" w:space="0" w:color="auto"/>
            </w:tcBorders>
          </w:tcPr>
          <w:p w:rsidR="00AA23FB" w:rsidRPr="00096BCE" w:rsidRDefault="0095721B" w:rsidP="00096BCE">
            <w:pPr>
              <w:spacing w:line="240" w:lineRule="auto"/>
              <w:jc w:val="center"/>
              <w:rPr>
                <w:sz w:val="16"/>
                <w:szCs w:val="16"/>
              </w:rPr>
            </w:pPr>
            <w:r w:rsidRPr="00096BCE">
              <w:rPr>
                <w:sz w:val="16"/>
                <w:szCs w:val="16"/>
              </w:rPr>
              <w:t>9999</w:t>
            </w:r>
          </w:p>
        </w:tc>
        <w:tc>
          <w:tcPr>
            <w:tcW w:w="0" w:type="auto"/>
            <w:tcBorders>
              <w:bottom w:val="single" w:sz="4" w:space="0" w:color="auto"/>
            </w:tcBorders>
          </w:tcPr>
          <w:p w:rsidR="00AA23FB" w:rsidRPr="00096BCE" w:rsidRDefault="0095721B" w:rsidP="00096BCE">
            <w:pPr>
              <w:spacing w:line="240" w:lineRule="auto"/>
              <w:jc w:val="center"/>
              <w:rPr>
                <w:sz w:val="16"/>
                <w:szCs w:val="16"/>
              </w:rPr>
            </w:pPr>
            <w:r w:rsidRPr="00096BCE">
              <w:rPr>
                <w:sz w:val="16"/>
                <w:szCs w:val="16"/>
              </w:rPr>
              <w:t>99.99</w:t>
            </w:r>
          </w:p>
        </w:tc>
      </w:tr>
    </w:tbl>
    <w:p w:rsidR="00AA23FB" w:rsidRDefault="00AA23FB" w:rsidP="00164ED4">
      <w:pPr>
        <w:spacing w:line="240" w:lineRule="auto"/>
      </w:pPr>
    </w:p>
    <w:p w:rsidR="00096BCE" w:rsidRDefault="00096BCE" w:rsidP="00164ED4">
      <w:pPr>
        <w:spacing w:line="240" w:lineRule="auto"/>
      </w:pPr>
    </w:p>
    <w:p w:rsidR="00BC77E7" w:rsidRDefault="00BC77E7" w:rsidP="00BA2CC0">
      <w:pPr>
        <w:pStyle w:val="Heading2"/>
      </w:pPr>
      <w:bookmarkStart w:id="9" w:name="_Toc459130653"/>
      <w:r w:rsidRPr="0083333F">
        <w:t>Thermodynamics and Drug Design</w:t>
      </w:r>
      <w:bookmarkEnd w:id="9"/>
    </w:p>
    <w:p w:rsidR="006F051C" w:rsidRPr="006F051C" w:rsidRDefault="006F051C" w:rsidP="006F051C"/>
    <w:p w:rsidR="00BC77E7" w:rsidRPr="00BC77E7" w:rsidRDefault="00BC77E7" w:rsidP="00612909">
      <w:pPr>
        <w:spacing w:line="480" w:lineRule="auto"/>
        <w:jc w:val="both"/>
      </w:pPr>
      <w:r w:rsidRPr="00BC77E7">
        <w:t xml:space="preserve">The science of drug design has progressed rapidly since the advent of biochemistry and molecular </w:t>
      </w:r>
      <w:r w:rsidR="00B85C83" w:rsidRPr="00BC77E7">
        <w:t>biology, which</w:t>
      </w:r>
      <w:r w:rsidRPr="00BC77E7">
        <w:t xml:space="preserve"> gave us an initial understanding of ligand-receptor relationships. Advances in the –omics sciences has improved our awareness of how drugs are absorbed, distributed, metabolised and excreted</w:t>
      </w:r>
      <w:r w:rsidR="00D62373">
        <w:t xml:space="preserve"> (ADME)</w:t>
      </w:r>
      <w:r w:rsidRPr="00BC77E7">
        <w:t xml:space="preserve">, which has helped in efforts to discover and design drugs with better treatment profiles. </w:t>
      </w:r>
    </w:p>
    <w:p w:rsidR="00BC77E7" w:rsidRDefault="00BC77E7" w:rsidP="00612909">
      <w:pPr>
        <w:spacing w:line="480" w:lineRule="auto"/>
        <w:jc w:val="both"/>
      </w:pPr>
      <w:r w:rsidRPr="00BC77E7">
        <w:t xml:space="preserve">The goal of drug design is to select a disease target and find a compound capable of binding to this target. 3D structural information of the target from X-ray crystallography or </w:t>
      </w:r>
      <w:r w:rsidR="008644AF">
        <w:t>Nuclear Magnetic Resonance</w:t>
      </w:r>
      <w:r w:rsidR="00C91F17">
        <w:t xml:space="preserve"> </w:t>
      </w:r>
      <w:r w:rsidR="008644AF">
        <w:t>(</w:t>
      </w:r>
      <w:r w:rsidRPr="00BC77E7">
        <w:t>NMR</w:t>
      </w:r>
      <w:r w:rsidR="008644AF">
        <w:t>)</w:t>
      </w:r>
      <w:r w:rsidRPr="00BC77E7">
        <w:t xml:space="preserve"> </w:t>
      </w:r>
      <w:r w:rsidR="00CB3C2F">
        <w:t xml:space="preserve">spectroscopy </w:t>
      </w:r>
      <w:r w:rsidRPr="00BC77E7">
        <w:t>can be integrated into a computer model to show how a compound could interact with said target. This approach is known as structure-based drug design and utilises two key techniques: docking and molecular dynamic simulations (MDS). MDS is a molecular mechanics program created to simulate the movement of atoms within a molecule. This can be used to understand how a ligand binds to a target. The aim of docking is to predict how a ligand will inte</w:t>
      </w:r>
      <w:r>
        <w:t>ract with the target</w:t>
      </w:r>
      <w:r w:rsidR="00B35AC0">
        <w:t>.</w:t>
      </w:r>
      <w:hyperlink w:anchor="_ENREF_5" w:tooltip="Alonso, 2006 #205" w:history="1">
        <w:r w:rsidR="00512D09">
          <w:fldChar w:fldCharType="begin"/>
        </w:r>
        <w:r w:rsidR="00512D09">
          <w:instrText xml:space="preserve"> ADDIN EN.CITE &lt;EndNote&gt;&lt;Cite&gt;&lt;Author&gt;Alonso&lt;/Author&gt;&lt;Year&gt;2006&lt;/Year&gt;&lt;RecNum&gt;205&lt;/RecNum&gt;&lt;DisplayText&gt;&lt;style face="superscript"&gt;5&lt;/style&gt;&lt;/DisplayText&gt;&lt;record&gt;&lt;rec-number&gt;205&lt;/rec-number&gt;&lt;foreign-keys&gt;&lt;key app="EN" db-id="5trrespwzsdr07efd5tx2w96x22re9s0fsdt"&gt;205&lt;/key&gt;&lt;/foreign-keys&gt;&lt;ref-type name="Journal Article"&gt;17&lt;/ref-type&gt;&lt;contributors&gt;&lt;authors&gt;&lt;author&gt;Alonso, Hernan&lt;/author&gt;&lt;author&gt;Bliznyuk, Andrey A.&lt;/author&gt;&lt;author&gt;Gready, Jill E.&lt;/author&gt;&lt;/authors&gt;&lt;/contributors&gt;&lt;titles&gt;&lt;title&gt;Combining docking and molecular dynamic simulations in drug design&lt;/title&gt;&lt;secondary-title&gt;Medicinal Research Reviews&lt;/secondary-title&gt;&lt;/titles&gt;&lt;periodical&gt;&lt;full-title&gt;Medicinal Research Reviews&lt;/full-title&gt;&lt;/periodical&gt;&lt;pages&gt;531-568&lt;/pages&gt;&lt;volume&gt;26&lt;/volume&gt;&lt;number&gt;5&lt;/number&gt;&lt;dates&gt;&lt;year&gt;2006&lt;/year&gt;&lt;pub-dates&gt;&lt;date&gt;Sep&lt;/date&gt;&lt;/pub-dates&gt;&lt;/dates&gt;&lt;isbn&gt;0198-6325&lt;/isbn&gt;&lt;accession-num&gt;WOS:000239850400001&lt;/accession-num&gt;&lt;urls&gt;&lt;related-urls&gt;&lt;url&gt;&amp;lt;Go to ISI&amp;gt;://WOS:000239850400001&lt;/url&gt;&lt;/related-urls&gt;&lt;/urls&gt;&lt;electronic-resource-num&gt;10.1002/med.20067&lt;/electronic-resource-num&gt;&lt;/record&gt;&lt;/Cite&gt;&lt;/EndNote&gt;</w:instrText>
        </w:r>
        <w:r w:rsidR="00512D09">
          <w:fldChar w:fldCharType="separate"/>
        </w:r>
        <w:r w:rsidR="00512D09" w:rsidRPr="00E30C0B">
          <w:rPr>
            <w:noProof/>
            <w:vertAlign w:val="superscript"/>
          </w:rPr>
          <w:t>5</w:t>
        </w:r>
        <w:r w:rsidR="00512D09">
          <w:fldChar w:fldCharType="end"/>
        </w:r>
      </w:hyperlink>
      <w:r w:rsidRPr="00BC77E7">
        <w:t xml:space="preserve"> Examples of targets include receptors, enzymes and membrane channels. </w:t>
      </w:r>
    </w:p>
    <w:p w:rsidR="00BC77E7" w:rsidRDefault="00BC77E7" w:rsidP="00612909">
      <w:pPr>
        <w:spacing w:line="480" w:lineRule="auto"/>
        <w:jc w:val="both"/>
      </w:pPr>
      <w:r>
        <w:lastRenderedPageBreak/>
        <w:t>Other methods rely on producing a structure of both the ligand and the receptor. This can also be done using NMR</w:t>
      </w:r>
      <w:r w:rsidR="00347BB6">
        <w:t xml:space="preserve"> spectroscopy</w:t>
      </w:r>
      <w:r>
        <w:t xml:space="preserve"> and </w:t>
      </w:r>
      <w:r w:rsidR="00347BB6">
        <w:t xml:space="preserve">x-ray </w:t>
      </w:r>
      <w:r>
        <w:t xml:space="preserve">crystallography. </w:t>
      </w:r>
      <w:r w:rsidRPr="00BC77E7">
        <w:t>Although a high resolution structure of a protein ligand complex is undeniably intriguing in the milieu of drug design, it is very unlikely an effective drug can be composed from str</w:t>
      </w:r>
      <w:r>
        <w:t>uctural information alone</w:t>
      </w:r>
      <w:r w:rsidR="006E158B">
        <w:t>.</w:t>
      </w:r>
      <w:r w:rsidR="0075172E">
        <w:fldChar w:fldCharType="begin">
          <w:fldData xml:space="preserve">PEVuZE5vdGU+PENpdGU+PEF1dGhvcj5Ib2xkZ2F0ZTwvQXV0aG9yPjxZZWFyPjIwMTE8L1llYXI+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</w:fldData>
        </w:fldChar>
      </w:r>
      <w:r w:rsidR="002056FB">
        <w:instrText xml:space="preserve"> ADDIN EN.CITE </w:instrText>
      </w:r>
      <w:r w:rsidR="0075172E">
        <w:fldChar w:fldCharType="begin">
          <w:fldData xml:space="preserve">PEVuZE5vdGU+PENpdGU+PEF1dGhvcj5Ib2xkZ2F0ZTwvQXV0aG9yPjxZZWFyPjIwMTE8L1llYXI+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</w:fldData>
        </w:fldChar>
      </w:r>
      <w:r w:rsidR="002056FB">
        <w:instrText xml:space="preserve"> ADDIN EN.CITE.DATA </w:instrText>
      </w:r>
      <w:r w:rsidR="0075172E">
        <w:fldChar w:fldCharType="end"/>
      </w:r>
      <w:r w:rsidR="0075172E">
        <w:fldChar w:fldCharType="separate"/>
      </w:r>
      <w:hyperlink w:anchor="_ENREF_6" w:tooltip="Holdgate, 2011 #43" w:history="1">
        <w:r w:rsidR="00512D09" w:rsidRPr="00E30C0B">
          <w:rPr>
            <w:noProof/>
            <w:vertAlign w:val="superscript"/>
          </w:rPr>
          <w:t>6</w:t>
        </w:r>
      </w:hyperlink>
      <w:r w:rsidR="00E30C0B" w:rsidRPr="00E30C0B">
        <w:rPr>
          <w:noProof/>
          <w:vertAlign w:val="superscript"/>
        </w:rPr>
        <w:t>,</w:t>
      </w:r>
      <w:hyperlink w:anchor="_ENREF_7" w:tooltip="Chaires, 2008 #8" w:history="1">
        <w:r w:rsidR="00512D09" w:rsidRPr="00E30C0B">
          <w:rPr>
            <w:noProof/>
            <w:vertAlign w:val="superscript"/>
          </w:rPr>
          <w:t>7</w:t>
        </w:r>
      </w:hyperlink>
      <w:r w:rsidR="0075172E">
        <w:fldChar w:fldCharType="end"/>
      </w:r>
      <w:r w:rsidRPr="00BC77E7">
        <w:t xml:space="preserve"> Thermodynamics is the missing component, as it determines the affinity a ligand has for a receptor.</w:t>
      </w:r>
    </w:p>
    <w:p w:rsidR="00D62373" w:rsidRDefault="00D62373" w:rsidP="00612909">
      <w:pPr>
        <w:spacing w:line="480" w:lineRule="auto"/>
        <w:jc w:val="both"/>
      </w:pPr>
      <w:r w:rsidRPr="00D62373">
        <w:t xml:space="preserve">Theoretically, a drug with a higher affinity for a proposed target should have less affinity for other biological macromolecules. This should mean a drug with a high binding affinity should have fewer side effects if said side effects are </w:t>
      </w:r>
      <w:r w:rsidR="00655BE2" w:rsidRPr="00D62373">
        <w:t>brought</w:t>
      </w:r>
      <w:r w:rsidRPr="00D62373">
        <w:t xml:space="preserve"> about by promiscuous binding to other biological molecules such as </w:t>
      </w:r>
      <w:r>
        <w:t>enzymes vital for metabolism</w:t>
      </w:r>
      <w:r w:rsidR="006E158B">
        <w:t>.</w:t>
      </w:r>
      <w:hyperlink w:anchor="_ENREF_8" w:tooltip="Freire, 2004 #143" w:history="1">
        <w:r w:rsidR="00512D09">
          <w:fldChar w:fldCharType="begin"/>
        </w:r>
        <w:r w:rsidR="00512D09">
          <w:instrText xml:space="preserve"> ADDIN EN.CITE &lt;EndNote&gt;&lt;Cite&gt;&lt;Author&gt;Freire&lt;/Author&gt;&lt;Year&gt;2004&lt;/Year&gt;&lt;RecNum&gt;143&lt;/RecNum&gt;&lt;DisplayText&gt;&lt;style face="superscript"&gt;8&lt;/style&gt;&lt;/DisplayText&gt;&lt;record&gt;&lt;rec-number&gt;143&lt;/rec-number&gt;&lt;foreign-keys&gt;&lt;key app="EN" db-id="5trrespwzsdr07efd5tx2w96x22re9s0fsdt"&gt;143&lt;/key&gt;&lt;/foreign-keys&gt;&lt;ref-type name="Journal Article"&gt;17&lt;/ref-type&gt;&lt;contributors&gt;&lt;authors&gt;&lt;author&gt;Freire, Ernesto&lt;/author&gt;&lt;/authors&gt;&lt;/contributors&gt;&lt;titles&gt;&lt;title&gt;Isothermal titration calorimetry: controlling binding forces in lead optimization&lt;/title&gt;&lt;secondary-title&gt;Drug Discovery Today: Technologies&lt;/secondary-title&gt;&lt;/titles&gt;&lt;periodical&gt;&lt;full-title&gt;Drug Discovery Today: Technologies&lt;/full-title&gt;&lt;/periodical&gt;&lt;pages&gt;295-299&lt;/pages&gt;&lt;volume&gt;1&lt;/volume&gt;&lt;number&gt;3&lt;/number&gt;&lt;dates&gt;&lt;year&gt;2004&lt;/year&gt;&lt;/dates&gt;&lt;isbn&gt;1740-6749&lt;/isbn&gt;&lt;urls&gt;&lt;related-urls&gt;&lt;url&gt;http://www.sciencedirect.com/science/article/pii/S1740674904000642&lt;/url&gt;&lt;/related-urls&gt;&lt;/urls&gt;&lt;electronic-resource-num&gt;http://dx.doi.org/10.1016/j.ddtec.2004.11.016&lt;/electronic-resource-num&gt;&lt;/record&gt;&lt;/Cite&gt;&lt;/EndNote&gt;</w:instrText>
        </w:r>
        <w:r w:rsidR="00512D09">
          <w:fldChar w:fldCharType="separate"/>
        </w:r>
        <w:r w:rsidR="00512D09" w:rsidRPr="00E30C0B">
          <w:rPr>
            <w:noProof/>
            <w:vertAlign w:val="superscript"/>
          </w:rPr>
          <w:t>8</w:t>
        </w:r>
        <w:r w:rsidR="00512D09">
          <w:fldChar w:fldCharType="end"/>
        </w:r>
      </w:hyperlink>
      <w:r w:rsidRPr="00D62373">
        <w:t xml:space="preserve"> However, in many </w:t>
      </w:r>
      <w:r w:rsidR="00B85C83" w:rsidRPr="00D62373">
        <w:t>cases,</w:t>
      </w:r>
      <w:r w:rsidRPr="00D62373">
        <w:t xml:space="preserve"> </w:t>
      </w:r>
      <w:r w:rsidR="00965188">
        <w:t>increasing affinity is</w:t>
      </w:r>
      <w:r w:rsidRPr="00D62373">
        <w:t xml:space="preserve"> far more complex and drugs which have been optimised </w:t>
      </w:r>
      <w:r>
        <w:t>may not always bind to their targets due to ADME</w:t>
      </w:r>
      <w:r w:rsidR="00C0187F">
        <w:t xml:space="preserve"> processes</w:t>
      </w:r>
      <w:r w:rsidR="006E158B">
        <w:t>.</w:t>
      </w:r>
      <w:hyperlink w:anchor="_ENREF_9" w:tooltip="Duan, 2002 #204" w:history="1">
        <w:r w:rsidR="00512D09">
          <w:fldChar w:fldCharType="begin">
            <w:fldData xml:space="preserve">PEVuZE5vdGU+PENpdGU+PEF1dGhvcj5EdWFuPC9BdXRob3I+PFllYXI+MjAwMjwvWWVhcj48UmVj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</w:fldData>
          </w:fldChar>
        </w:r>
        <w:r w:rsidR="00512D09">
          <w:instrText xml:space="preserve"> ADDIN EN.CITE </w:instrText>
        </w:r>
        <w:r w:rsidR="00512D09">
          <w:fldChar w:fldCharType="begin">
            <w:fldData xml:space="preserve">PEVuZE5vdGU+PENpdGU+PEF1dGhvcj5EdWFuPC9BdXRob3I+PFllYXI+MjAwMjwvWWVhcj48UmVj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</w:fldData>
          </w:fldChar>
        </w:r>
        <w:r w:rsidR="00512D09">
          <w:instrText xml:space="preserve"> ADDIN EN.CITE.DATA </w:instrText>
        </w:r>
        <w:r w:rsidR="00512D09">
          <w:fldChar w:fldCharType="end"/>
        </w:r>
        <w:r w:rsidR="00512D09">
          <w:fldChar w:fldCharType="separate"/>
        </w:r>
        <w:r w:rsidR="00512D09" w:rsidRPr="00E30C0B">
          <w:rPr>
            <w:noProof/>
            <w:vertAlign w:val="superscript"/>
          </w:rPr>
          <w:t>9</w:t>
        </w:r>
        <w:r w:rsidR="00512D09">
          <w:fldChar w:fldCharType="end"/>
        </w:r>
      </w:hyperlink>
      <w:r>
        <w:t xml:space="preserve"> For example, some inhibitors of a tumour necrosis factor α converting enzyme could not penetrate the cell membrane as effectively after optimisation meaning the level of inhibition decreased</w:t>
      </w:r>
      <w:r w:rsidR="006E158B">
        <w:t>.</w:t>
      </w:r>
      <w:hyperlink w:anchor="_ENREF_9" w:tooltip="Duan, 2002 #204" w:history="1">
        <w:r w:rsidR="00512D09">
          <w:fldChar w:fldCharType="begin">
            <w:fldData xml:space="preserve">PEVuZE5vdGU+PENpdGU+PEF1dGhvcj5EdWFuPC9BdXRob3I+PFllYXI+MjAwMjwvWWVhcj48UmVj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</w:fldData>
          </w:fldChar>
        </w:r>
        <w:r w:rsidR="00512D09">
          <w:instrText xml:space="preserve"> ADDIN EN.CITE </w:instrText>
        </w:r>
        <w:r w:rsidR="00512D09">
          <w:fldChar w:fldCharType="begin">
            <w:fldData xml:space="preserve">PEVuZE5vdGU+PENpdGU+PEF1dGhvcj5EdWFuPC9BdXRob3I+PFllYXI+MjAwMjwvWWVhcj48UmVj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</w:fldData>
          </w:fldChar>
        </w:r>
        <w:r w:rsidR="00512D09">
          <w:instrText xml:space="preserve"> ADDIN EN.CITE.DATA </w:instrText>
        </w:r>
        <w:r w:rsidR="00512D09">
          <w:fldChar w:fldCharType="end"/>
        </w:r>
        <w:r w:rsidR="00512D09">
          <w:fldChar w:fldCharType="separate"/>
        </w:r>
        <w:r w:rsidR="00512D09" w:rsidRPr="00E30C0B">
          <w:rPr>
            <w:noProof/>
            <w:vertAlign w:val="superscript"/>
          </w:rPr>
          <w:t>9</w:t>
        </w:r>
        <w:r w:rsidR="00512D09">
          <w:fldChar w:fldCharType="end"/>
        </w:r>
      </w:hyperlink>
      <w:r>
        <w:t xml:space="preserve"> </w:t>
      </w:r>
    </w:p>
    <w:p w:rsidR="00BC77E7" w:rsidRDefault="00716CAD" w:rsidP="004E7551">
      <w:pPr>
        <w:spacing w:line="480" w:lineRule="auto"/>
        <w:jc w:val="both"/>
      </w:pPr>
      <w:r>
        <w:t>Protease i</w:t>
      </w:r>
      <w:r w:rsidR="00927295">
        <w:t xml:space="preserve">nhibitors of </w:t>
      </w:r>
      <w:r w:rsidR="00927295" w:rsidRPr="00347BB6">
        <w:t xml:space="preserve">the </w:t>
      </w:r>
      <w:r w:rsidR="00347BB6" w:rsidRPr="00347BB6">
        <w:rPr>
          <w:rStyle w:val="apple-converted-space"/>
          <w:rFonts w:cs="Arial"/>
          <w:color w:val="222222"/>
          <w:shd w:val="clear" w:color="auto" w:fill="FFFFFF"/>
        </w:rPr>
        <w:t> </w:t>
      </w:r>
      <w:r w:rsidR="00347BB6" w:rsidRPr="00347BB6">
        <w:rPr>
          <w:rFonts w:cs="Arial"/>
          <w:color w:val="000000" w:themeColor="text1"/>
          <w:shd w:val="clear" w:color="auto" w:fill="FFFFFF"/>
        </w:rPr>
        <w:t xml:space="preserve">Human Immunodeficiency </w:t>
      </w:r>
      <w:r w:rsidR="00347BB6" w:rsidRPr="00347BB6">
        <w:rPr>
          <w:color w:val="000000" w:themeColor="text1"/>
        </w:rPr>
        <w:t>V</w:t>
      </w:r>
      <w:r w:rsidR="00927295" w:rsidRPr="00347BB6">
        <w:rPr>
          <w:color w:val="000000" w:themeColor="text1"/>
        </w:rPr>
        <w:t>irus</w:t>
      </w:r>
      <w:r w:rsidR="00927295">
        <w:t xml:space="preserve"> </w:t>
      </w:r>
      <w:r w:rsidR="004662FF">
        <w:t xml:space="preserve">(HIV) </w:t>
      </w:r>
      <w:r w:rsidR="00927295">
        <w:t>are a success story in regards to thermodynamic optimisation of small molecules</w:t>
      </w:r>
      <w:r w:rsidR="006E158B">
        <w:t>.</w:t>
      </w:r>
      <w:hyperlink w:anchor="_ENREF_10" w:tooltip="Freire, 2008 #13" w:history="1">
        <w:r w:rsidR="00512D09">
          <w:fldChar w:fldCharType="begin"/>
        </w:r>
        <w:r w:rsidR="00512D09">
          <w:instrText xml:space="preserve"> ADDIN EN.CITE &lt;EndNote&gt;&lt;Cite&gt;&lt;Author&gt;Freire&lt;/Author&gt;&lt;Year&gt;2008&lt;/Year&gt;&lt;RecNum&gt;13&lt;/RecNum&gt;&lt;DisplayText&gt;&lt;style face="superscript"&gt;10&lt;/style&gt;&lt;/DisplayText&gt;&lt;record&gt;&lt;rec-number&gt;13&lt;/rec-number&gt;&lt;foreign-keys&gt;&lt;key app="EN" db-id="5trrespwzsdr07efd5tx2w96x22re9s0fsdt"&gt;13&lt;/key&gt;&lt;/foreign-keys&gt;&lt;ref-type name="Journal Article"&gt;17&lt;/ref-type&gt;&lt;contributors&gt;&lt;authors&gt;&lt;author&gt;Freire, E.&lt;/author&gt;&lt;/authors&gt;&lt;/contributors&gt;&lt;auth-address&gt;Department of Biology, Johns Hopkins University, Baltimore, MD 21218, United States. ef@jhu.edu&lt;/auth-address&gt;&lt;titles&gt;&lt;title&gt;Do enthalpy and entropy distinguish first in class from best in class?&lt;/title&gt;&lt;secondary-title&gt;Drug Discov Today&lt;/secondary-title&gt;&lt;alt-title&gt;Drug discovery today&lt;/alt-title&gt;&lt;/titles&gt;&lt;periodical&gt;&lt;full-title&gt;Drug Discov Today&lt;/full-title&gt;&lt;abbr-1&gt;Drug discovery today&lt;/abbr-1&gt;&lt;/periodical&gt;&lt;alt-periodical&gt;&lt;full-title&gt;Drug Discov Today&lt;/full-title&gt;&lt;abbr-1&gt;Drug discovery today&lt;/abbr-1&gt;&lt;/alt-periodical&gt;&lt;pages&gt;869-74&lt;/pages&gt;&lt;volume&gt;13&lt;/volume&gt;&lt;number&gt;19-20&lt;/number&gt;&lt;edition&gt;2008/08/16&lt;/edition&gt;&lt;keywords&gt;&lt;keyword&gt;Animals&lt;/keyword&gt;&lt;keyword&gt;Drug Design&lt;/keyword&gt;&lt;keyword&gt;Entropy&lt;/keyword&gt;&lt;keyword&gt;Humans&lt;/keyword&gt;&lt;keyword&gt;Hydrogen Bonding&lt;/keyword&gt;&lt;keyword&gt;Ligands&lt;/keyword&gt;&lt;keyword&gt;Pharmaceutical Preparations/*chemistry&lt;/keyword&gt;&lt;keyword&gt;Receptors, Drug/*chemistry&lt;/keyword&gt;&lt;keyword&gt;*Thermodynamics&lt;/keyword&gt;&lt;/keywords&gt;&lt;dates&gt;&lt;year&gt;2008&lt;/year&gt;&lt;pub-dates&gt;&lt;date&gt;Oct&lt;/date&gt;&lt;/pub-dates&gt;&lt;/dates&gt;&lt;isbn&gt;1359-6446 (Print)&amp;#xD;1359-6446 (Linking)&lt;/isbn&gt;&lt;accession-num&gt;18703160&lt;/accession-num&gt;&lt;work-type&gt;Research Support, N.I.H., Extramural&amp;#xD;Research Support, U.S. Gov&amp;apos;t, Non-P.H.S.&amp;#xD;Review&lt;/work-type&gt;&lt;urls&gt;&lt;related-urls&gt;&lt;url&gt;http://www.ncbi.nlm.nih.gov/pubmed/18703160&lt;/url&gt;&lt;/related-urls&gt;&lt;/urls&gt;&lt;custom2&gt;2581116&lt;/custom2&gt;&lt;electronic-resource-num&gt;10.1016/j.drudis.2008.07.005&lt;/electronic-resource-num&gt;&lt;language&gt;eng&lt;/language&gt;&lt;/record&gt;&lt;/Cite&gt;&lt;/EndNote&gt;</w:instrText>
        </w:r>
        <w:r w:rsidR="00512D09">
          <w:fldChar w:fldCharType="separate"/>
        </w:r>
        <w:r w:rsidR="00512D09" w:rsidRPr="00E30C0B">
          <w:rPr>
            <w:noProof/>
            <w:vertAlign w:val="superscript"/>
          </w:rPr>
          <w:t>10</w:t>
        </w:r>
        <w:r w:rsidR="00512D09">
          <w:fldChar w:fldCharType="end"/>
        </w:r>
      </w:hyperlink>
      <w:r w:rsidR="00927295">
        <w:t xml:space="preserve">  </w:t>
      </w:r>
      <w:r>
        <w:t xml:space="preserve">The first inhibitors approved in the mid-1990s had nanomolar affinity whilst those approved in 2005 and </w:t>
      </w:r>
      <w:r w:rsidR="002B12F3">
        <w:t xml:space="preserve">2006 were in the picomolar range. Analysis showed that the affinity increase was due to improved binding enthalpy. </w:t>
      </w:r>
      <w:r w:rsidR="00E91DA0">
        <w:t>Increasing binding enthalpy is much more difficult to optimise than increasing binding entropy</w:t>
      </w:r>
      <w:r w:rsidR="008644AF">
        <w:t>.</w:t>
      </w:r>
      <w:hyperlink w:anchor="_ENREF_11" w:tooltip="Freire, 2005 #498" w:history="1">
        <w:r w:rsidR="00512D09">
          <w:fldChar w:fldCharType="begin"/>
        </w:r>
        <w:r w:rsidR="00512D09">
          <w:instrText xml:space="preserve"> ADDIN EN.CITE &lt;EndNote&gt;&lt;Cite&gt;&lt;Author&gt;Freire&lt;/Author&gt;&lt;Year&gt;2005&lt;/Year&gt;&lt;RecNum&gt;498&lt;/RecNum&gt;&lt;DisplayText&gt;&lt;style face="superscript"&gt;11&lt;/style&gt;&lt;/DisplayText&gt;&lt;record&gt;&lt;rec-number&gt;498&lt;/rec-number&gt;&lt;foreign-keys&gt;&lt;key app="EN" db-id="5trrespwzsdr07efd5tx2w96x22re9s0fsdt"&gt;498&lt;/key&gt;&lt;/foreign-keys&gt;&lt;ref-type name="Book Section"&gt;5&lt;/ref-type&gt;&lt;contributors&gt;&lt;authors&gt;&lt;author&gt;Freire, Ernesto&lt;/author&gt;&lt;/authors&gt;&lt;secondary-authors&gt;&lt;author&gt;Waksman, Gabriel&lt;/author&gt;&lt;/secondary-authors&gt;&lt;/contributors&gt;&lt;titles&gt;&lt;title&gt;A Thermodynamic Guide to Affinity Optimization of Drug Candidates&lt;/title&gt;&lt;secondary-title&gt;Proteomics and Protein-Protein Interactions&lt;/secondary-title&gt;&lt;tertiary-title&gt;Protein Reviews&lt;/tertiary-title&gt;&lt;/titles&gt;&lt;pages&gt;291-307&lt;/pages&gt;&lt;volume&gt;3&lt;/volume&gt;&lt;section&gt;13&lt;/section&gt;&lt;dates&gt;&lt;year&gt;2005&lt;/year&gt;&lt;pub-dates&gt;&lt;date&gt;2005/01/01&lt;/date&gt;&lt;/pub-dates&gt;&lt;/dates&gt;&lt;publisher&gt;Springer US&lt;/publisher&gt;&lt;isbn&gt;978-0-387-24531-7&lt;/isbn&gt;&lt;urls&gt;&lt;related-urls&gt;&lt;url&gt;http://dx.doi.org/10.1007/0-387-24532-4_13&lt;/url&gt;&lt;/related-urls&gt;&lt;/urls&gt;&lt;electronic-resource-num&gt;10.1007/0-387-24532-4_13&lt;/electronic-resource-num&gt;&lt;language&gt;English&lt;/language&gt;&lt;/record&gt;&lt;/Cite&gt;&lt;/EndNote&gt;</w:instrText>
        </w:r>
        <w:r w:rsidR="00512D09">
          <w:fldChar w:fldCharType="separate"/>
        </w:r>
        <w:r w:rsidR="00512D09" w:rsidRPr="00E30C0B">
          <w:rPr>
            <w:noProof/>
            <w:vertAlign w:val="superscript"/>
          </w:rPr>
          <w:t>11</w:t>
        </w:r>
        <w:r w:rsidR="00512D09">
          <w:fldChar w:fldCharType="end"/>
        </w:r>
      </w:hyperlink>
      <w:r w:rsidR="00E91DA0">
        <w:t xml:space="preserve"> Firstly, it </w:t>
      </w:r>
      <w:r w:rsidR="003463F0">
        <w:t xml:space="preserve">is </w:t>
      </w:r>
      <w:r w:rsidR="00E91DA0">
        <w:t xml:space="preserve">difficult to engineer a new hydrogen bonding </w:t>
      </w:r>
      <w:r w:rsidR="00C0187F">
        <w:t>interaction</w:t>
      </w:r>
      <w:r w:rsidR="00E91DA0">
        <w:t xml:space="preserve"> between two binding partne</w:t>
      </w:r>
      <w:r w:rsidR="003463F0">
        <w:t xml:space="preserve">rs. This is in comparison to increasing the </w:t>
      </w:r>
      <w:r w:rsidR="00B85C83">
        <w:t>hydrophobicity, which</w:t>
      </w:r>
      <w:r w:rsidR="003463F0">
        <w:t xml:space="preserve"> would increase the binding entropy. Secondly, removing water from </w:t>
      </w:r>
      <w:r w:rsidR="009D1983">
        <w:t xml:space="preserve">amino acids capable of hydrogen bonding </w:t>
      </w:r>
      <w:r w:rsidR="00591504">
        <w:t xml:space="preserve">prior to a </w:t>
      </w:r>
      <w:r w:rsidR="003463F0">
        <w:t xml:space="preserve">binding interaction carries an enthalpic </w:t>
      </w:r>
      <w:r w:rsidR="008644AF">
        <w:t>penalty valued</w:t>
      </w:r>
      <w:r w:rsidR="003463F0" w:rsidRPr="003463F0">
        <w:t xml:space="preserve"> a</w:t>
      </w:r>
      <w:r w:rsidR="000C22A9">
        <w:t>t around 29–37 kJ/mol</w:t>
      </w:r>
      <w:r w:rsidR="003463F0" w:rsidRPr="003463F0">
        <w:t xml:space="preserve"> at 25 °C</w:t>
      </w:r>
      <w:r w:rsidR="006E158B">
        <w:t>.</w:t>
      </w:r>
      <w:r w:rsidR="003463F0">
        <w:t xml:space="preserve"> </w:t>
      </w:r>
      <w:hyperlink w:anchor="_ENREF_10" w:tooltip="Freire, 2008 #13" w:history="1">
        <w:r w:rsidR="00512D09">
          <w:fldChar w:fldCharType="begin"/>
        </w:r>
        <w:r w:rsidR="00512D09">
          <w:instrText xml:space="preserve"> ADDIN EN.CITE &lt;EndNote&gt;&lt;Cite&gt;&lt;Author&gt;Freire&lt;/Author&gt;&lt;Year&gt;2008&lt;/Year&gt;&lt;RecNum&gt;13&lt;/RecNum&gt;&lt;DisplayText&gt;&lt;style face="superscript"&gt;10&lt;/style&gt;&lt;/DisplayText&gt;&lt;record&gt;&lt;rec-number&gt;13&lt;/rec-number&gt;&lt;foreign-keys&gt;&lt;key app="EN" db-id="5trrespwzsdr07efd5tx2w96x22re9s0fsdt"&gt;13&lt;/key&gt;&lt;/foreign-keys&gt;&lt;ref-type name="Journal Article"&gt;17&lt;/ref-type&gt;&lt;contributors&gt;&lt;authors&gt;&lt;author&gt;Freire, E.&lt;/author&gt;&lt;/authors&gt;&lt;/contributors&gt;&lt;auth-address&gt;Department of Biology, Johns Hopkins University, Baltimore, MD 21218, United States. ef@jhu.edu&lt;/auth-address&gt;&lt;titles&gt;&lt;title&gt;Do enthalpy and entropy distinguish first in class from best in class?&lt;/title&gt;&lt;secondary-title&gt;Drug Discov Today&lt;/secondary-title&gt;&lt;alt-title&gt;Drug discovery today&lt;/alt-title&gt;&lt;/titles&gt;&lt;periodical&gt;&lt;full-title&gt;Drug Discov Today&lt;/full-title&gt;&lt;abbr-1&gt;Drug discovery today&lt;/abbr-1&gt;&lt;/periodical&gt;&lt;alt-periodical&gt;&lt;full-title&gt;Drug Discov Today&lt;/full-title&gt;&lt;abbr-1&gt;Drug discovery today&lt;/abbr-1&gt;&lt;/alt-periodical&gt;&lt;pages&gt;869-74&lt;/pages&gt;&lt;volume&gt;13&lt;/volume&gt;&lt;number&gt;19-20&lt;/number&gt;&lt;edition&gt;2008/08/16&lt;/edition&gt;&lt;keywords&gt;&lt;keyword&gt;Animals&lt;/keyword&gt;&lt;keyword&gt;Drug Design&lt;/keyword&gt;&lt;keyword&gt;Entropy&lt;/keyword&gt;&lt;keyword&gt;Humans&lt;/keyword&gt;&lt;keyword&gt;Hydrogen Bonding&lt;/keyword&gt;&lt;keyword&gt;Ligands&lt;/keyword&gt;&lt;keyword&gt;Pharmaceutical Preparations/*chemistry&lt;/keyword&gt;&lt;keyword&gt;Receptors, Drug/*chemistry&lt;/keyword&gt;&lt;keyword&gt;*Thermodynamics&lt;/keyword&gt;&lt;/keywords&gt;&lt;dates&gt;&lt;year&gt;2008&lt;/year&gt;&lt;pub-dates&gt;&lt;date&gt;Oct&lt;/date&gt;&lt;/pub-dates&gt;&lt;/dates&gt;&lt;isbn&gt;1359-6446 (Print)&amp;#xD;1359-6446 (Linking)&lt;/isbn&gt;&lt;accession-num&gt;18703160&lt;/accession-num&gt;&lt;work-type&gt;Research Support, N.I.H., Extramural&amp;#xD;Research Support, U.S. Gov&amp;apos;t, Non-P.H.S.&amp;#xD;Review&lt;/work-type&gt;&lt;urls&gt;&lt;related-urls&gt;&lt;url&gt;http://www.ncbi.nlm.nih.gov/pubmed/18703160&lt;/url&gt;&lt;/related-urls&gt;&lt;/urls&gt;&lt;custom2&gt;2581116&lt;/custom2&gt;&lt;electronic-resource-num&gt;10.1016/j.drudis.2008.07.005&lt;/electronic-resource-num&gt;&lt;language&gt;eng&lt;/language&gt;&lt;/record&gt;&lt;/Cite&gt;&lt;/EndNote&gt;</w:instrText>
        </w:r>
        <w:r w:rsidR="00512D09">
          <w:fldChar w:fldCharType="separate"/>
        </w:r>
        <w:r w:rsidR="00512D09" w:rsidRPr="00E30C0B">
          <w:rPr>
            <w:noProof/>
            <w:vertAlign w:val="superscript"/>
          </w:rPr>
          <w:t>10</w:t>
        </w:r>
        <w:r w:rsidR="00512D09">
          <w:fldChar w:fldCharType="end"/>
        </w:r>
      </w:hyperlink>
      <w:r w:rsidR="003463F0">
        <w:t xml:space="preserve"> </w:t>
      </w:r>
      <w:r w:rsidR="00591504">
        <w:t xml:space="preserve">These groups are termed polar as they carry a dipole, a measure of separation between two opposing charges. </w:t>
      </w:r>
      <w:r w:rsidR="003463F0" w:rsidRPr="003463F0">
        <w:t xml:space="preserve">The value for </w:t>
      </w:r>
      <w:r w:rsidR="003463F0" w:rsidRPr="003463F0">
        <w:lastRenderedPageBreak/>
        <w:t xml:space="preserve">desolvation of </w:t>
      </w:r>
      <w:r w:rsidR="008644AF">
        <w:t>a</w:t>
      </w:r>
      <w:r w:rsidR="009D1983">
        <w:t>n</w:t>
      </w:r>
      <w:r w:rsidR="008644AF">
        <w:t xml:space="preserve"> </w:t>
      </w:r>
      <w:r w:rsidR="00BA7E7A">
        <w:t>apolar</w:t>
      </w:r>
      <w:r w:rsidR="004662FF">
        <w:t xml:space="preserve"> group</w:t>
      </w:r>
      <w:r w:rsidR="009D1983">
        <w:t xml:space="preserve"> </w:t>
      </w:r>
      <w:r w:rsidR="004662FF">
        <w:t>is less at around 4 kJ/</w:t>
      </w:r>
      <w:r w:rsidR="003463F0" w:rsidRPr="003463F0">
        <w:t>mol</w:t>
      </w:r>
      <w:r w:rsidR="004662FF">
        <w:rPr>
          <w:vertAlign w:val="superscript"/>
        </w:rPr>
        <w:t xml:space="preserve"> </w:t>
      </w:r>
      <w:r w:rsidR="003463F0" w:rsidRPr="003463F0">
        <w:t>at 25 °C</w:t>
      </w:r>
      <w:r w:rsidR="00040F10">
        <w:t>.</w:t>
      </w:r>
      <w:r w:rsidR="003463F0">
        <w:t xml:space="preserve"> </w:t>
      </w:r>
      <w:hyperlink w:anchor="_ENREF_10" w:tooltip="Freire, 2008 #13" w:history="1">
        <w:r w:rsidR="00512D09">
          <w:fldChar w:fldCharType="begin"/>
        </w:r>
        <w:r w:rsidR="00512D09">
          <w:instrText xml:space="preserve"> ADDIN EN.CITE &lt;EndNote&gt;&lt;Cite&gt;&lt;Author&gt;Freire&lt;/Author&gt;&lt;Year&gt;2008&lt;/Year&gt;&lt;RecNum&gt;13&lt;/RecNum&gt;&lt;DisplayText&gt;&lt;style face="superscript"&gt;10&lt;/style&gt;&lt;/DisplayText&gt;&lt;record&gt;&lt;rec-number&gt;13&lt;/rec-number&gt;&lt;foreign-keys&gt;&lt;key app="EN" db-id="5trrespwzsdr07efd5tx2w96x22re9s0fsdt"&gt;13&lt;/key&gt;&lt;/foreign-keys&gt;&lt;ref-type name="Journal Article"&gt;17&lt;/ref-type&gt;&lt;contributors&gt;&lt;authors&gt;&lt;author&gt;Freire, E.&lt;/author&gt;&lt;/authors&gt;&lt;/contributors&gt;&lt;auth-address&gt;Department of Biology, Johns Hopkins University, Baltimore, MD 21218, United States. ef@jhu.edu&lt;/auth-address&gt;&lt;titles&gt;&lt;title&gt;Do enthalpy and entropy distinguish first in class from best in class?&lt;/title&gt;&lt;secondary-title&gt;Drug Discov Today&lt;/secondary-title&gt;&lt;alt-title&gt;Drug discovery today&lt;/alt-title&gt;&lt;/titles&gt;&lt;periodical&gt;&lt;full-title&gt;Drug Discov Today&lt;/full-title&gt;&lt;abbr-1&gt;Drug discovery today&lt;/abbr-1&gt;&lt;/periodical&gt;&lt;alt-periodical&gt;&lt;full-title&gt;Drug Discov Today&lt;/full-title&gt;&lt;abbr-1&gt;Drug discovery today&lt;/abbr-1&gt;&lt;/alt-periodical&gt;&lt;pages&gt;869-74&lt;/pages&gt;&lt;volume&gt;13&lt;/volume&gt;&lt;number&gt;19-20&lt;/number&gt;&lt;edition&gt;2008/08/16&lt;/edition&gt;&lt;keywords&gt;&lt;keyword&gt;Animals&lt;/keyword&gt;&lt;keyword&gt;Drug Design&lt;/keyword&gt;&lt;keyword&gt;Entropy&lt;/keyword&gt;&lt;keyword&gt;Humans&lt;/keyword&gt;&lt;keyword&gt;Hydrogen Bonding&lt;/keyword&gt;&lt;keyword&gt;Ligands&lt;/keyword&gt;&lt;keyword&gt;Pharmaceutical Preparations/*chemistry&lt;/keyword&gt;&lt;keyword&gt;Receptors, Drug/*chemistry&lt;/keyword&gt;&lt;keyword&gt;*Thermodynamics&lt;/keyword&gt;&lt;/keywords&gt;&lt;dates&gt;&lt;year&gt;2008&lt;/year&gt;&lt;pub-dates&gt;&lt;date&gt;Oct&lt;/date&gt;&lt;/pub-dates&gt;&lt;/dates&gt;&lt;isbn&gt;1359-6446 (Print)&amp;#xD;1359-6446 (Linking)&lt;/isbn&gt;&lt;accession-num&gt;18703160&lt;/accession-num&gt;&lt;work-type&gt;Research Support, N.I.H., Extramural&amp;#xD;Research Support, U.S. Gov&amp;apos;t, Non-P.H.S.&amp;#xD;Review&lt;/work-type&gt;&lt;urls&gt;&lt;related-urls&gt;&lt;url&gt;http://www.ncbi.nlm.nih.gov/pubmed/18703160&lt;/url&gt;&lt;/related-urls&gt;&lt;/urls&gt;&lt;custom2&gt;2581116&lt;/custom2&gt;&lt;electronic-resource-num&gt;10.1016/j.drudis.2008.07.005&lt;/electronic-resource-num&gt;&lt;language&gt;eng&lt;/language&gt;&lt;/record&gt;&lt;/Cite&gt;&lt;/EndNote&gt;</w:instrText>
        </w:r>
        <w:r w:rsidR="00512D09">
          <w:fldChar w:fldCharType="separate"/>
        </w:r>
        <w:r w:rsidR="00512D09" w:rsidRPr="00E30C0B">
          <w:rPr>
            <w:noProof/>
            <w:vertAlign w:val="superscript"/>
          </w:rPr>
          <w:t>10</w:t>
        </w:r>
        <w:r w:rsidR="00512D09">
          <w:fldChar w:fldCharType="end"/>
        </w:r>
      </w:hyperlink>
      <w:r w:rsidR="00591504">
        <w:t xml:space="preserve">  Apolar groups in proteins are normally aromatic rings and aliphatic chains of amino acids; they typically cannot hydrogen bond with water explaining the lower enthalpic penalty paid upon desolvation in comparison to polar groups. </w:t>
      </w:r>
      <w:r w:rsidR="003463F0">
        <w:t xml:space="preserve"> </w:t>
      </w:r>
      <w:r w:rsidR="000805AC">
        <w:t xml:space="preserve">However, there are strategies to help reduce the drop in affinity due to polar desolvation. </w:t>
      </w:r>
      <w:r w:rsidR="000805AC" w:rsidRPr="000805AC">
        <w:t xml:space="preserve">A favourable gain in entropy will increase the binding energy if the ligand makes the same interactions with the amino acids from which the coordinated water was lost. An example of this is where ligands containing cyclic urea groups displaced a bridging water molecule between two </w:t>
      </w:r>
      <w:r w:rsidR="00382F91">
        <w:t xml:space="preserve">protein </w:t>
      </w:r>
      <w:r w:rsidR="000805AC" w:rsidRPr="000805AC">
        <w:t xml:space="preserve">isoleucines </w:t>
      </w:r>
      <w:r w:rsidR="00965188">
        <w:t>making</w:t>
      </w:r>
      <w:r w:rsidR="000805AC" w:rsidRPr="000805AC">
        <w:t xml:space="preserve"> favourable interactions with the binding site of the HIV protease a</w:t>
      </w:r>
      <w:r w:rsidR="00382F91">
        <w:t>s shown by crystallography</w:t>
      </w:r>
      <w:r w:rsidR="006E158B">
        <w:t>.</w:t>
      </w:r>
      <w:r w:rsidR="00382F91">
        <w:t xml:space="preserve"> </w:t>
      </w:r>
      <w:hyperlink w:anchor="_ENREF_12" w:tooltip="Lam, 1994 #139" w:history="1">
        <w:r w:rsidR="00512D09">
          <w:fldChar w:fldCharType="begin"/>
        </w:r>
        <w:r w:rsidR="00512D09">
          <w:instrText xml:space="preserve"> ADDIN EN.CITE &lt;EndNote&gt;&lt;Cite&gt;&lt;Author&gt;Lam&lt;/Author&gt;&lt;Year&gt;1994&lt;/Year&gt;&lt;RecNum&gt;139&lt;/RecNum&gt;&lt;DisplayText&gt;&lt;style face="superscript"&gt;12&lt;/style&gt;&lt;/DisplayText&gt;&lt;record&gt;&lt;rec-number&gt;139&lt;/rec-number&gt;&lt;foreign-keys&gt;&lt;key app="EN" db-id="5trrespwzsdr07efd5tx2w96x22re9s0fsdt"&gt;139&lt;/key&gt;&lt;/foreign-keys&gt;&lt;ref-type name="Journal Article"&gt;17&lt;/ref-type&gt;&lt;contributors&gt;&lt;authors&gt;&lt;author&gt;Lam, P.&lt;/author&gt;&lt;author&gt;Jadhav, P.&lt;/author&gt;&lt;author&gt;Eyermann, C.&lt;/author&gt;&lt;author&gt;Hodge, C.&lt;/author&gt;&lt;author&gt;Ru, Y.&lt;/author&gt;&lt;author&gt;Bacheler, L.&lt;/author&gt;&lt;author&gt;Meek, J.&lt;/author&gt;&lt;author&gt;Otto, M.&lt;/author&gt;&lt;author&gt;Rayner, M.&lt;/author&gt;&lt;author&gt;Wong, Y.&lt;/author&gt;&lt;author&gt;et, al&lt;/author&gt;&lt;/authors&gt;&lt;/contributors&gt;&lt;auth-address&gt;DUPONT MERCK PHARMACEUT CO,DEPT CHEM &amp;amp; PHYS SCI,WILMINGTON,DE 19880.&amp;#xD;LAM, PYS (reprint author), DUPONT MERCK PHARMACEUT CO,DEPT VIROL RES,WILMINGTON,DE 19880, USA.&lt;/auth-address&gt;&lt;titles&gt;&lt;title&gt;Rational design of potent, bioavailable, nonpeptide cyclic ureas as HIV protease inhibitor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380-384&lt;/pages&gt;&lt;volume&gt;263&lt;/volume&gt;&lt;number&gt;5145&lt;/number&gt;&lt;keywords&gt;&lt;keyword&gt;human immunodeficiency virus-1&lt;/keyword&gt;&lt;keyword&gt;host guest complexation&lt;/keyword&gt;&lt;keyword&gt;crystal-structure&lt;/keyword&gt;&lt;keyword&gt;type-1 protease&lt;/keyword&gt;&lt;keyword&gt;proteinase&lt;/keyword&gt;&lt;keyword&gt;resolution&lt;/keyword&gt;&lt;keyword&gt;binding&lt;/keyword&gt;&lt;keyword&gt;isostere&lt;/keyword&gt;&lt;keyword&gt;ligand&lt;/keyword&gt;&lt;keyword&gt;aids&lt;/keyword&gt;&lt;/keywords&gt;&lt;dates&gt;&lt;year&gt;1994&lt;/year&gt;&lt;pub-dates&gt;&lt;date&gt;Jan&lt;/date&gt;&lt;/pub-dates&gt;&lt;/dates&gt;&lt;isbn&gt;0036-8075&amp;#xD;1095-9203&lt;/isbn&gt;&lt;accession-num&gt;WOS:A1994MT03400035&lt;/accession-num&gt;&lt;work-type&gt;Article&lt;/work-type&gt;&lt;urls&gt;&lt;related-urls&gt;&lt;url&gt;&amp;lt;Go to ISI&amp;gt;://WOS:A1994MT03400035&lt;/url&gt;&lt;/related-urls&gt;&lt;/urls&gt;&lt;electronic-resource-num&gt;10.1126/science.8278812&lt;/electronic-resource-num&gt;&lt;language&gt;English&lt;/language&gt;&lt;/record&gt;&lt;/Cite&gt;&lt;/EndNote&gt;</w:instrText>
        </w:r>
        <w:r w:rsidR="00512D09">
          <w:fldChar w:fldCharType="separate"/>
        </w:r>
        <w:r w:rsidR="00512D09" w:rsidRPr="00E30C0B">
          <w:rPr>
            <w:noProof/>
            <w:vertAlign w:val="superscript"/>
          </w:rPr>
          <w:t>12</w:t>
        </w:r>
        <w:r w:rsidR="00512D09">
          <w:fldChar w:fldCharType="end"/>
        </w:r>
      </w:hyperlink>
      <w:r w:rsidR="00382F91">
        <w:t xml:space="preserve"> </w:t>
      </w:r>
    </w:p>
    <w:p w:rsidR="000805AC" w:rsidRDefault="000805AC" w:rsidP="004E7551">
      <w:pPr>
        <w:spacing w:line="480" w:lineRule="auto"/>
        <w:jc w:val="both"/>
      </w:pPr>
      <w:r>
        <w:t>Solvation also seems to be at the root of other proble</w:t>
      </w:r>
      <w:r w:rsidR="00374A8D">
        <w:t>ms in designing better ligands such as enthalpy-entropy compensation</w:t>
      </w:r>
      <w:r w:rsidR="000D0D8B">
        <w:t xml:space="preserve"> (EEC)</w:t>
      </w:r>
      <w:r w:rsidR="006E158B">
        <w:t>.</w:t>
      </w:r>
      <w:hyperlink w:anchor="_ENREF_13" w:tooltip="Lumry, 1970 #199" w:history="1">
        <w:r w:rsidR="00512D09">
          <w:fldChar w:fldCharType="begin">
            <w:fldData xml:space="preserve">PEVuZE5vdGU+PENpdGU+PEF1dGhvcj5MdW1yeTwvQXV0aG9yPjxZZWFyPjE5NzA8L1llYXI+PFJl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</w:fldData>
          </w:fldChar>
        </w:r>
        <w:r w:rsidR="00512D09">
          <w:instrText xml:space="preserve"> ADDIN EN.CITE </w:instrText>
        </w:r>
        <w:r w:rsidR="00512D09">
          <w:fldChar w:fldCharType="begin">
            <w:fldData xml:space="preserve">PEVuZE5vdGU+PENpdGU+PEF1dGhvcj5MdW1yeTwvQXV0aG9yPjxZZWFyPjE5NzA8L1llYXI+PFJl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</w:fldData>
          </w:fldChar>
        </w:r>
        <w:r w:rsidR="00512D09">
          <w:instrText xml:space="preserve"> ADDIN EN.CITE.DATA </w:instrText>
        </w:r>
        <w:r w:rsidR="00512D09">
          <w:fldChar w:fldCharType="end"/>
        </w:r>
        <w:r w:rsidR="00512D09">
          <w:fldChar w:fldCharType="separate"/>
        </w:r>
        <w:r w:rsidR="00512D09" w:rsidRPr="00E30C0B">
          <w:rPr>
            <w:noProof/>
            <w:vertAlign w:val="superscript"/>
          </w:rPr>
          <w:t>13-15</w:t>
        </w:r>
        <w:r w:rsidR="00512D09">
          <w:fldChar w:fldCharType="end"/>
        </w:r>
      </w:hyperlink>
      <w:r w:rsidR="00374A8D">
        <w:t xml:space="preserve"> This is where any functional group modifications do not engender better binding affinity. For example, increasing the binding enthalpy may increase conformational restriction of the binding partners leading to a compensating drop in binding entropy. Conversely, reducing the number of binding interactions will lead to an unfavourable change in enthalpy and an increase in entropy. </w:t>
      </w:r>
      <w:r w:rsidR="00AC0E2A">
        <w:t xml:space="preserve">This example does not lend itself to the role of water in EEC phenomena but this will be explained </w:t>
      </w:r>
      <w:r w:rsidR="00965188">
        <w:t>after the role of water has been clarified</w:t>
      </w:r>
      <w:r w:rsidR="00AC0E2A">
        <w:t xml:space="preserve">. </w:t>
      </w:r>
    </w:p>
    <w:p w:rsidR="000176A7" w:rsidRDefault="00AF4FFA" w:rsidP="00514313">
      <w:pPr>
        <w:pStyle w:val="Heading2"/>
      </w:pPr>
      <w:bookmarkStart w:id="10" w:name="_Toc459130654"/>
      <w:r>
        <w:t>The T</w:t>
      </w:r>
      <w:r w:rsidR="00E704FC" w:rsidRPr="0083333F">
        <w:t xml:space="preserve">hermodynamics of </w:t>
      </w:r>
      <w:r>
        <w:t>Water-O</w:t>
      </w:r>
      <w:r w:rsidR="00E704FC" w:rsidRPr="0083333F">
        <w:t>rganic</w:t>
      </w:r>
      <w:r>
        <w:t xml:space="preserve"> M</w:t>
      </w:r>
      <w:r w:rsidR="008C5386" w:rsidRPr="0083333F">
        <w:t>olecule</w:t>
      </w:r>
      <w:r>
        <w:t xml:space="preserve"> I</w:t>
      </w:r>
      <w:r w:rsidR="00E704FC" w:rsidRPr="0083333F">
        <w:t>nteractions</w:t>
      </w:r>
      <w:bookmarkEnd w:id="10"/>
    </w:p>
    <w:p w:rsidR="006F051C" w:rsidRPr="006F051C" w:rsidRDefault="006F051C" w:rsidP="006F051C"/>
    <w:p w:rsidR="00AD5C4A" w:rsidRDefault="002532A6" w:rsidP="004E7551">
      <w:pPr>
        <w:spacing w:line="480" w:lineRule="auto"/>
        <w:jc w:val="both"/>
      </w:pPr>
      <w:r>
        <w:t xml:space="preserve">The low solubility of apolar organic molecules at room temperature is characterised by a favourable </w:t>
      </w:r>
      <w:r w:rsidR="00234EA6">
        <w:t>enthalpy</w:t>
      </w:r>
      <w:r>
        <w:t xml:space="preserve"> and an unfavourable </w:t>
      </w:r>
      <w:r w:rsidR="00234EA6">
        <w:t>entropy</w:t>
      </w:r>
      <w:r>
        <w:t xml:space="preserve"> resulting in an unfavourable </w:t>
      </w:r>
      <w:r w:rsidR="00234EA6">
        <w:t>Gibbs free energy</w:t>
      </w:r>
      <w:r>
        <w:t xml:space="preserve">. This suggests that water around apolar groups has stronger bonds and a higher degree of order in comparison to water in the bulk. Frank and Evans interpreted this as water having a higher degree of tetrahedral order and </w:t>
      </w:r>
      <w:r w:rsidR="002F43BB">
        <w:t>termed it “ice like” or as “ice</w:t>
      </w:r>
      <w:r>
        <w:t>bergs</w:t>
      </w:r>
      <w:r w:rsidR="002F43BB">
        <w:t>” (</w:t>
      </w:r>
      <w:r w:rsidR="0075172E">
        <w:fldChar w:fldCharType="begin"/>
      </w:r>
      <w:r w:rsidR="002F43BB">
        <w:instrText xml:space="preserve"> REF _Ref457225620 \h </w:instrText>
      </w:r>
      <w:r w:rsidR="0075172E">
        <w:fldChar w:fldCharType="separate"/>
      </w:r>
      <w:r w:rsidR="002F43BB">
        <w:t xml:space="preserve">Figure </w:t>
      </w:r>
      <w:r w:rsidR="002F43BB">
        <w:rPr>
          <w:noProof/>
        </w:rPr>
        <w:t>1</w:t>
      </w:r>
      <w:r w:rsidR="002F43BB">
        <w:t>.</w:t>
      </w:r>
      <w:r w:rsidR="002F43BB">
        <w:rPr>
          <w:noProof/>
        </w:rPr>
        <w:t>1</w:t>
      </w:r>
      <w:r w:rsidR="0075172E">
        <w:fldChar w:fldCharType="end"/>
      </w:r>
      <w:r>
        <w:t>.</w:t>
      </w:r>
      <w:r w:rsidR="002F43BB">
        <w:t>)</w:t>
      </w:r>
      <w:r>
        <w:t xml:space="preserve"> </w:t>
      </w:r>
      <w:hyperlink w:anchor="_ENREF_16" w:tooltip="Frank, 1945 #196" w:history="1">
        <w:r w:rsidR="00512D09">
          <w:fldChar w:fldCharType="begin"/>
        </w:r>
        <w:r w:rsidR="00512D09">
          <w:instrText xml:space="preserve"> ADDIN EN.CITE &lt;EndNote&gt;&lt;Cite&gt;&lt;Author&gt;Frank&lt;/Author&gt;&lt;Year&gt;1945&lt;/Year&gt;&lt;RecNum&gt;196&lt;/RecNum&gt;&lt;DisplayText&gt;&lt;style face="superscript"&gt;16&lt;/style&gt;&lt;/DisplayText&gt;&lt;record&gt;&lt;rec-number&gt;196&lt;/rec-number&gt;&lt;foreign-keys&gt;&lt;key app="EN" db-id="5trrespwzsdr07efd5tx2w96x22re9s0fsdt"&gt;196&lt;/key&gt;&lt;/foreign-keys&gt;&lt;ref-type name="Journal Article"&gt;17&lt;/ref-type&gt;&lt;contributors&gt;&lt;authors&gt;&lt;author&gt;Frank, H. S.&lt;/author&gt;&lt;author&gt;Evans, M. W.&lt;/author&gt;&lt;/authors&gt;&lt;/contributors&gt;&lt;titles&gt;&lt;title&gt;Free Volume and Entropy in Condensed Systems .3. Entropy in Binary Liquid Mixtures - Partial Molal Entropy in Dilute Solutions - Structure and Thermodynamics in Aqueous Electrolytes&lt;/title&gt;&lt;secondary-title&gt;Journal of Chemical Physics&lt;/secondary-title&gt;&lt;alt-title&gt;J Chem Phys&lt;/alt-title&gt;&lt;/titles&gt;&lt;periodical&gt;&lt;full-title&gt;Journal of Chemical Physics&lt;/full-title&gt;&lt;/periodical&gt;&lt;pages&gt;507-532&lt;/pages&gt;&lt;volume&gt;13&lt;/volume&gt;&lt;number&gt;11&lt;/number&gt;&lt;dates&gt;&lt;year&gt;1945&lt;/year&gt;&lt;pub-dates&gt;&lt;date&gt;1945&lt;/date&gt;&lt;/pub-dates&gt;&lt;/dates&gt;&lt;isbn&gt;0021-9606&lt;/isbn&gt;&lt;accession-num&gt;ISI:A1945UB79800008&lt;/accession-num&gt;&lt;urls&gt;&lt;related-urls&gt;&lt;url&gt;&amp;lt;Go to ISI&amp;gt;://A1945UB79800008&lt;/url&gt;&lt;/related-urls&gt;&lt;/urls&gt;&lt;electronic-resource-num&gt;Doi 10.1063/1.1723985&lt;/electronic-resource-num&gt;&lt;language&gt;English&lt;/language&gt;&lt;/record&gt;&lt;/Cite&gt;&lt;/EndNote&gt;</w:instrText>
        </w:r>
        <w:r w:rsidR="00512D09">
          <w:fldChar w:fldCharType="separate"/>
        </w:r>
        <w:r w:rsidR="00512D09" w:rsidRPr="002532A6">
          <w:rPr>
            <w:noProof/>
            <w:vertAlign w:val="superscript"/>
          </w:rPr>
          <w:t>16</w:t>
        </w:r>
        <w:r w:rsidR="00512D09">
          <w:fldChar w:fldCharType="end"/>
        </w:r>
      </w:hyperlink>
    </w:p>
    <w:p w:rsidR="00EB1DC7" w:rsidRDefault="00AD5C4A" w:rsidP="00EB1DC7">
      <w:pPr>
        <w:keepNext/>
        <w:spacing w:line="480" w:lineRule="auto"/>
        <w:jc w:val="center"/>
      </w:pPr>
      <w:r>
        <w:rPr>
          <w:noProof/>
          <w:lang w:eastAsia="en-GB"/>
        </w:rPr>
        <w:lastRenderedPageBreak/>
        <w:drawing>
          <wp:inline distT="0" distB="0" distL="0" distR="0" wp14:anchorId="2554CD63" wp14:editId="41580A62">
            <wp:extent cx="2771775" cy="2057400"/>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771775" cy="2057400"/>
                    </a:xfrm>
                    <a:prstGeom prst="rect">
                      <a:avLst/>
                    </a:prstGeom>
                    <a:noFill/>
                    <a:ln w="9525">
                      <a:noFill/>
                      <a:miter lim="800000"/>
                      <a:headEnd/>
                      <a:tailEnd/>
                    </a:ln>
                  </pic:spPr>
                </pic:pic>
              </a:graphicData>
            </a:graphic>
          </wp:inline>
        </w:drawing>
      </w:r>
    </w:p>
    <w:p w:rsidR="00EB1DC7" w:rsidRDefault="00EB1DC7" w:rsidP="00EB1DC7">
      <w:pPr>
        <w:pStyle w:val="Caption"/>
        <w:jc w:val="center"/>
      </w:pPr>
      <w:bookmarkStart w:id="11" w:name="_Ref457225620"/>
      <w:r>
        <w:t xml:space="preserve">Figure </w:t>
      </w:r>
      <w:r w:rsidR="0075172E">
        <w:fldChar w:fldCharType="begin"/>
      </w:r>
      <w:r w:rsidR="00AC2227">
        <w:instrText xml:space="preserve"> STYLEREF 1 \s </w:instrText>
      </w:r>
      <w:r w:rsidR="0075172E">
        <w:fldChar w:fldCharType="separate"/>
      </w:r>
      <w:r w:rsidR="00CB4EDC">
        <w:rPr>
          <w:noProof/>
        </w:rPr>
        <w:t>1</w:t>
      </w:r>
      <w:r w:rsidR="0075172E">
        <w:rPr>
          <w:noProof/>
        </w:rPr>
        <w:fldChar w:fldCharType="end"/>
      </w:r>
      <w:r>
        <w:t>.</w:t>
      </w:r>
      <w:r w:rsidR="0075172E">
        <w:fldChar w:fldCharType="begin"/>
      </w:r>
      <w:r w:rsidR="008628F5">
        <w:instrText xml:space="preserve"> SEQ Figure \* ARABIC \s 1 </w:instrText>
      </w:r>
      <w:r w:rsidR="0075172E">
        <w:fldChar w:fldCharType="separate"/>
      </w:r>
      <w:r w:rsidR="00CB4EDC">
        <w:rPr>
          <w:noProof/>
        </w:rPr>
        <w:t>1</w:t>
      </w:r>
      <w:r w:rsidR="0075172E">
        <w:fldChar w:fldCharType="end"/>
      </w:r>
      <w:bookmarkEnd w:id="11"/>
      <w:r>
        <w:t>: Tetrahedral water adapted from Chaplin</w:t>
      </w:r>
      <w:r w:rsidR="00F04E2C">
        <w:t>.</w:t>
      </w:r>
      <w:hyperlink w:anchor="_ENREF_17" w:tooltip="Chaplin, 2000 #778" w:history="1">
        <w:r w:rsidR="00512D09">
          <w:fldChar w:fldCharType="begin"/>
        </w:r>
        <w:r w:rsidR="00512D09">
          <w:instrText xml:space="preserve"> ADDIN EN.CITE &lt;EndNote&gt;&lt;Cite&gt;&lt;Author&gt;Chaplin&lt;/Author&gt;&lt;Year&gt;2000&lt;/Year&gt;&lt;RecNum&gt;778&lt;/RecNum&gt;&lt;DisplayText&gt;&lt;style face="superscript"&gt;17&lt;/style&gt;&lt;/DisplayText&gt;&lt;record&gt;&lt;rec-number&gt;778&lt;/rec-number&gt;&lt;foreign-keys&gt;&lt;key app="EN" db-id="5trrespwzsdr07efd5tx2w96x22re9s0fsdt"&gt;778&lt;/key&gt;&lt;/foreign-keys&gt;&lt;ref-type name="Web Page"&gt;12&lt;/ref-type&gt;&lt;contributors&gt;&lt;authors&gt;&lt;author&gt;Martin Chaplin&lt;/author&gt;&lt;/authors&gt;&lt;/contributors&gt;&lt;titles&gt;&lt;title&gt;Water Structure and Science&lt;/title&gt;&lt;secondary-title&gt;Hydrogen bonding in water&lt;/secondary-title&gt;&lt;/titles&gt;&lt;volume&gt;http://www1.lsbu.ac.uk/water/water_hydrogen_bonding.html&lt;/volume&gt;&lt;number&gt;20/07/2016&lt;/number&gt;&lt;dates&gt;&lt;year&gt;2000&lt;/year&gt;&lt;/dates&gt;&lt;urls&gt;&lt;related-urls&gt;&lt;url&gt;http://www1.lsbu.ac.uk/water/water_hydrogen_bonding.html&lt;/url&gt;&lt;/related-urls&gt;&lt;/urls&gt;&lt;/record&gt;&lt;/Cite&gt;&lt;/EndNote&gt;</w:instrText>
        </w:r>
        <w:r w:rsidR="00512D09">
          <w:fldChar w:fldCharType="separate"/>
        </w:r>
        <w:r w:rsidR="00512D09" w:rsidRPr="00512D09">
          <w:rPr>
            <w:noProof/>
            <w:vertAlign w:val="superscript"/>
          </w:rPr>
          <w:t>17</w:t>
        </w:r>
        <w:r w:rsidR="00512D09">
          <w:fldChar w:fldCharType="end"/>
        </w:r>
      </w:hyperlink>
      <w:r>
        <w:t xml:space="preserve"> </w:t>
      </w:r>
    </w:p>
    <w:p w:rsidR="00F734D5" w:rsidRDefault="000F658E" w:rsidP="004E7551">
      <w:pPr>
        <w:spacing w:line="480" w:lineRule="auto"/>
        <w:jc w:val="both"/>
      </w:pPr>
      <w:r>
        <w:t xml:space="preserve">At </w:t>
      </w:r>
      <w:r w:rsidR="005C0EFF">
        <w:t>low temperatures, (≤ 15</w:t>
      </w:r>
      <w:r w:rsidR="006F2757">
        <w:t xml:space="preserve"> </w:t>
      </w:r>
      <w:r w:rsidR="005C0EFF">
        <w:t>°C) the creation of this network is exothermic with decreasing solubility at increased temperature.</w:t>
      </w:r>
      <w:r w:rsidR="00C3259A">
        <w:t xml:space="preserve"> The favourable enthalpy stems from water adopting a structure with stronger bonds than the bulk, overriding the endothermicity of creating a cavity in the water network</w:t>
      </w:r>
      <w:r w:rsidR="006E158B">
        <w:t>.</w:t>
      </w:r>
      <w:hyperlink w:anchor="_ENREF_18" w:tooltip="Baldwin, 1986 #531" w:history="1">
        <w:r w:rsidR="00512D09">
          <w:fldChar w:fldCharType="begin"/>
        </w:r>
        <w:r w:rsidR="00512D09">
          <w:instrText xml:space="preserve"> ADDIN EN.CITE &lt;EndNote&gt;&lt;Cite&gt;&lt;Author&gt;Baldwin&lt;/Author&gt;&lt;Year&gt;1986&lt;/Year&gt;&lt;RecNum&gt;531&lt;/RecNum&gt;&lt;DisplayText&gt;&lt;style face="superscript"&gt;18&lt;/style&gt;&lt;/DisplayText&gt;&lt;record&gt;&lt;rec-number&gt;531&lt;/rec-number&gt;&lt;foreign-keys&gt;&lt;key app="EN" db-id="5trrespwzsdr07efd5tx2w96x22re9s0fsdt"&gt;531&lt;/key&gt;&lt;/foreign-keys&gt;&lt;ref-type name="Journal Article"&gt;17&lt;/ref-type&gt;&lt;contributors&gt;&lt;authors&gt;&lt;author&gt;Baldwin, R L&lt;/author&gt;&lt;/authors&gt;&lt;/contributors&gt;&lt;titles&gt;&lt;title&gt;Temperature dependence of the hydrophobic interaction in protein folding&lt;/title&gt;&lt;secondary-title&gt;Proceedings of the National Academy of Sciences&lt;/secondary-title&gt;&lt;/titles&gt;&lt;periodical&gt;&lt;full-title&gt;Proceedings of the National Academy of Sciences&lt;/full-title&gt;&lt;/periodical&gt;&lt;pages&gt;8069-8072&lt;/pages&gt;&lt;volume&gt;83&lt;/volume&gt;&lt;number&gt;21&lt;/number&gt;&lt;dates&gt;&lt;year&gt;1986&lt;/year&gt;&lt;pub-dates&gt;&lt;date&gt;November 1, 1986&lt;/date&gt;&lt;/pub-dates&gt;&lt;/dates&gt;&lt;urls&gt;&lt;related-urls&gt;&lt;url&gt;http://www.pnas.org/content/83/21/8069.abstract&lt;/url&gt;&lt;/related-urls&gt;&lt;/urls&gt;&lt;/record&gt;&lt;/Cite&gt;&lt;/EndNote&gt;</w:instrText>
        </w:r>
        <w:r w:rsidR="00512D09">
          <w:fldChar w:fldCharType="separate"/>
        </w:r>
        <w:r w:rsidR="00512D09" w:rsidRPr="00F04E2C">
          <w:rPr>
            <w:noProof/>
            <w:vertAlign w:val="superscript"/>
          </w:rPr>
          <w:t>18</w:t>
        </w:r>
        <w:r w:rsidR="00512D09">
          <w:fldChar w:fldCharType="end"/>
        </w:r>
      </w:hyperlink>
      <w:r w:rsidR="005C0EFF">
        <w:t xml:space="preserve"> There is a solubility minima </w:t>
      </w:r>
      <w:r w:rsidR="00E238B4">
        <w:t>between</w:t>
      </w:r>
      <w:r w:rsidR="005C0EFF">
        <w:t xml:space="preserve"> 18 to 35 </w:t>
      </w:r>
      <w:r w:rsidR="005C0EFF" w:rsidRPr="005C0EFF">
        <w:t>°C</w:t>
      </w:r>
      <w:r w:rsidR="00E238B4">
        <w:t xml:space="preserve"> </w:t>
      </w:r>
      <w:hyperlink w:anchor="_ENREF_19" w:tooltip="Franks, 1963 #530" w:history="1">
        <w:r w:rsidR="00512D09">
          <w:fldChar w:fldCharType="begin"/>
        </w:r>
        <w:r w:rsidR="00512D09">
          <w:instrText xml:space="preserve"> ADDIN EN.CITE &lt;EndNote&gt;&lt;Cite&gt;&lt;Author&gt;Franks&lt;/Author&gt;&lt;Year&gt;1963&lt;/Year&gt;&lt;RecNum&gt;530&lt;/RecNum&gt;&lt;DisplayText&gt;&lt;style face="superscript"&gt;19&lt;/style&gt;&lt;/DisplayText&gt;&lt;record&gt;&lt;rec-number&gt;530&lt;/rec-number&gt;&lt;foreign-keys&gt;&lt;key app="EN" db-id="5trrespwzsdr07efd5tx2w96x22re9s0fsdt"&gt;530&lt;/key&gt;&lt;/foreign-keys&gt;&lt;ref-type name="Journal Article"&gt;17&lt;/ref-type&gt;&lt;contributors&gt;&lt;authors&gt;&lt;author&gt;Franks, F.&lt;/author&gt;&lt;author&gt;Gent, M.&lt;/author&gt;&lt;author&gt;Johnson, H. H.&lt;/author&gt;&lt;/authors&gt;&lt;/contributors&gt;&lt;titles&gt;&lt;title&gt;505. The solubility of benzene in water&lt;/title&gt;&lt;secondary-title&gt;Journal of the Chemical Society (Resumed)&lt;/secondary-title&gt;&lt;/titles&gt;&lt;periodical&gt;&lt;full-title&gt;Journal of the Chemical Society (Resumed)&lt;/full-title&gt;&lt;/periodical&gt;&lt;pages&gt;2716-2723&lt;/pages&gt;&lt;number&gt;0&lt;/number&gt;&lt;dates&gt;&lt;year&gt;1963&lt;/year&gt;&lt;/dates&gt;&lt;publisher&gt;The Royal Society of Chemistry&lt;/publisher&gt;&lt;isbn&gt;0368-1769&lt;/isbn&gt;&lt;work-type&gt;10.1039/JR9630002716&lt;/work-type&gt;&lt;urls&gt;&lt;related-urls&gt;&lt;url&gt;http://dx.doi.org/10.1039/JR9630002716&lt;/url&gt;&lt;/related-urls&gt;&lt;/urls&gt;&lt;electronic-resource-num&gt;10.1039/jr9630002716&lt;/electronic-resource-num&gt;&lt;/record&gt;&lt;/Cite&gt;&lt;/EndNote&gt;</w:instrText>
        </w:r>
        <w:r w:rsidR="00512D09">
          <w:fldChar w:fldCharType="separate"/>
        </w:r>
        <w:r w:rsidR="00512D09" w:rsidRPr="00F04E2C">
          <w:rPr>
            <w:noProof/>
            <w:vertAlign w:val="superscript"/>
          </w:rPr>
          <w:t>19</w:t>
        </w:r>
        <w:r w:rsidR="00512D09">
          <w:fldChar w:fldCharType="end"/>
        </w:r>
      </w:hyperlink>
      <w:r w:rsidR="00322872">
        <w:t xml:space="preserve"> (</w:t>
      </w:r>
      <w:r w:rsidR="0075172E">
        <w:fldChar w:fldCharType="begin"/>
      </w:r>
      <w:r w:rsidR="00322872">
        <w:instrText xml:space="preserve"> REF _Ref443580048 \h </w:instrText>
      </w:r>
      <w:r w:rsidR="0075172E">
        <w:fldChar w:fldCharType="separate"/>
      </w:r>
      <w:r w:rsidR="00CB4EDC">
        <w:t xml:space="preserve">Figure </w:t>
      </w:r>
      <w:r w:rsidR="00CB4EDC">
        <w:rPr>
          <w:noProof/>
        </w:rPr>
        <w:t>1</w:t>
      </w:r>
      <w:r w:rsidR="00CB4EDC">
        <w:t>.</w:t>
      </w:r>
      <w:r w:rsidR="00CB4EDC">
        <w:rPr>
          <w:noProof/>
        </w:rPr>
        <w:t>2</w:t>
      </w:r>
      <w:r w:rsidR="0075172E">
        <w:fldChar w:fldCharType="end"/>
      </w:r>
      <w:r w:rsidR="00322872">
        <w:t>)</w:t>
      </w:r>
    </w:p>
    <w:p w:rsidR="001605FC" w:rsidRDefault="00F734D5" w:rsidP="001D0B51">
      <w:pPr>
        <w:keepNext/>
        <w:spacing w:line="480" w:lineRule="auto"/>
        <w:jc w:val="center"/>
      </w:pPr>
      <w:r>
        <w:rPr>
          <w:noProof/>
          <w:lang w:eastAsia="en-GB"/>
        </w:rPr>
        <w:drawing>
          <wp:inline distT="0" distB="0" distL="0" distR="0" wp14:anchorId="69932D03" wp14:editId="4E32BD02">
            <wp:extent cx="4488179" cy="26365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9" t="1934" r="832" b="2451"/>
                    <a:stretch/>
                  </pic:blipFill>
                  <pic:spPr bwMode="auto">
                    <a:xfrm>
                      <a:off x="0" y="0"/>
                      <a:ext cx="4485695" cy="2635061"/>
                    </a:xfrm>
                    <a:prstGeom prst="rect">
                      <a:avLst/>
                    </a:prstGeom>
                    <a:noFill/>
                    <a:ln>
                      <a:noFill/>
                    </a:ln>
                    <a:extLst>
                      <a:ext uri="{53640926-AAD7-44D8-BBD7-CCE9431645EC}">
                        <a14:shadowObscured xmlns:a14="http://schemas.microsoft.com/office/drawing/2010/main"/>
                      </a:ext>
                    </a:extLst>
                  </pic:spPr>
                </pic:pic>
              </a:graphicData>
            </a:graphic>
          </wp:inline>
        </w:drawing>
      </w:r>
    </w:p>
    <w:p w:rsidR="00C91F17" w:rsidRDefault="00C91F17" w:rsidP="0069214C">
      <w:pPr>
        <w:pStyle w:val="Caption"/>
        <w:spacing w:line="480" w:lineRule="auto"/>
        <w:jc w:val="center"/>
      </w:pPr>
      <w:bookmarkStart w:id="12" w:name="_Ref442801357"/>
      <w:bookmarkStart w:id="13" w:name="_Ref443580048"/>
      <w:bookmarkStart w:id="14" w:name="_Ref443580044"/>
      <w:r>
        <w:t>Figure</w:t>
      </w:r>
      <w:bookmarkEnd w:id="12"/>
      <w:r w:rsidR="00322872">
        <w:t xml:space="preserve"> </w:t>
      </w:r>
      <w:r w:rsidR="0075172E">
        <w:fldChar w:fldCharType="begin"/>
      </w:r>
      <w:r w:rsidR="00AC2227">
        <w:instrText xml:space="preserve"> STYLEREF 1 \s </w:instrText>
      </w:r>
      <w:r w:rsidR="0075172E">
        <w:fldChar w:fldCharType="separate"/>
      </w:r>
      <w:r w:rsidR="00CB4EDC">
        <w:rPr>
          <w:noProof/>
        </w:rPr>
        <w:t>1</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w:t>
      </w:r>
      <w:r w:rsidR="0075172E">
        <w:fldChar w:fldCharType="end"/>
      </w:r>
      <w:bookmarkEnd w:id="13"/>
      <w:r w:rsidR="001605FC">
        <w:t xml:space="preserve">: </w:t>
      </w:r>
      <w:r w:rsidR="000C22A9">
        <w:t>Natural logarithm of the</w:t>
      </w:r>
      <w:r w:rsidR="001605FC">
        <w:t xml:space="preserve"> mole fraction solubility</w:t>
      </w:r>
      <w:r w:rsidR="00CE494B">
        <w:t xml:space="preserve"> of benzene against temperature</w:t>
      </w:r>
      <w:r w:rsidR="00CF000C">
        <w:t xml:space="preserve"> adapted from Baldwin </w:t>
      </w:r>
      <w:hyperlink w:anchor="_ENREF_18" w:tooltip="Baldwin, 1986 #531" w:history="1">
        <w:r w:rsidR="00512D09">
          <w:fldChar w:fldCharType="begin"/>
        </w:r>
        <w:r w:rsidR="00512D09">
          <w:instrText xml:space="preserve"> ADDIN EN.CITE &lt;EndNote&gt;&lt;Cite&gt;&lt;Author&gt;Baldwin&lt;/Author&gt;&lt;Year&gt;1986&lt;/Year&gt;&lt;RecNum&gt;531&lt;/RecNum&gt;&lt;DisplayText&gt;&lt;style face="superscript"&gt;18&lt;/style&gt;&lt;/DisplayText&gt;&lt;record&gt;&lt;rec-number&gt;531&lt;/rec-number&gt;&lt;foreign-keys&gt;&lt;key app="EN" db-id="5trrespwzsdr07efd5tx2w96x22re9s0fsdt"&gt;531&lt;/key&gt;&lt;/foreign-keys&gt;&lt;ref-type name="Journal Article"&gt;17&lt;/ref-type&gt;&lt;contributors&gt;&lt;authors&gt;&lt;author&gt;Baldwin, R L&lt;/author&gt;&lt;/authors&gt;&lt;/contributors&gt;&lt;titles&gt;&lt;title&gt;Temperature dependence of the hydrophobic interaction in protein folding&lt;/title&gt;&lt;secondary-title&gt;Proceedings of the National Academy of Sciences&lt;/secondary-title&gt;&lt;/titles&gt;&lt;periodical&gt;&lt;full-title&gt;Proceedings of the National Academy of Sciences&lt;/full-title&gt;&lt;/periodical&gt;&lt;pages&gt;8069-8072&lt;/pages&gt;&lt;volume&gt;83&lt;/volume&gt;&lt;number&gt;21&lt;/number&gt;&lt;dates&gt;&lt;year&gt;1986&lt;/year&gt;&lt;pub-dates&gt;&lt;date&gt;November 1, 1986&lt;/date&gt;&lt;/pub-dates&gt;&lt;/dates&gt;&lt;urls&gt;&lt;related-urls&gt;&lt;url&gt;http://www.pnas.org/content/83/21/8069.abstract&lt;/url&gt;&lt;/related-urls&gt;&lt;/urls&gt;&lt;/record&gt;&lt;/Cite&gt;&lt;/EndNote&gt;</w:instrText>
        </w:r>
        <w:r w:rsidR="00512D09">
          <w:fldChar w:fldCharType="separate"/>
        </w:r>
        <w:r w:rsidR="00512D09" w:rsidRPr="00F04E2C">
          <w:rPr>
            <w:noProof/>
            <w:vertAlign w:val="superscript"/>
          </w:rPr>
          <w:t>18</w:t>
        </w:r>
        <w:r w:rsidR="00512D09">
          <w:fldChar w:fldCharType="end"/>
        </w:r>
      </w:hyperlink>
      <w:bookmarkEnd w:id="14"/>
    </w:p>
    <w:p w:rsidR="00460AB5" w:rsidRPr="00460AB5" w:rsidRDefault="00C3259A" w:rsidP="004E7551">
      <w:pPr>
        <w:spacing w:line="480" w:lineRule="auto"/>
        <w:jc w:val="both"/>
        <w:rPr>
          <w:bCs/>
        </w:rPr>
      </w:pPr>
      <w:r>
        <w:t xml:space="preserve">Here the solubility switches from being enthalpy </w:t>
      </w:r>
      <w:r w:rsidR="000C22A9">
        <w:t xml:space="preserve">and entropy </w:t>
      </w:r>
      <w:r>
        <w:t>driven to</w:t>
      </w:r>
      <w:r w:rsidR="000C22A9">
        <w:t xml:space="preserve"> just</w:t>
      </w:r>
      <w:r>
        <w:t xml:space="preserve"> entropy driven</w:t>
      </w:r>
      <w:r w:rsidR="006E158B">
        <w:t>.</w:t>
      </w:r>
      <w:hyperlink w:anchor="_ENREF_18" w:tooltip="Baldwin, 1986 #531" w:history="1">
        <w:r w:rsidR="00512D09">
          <w:fldChar w:fldCharType="begin"/>
        </w:r>
        <w:r w:rsidR="00512D09">
          <w:instrText xml:space="preserve"> ADDIN EN.CITE &lt;EndNote&gt;&lt;Cite&gt;&lt;Author&gt;Baldwin&lt;/Author&gt;&lt;Year&gt;1986&lt;/Year&gt;&lt;RecNum&gt;531&lt;/RecNum&gt;&lt;DisplayText&gt;&lt;style face="superscript"&gt;18&lt;/style&gt;&lt;/DisplayText&gt;&lt;record&gt;&lt;rec-number&gt;531&lt;/rec-number&gt;&lt;foreign-keys&gt;&lt;key app="EN" db-id="5trrespwzsdr07efd5tx2w96x22re9s0fsdt"&gt;531&lt;/key&gt;&lt;/foreign-keys&gt;&lt;ref-type name="Journal Article"&gt;17&lt;/ref-type&gt;&lt;contributors&gt;&lt;authors&gt;&lt;author&gt;Baldwin, R L&lt;/author&gt;&lt;/authors&gt;&lt;/contributors&gt;&lt;titles&gt;&lt;title&gt;Temperature dependence of the hydrophobic interaction in protein folding&lt;/title&gt;&lt;secondary-title&gt;Proceedings of the National Academy of Sciences&lt;/secondary-title&gt;&lt;/titles&gt;&lt;periodical&gt;&lt;full-title&gt;Proceedings of the National Academy of Sciences&lt;/full-title&gt;&lt;/periodical&gt;&lt;pages&gt;8069-8072&lt;/pages&gt;&lt;volume&gt;83&lt;/volume&gt;&lt;number&gt;21&lt;/number&gt;&lt;dates&gt;&lt;year&gt;1986&lt;/year&gt;&lt;pub-dates&gt;&lt;date&gt;November 1, 1986&lt;/date&gt;&lt;/pub-dates&gt;&lt;/dates&gt;&lt;urls&gt;&lt;related-urls&gt;&lt;url&gt;http://www.pnas.org/content/83/21/8069.abstract&lt;/url&gt;&lt;/related-urls&gt;&lt;/urls&gt;&lt;/record&gt;&lt;/Cite&gt;&lt;/EndNote&gt;</w:instrText>
        </w:r>
        <w:r w:rsidR="00512D09">
          <w:fldChar w:fldCharType="separate"/>
        </w:r>
        <w:r w:rsidR="00512D09" w:rsidRPr="00F04E2C">
          <w:rPr>
            <w:noProof/>
            <w:vertAlign w:val="superscript"/>
          </w:rPr>
          <w:t>18</w:t>
        </w:r>
        <w:r w:rsidR="00512D09">
          <w:fldChar w:fldCharType="end"/>
        </w:r>
      </w:hyperlink>
      <w:r>
        <w:t xml:space="preserve"> It has been suggested this is due </w:t>
      </w:r>
      <w:r w:rsidR="008B6C69">
        <w:t xml:space="preserve">to bulk water having less conformational </w:t>
      </w:r>
      <w:r w:rsidR="008B6C69">
        <w:lastRenderedPageBreak/>
        <w:t>freedom than the water neighbouring apolar groups</w:t>
      </w:r>
      <w:r w:rsidR="00CF000C">
        <w:t>.</w:t>
      </w:r>
      <w:hyperlink w:anchor="_ENREF_19" w:tooltip="Franks, 1963 #530" w:history="1">
        <w:r w:rsidR="00512D09">
          <w:fldChar w:fldCharType="begin"/>
        </w:r>
        <w:r w:rsidR="00512D09">
          <w:instrText xml:space="preserve"> ADDIN EN.CITE &lt;EndNote&gt;&lt;Cite&gt;&lt;Author&gt;Franks&lt;/Author&gt;&lt;Year&gt;1963&lt;/Year&gt;&lt;RecNum&gt;530&lt;/RecNum&gt;&lt;DisplayText&gt;&lt;style face="superscript"&gt;19&lt;/style&gt;&lt;/DisplayText&gt;&lt;record&gt;&lt;rec-number&gt;530&lt;/rec-number&gt;&lt;foreign-keys&gt;&lt;key app="EN" db-id="5trrespwzsdr07efd5tx2w96x22re9s0fsdt"&gt;530&lt;/key&gt;&lt;/foreign-keys&gt;&lt;ref-type name="Journal Article"&gt;17&lt;/ref-type&gt;&lt;contributors&gt;&lt;authors&gt;&lt;author&gt;Franks, F.&lt;/author&gt;&lt;author&gt;Gent, M.&lt;/author&gt;&lt;author&gt;Johnson, H. H.&lt;/author&gt;&lt;/authors&gt;&lt;/contributors&gt;&lt;titles&gt;&lt;title&gt;505. The solubility of benzene in water&lt;/title&gt;&lt;secondary-title&gt;Journal of the Chemical Society (Resumed)&lt;/secondary-title&gt;&lt;/titles&gt;&lt;periodical&gt;&lt;full-title&gt;Journal of the Chemical Society (Resumed)&lt;/full-title&gt;&lt;/periodical&gt;&lt;pages&gt;2716-2723&lt;/pages&gt;&lt;number&gt;0&lt;/number&gt;&lt;dates&gt;&lt;year&gt;1963&lt;/year&gt;&lt;/dates&gt;&lt;publisher&gt;The Royal Society of Chemistry&lt;/publisher&gt;&lt;isbn&gt;0368-1769&lt;/isbn&gt;&lt;work-type&gt;10.1039/JR9630002716&lt;/work-type&gt;&lt;urls&gt;&lt;related-urls&gt;&lt;url&gt;http://dx.doi.org/10.1039/JR9630002716&lt;/url&gt;&lt;/related-urls&gt;&lt;/urls&gt;&lt;electronic-resource-num&gt;10.1039/jr9630002716&lt;/electronic-resource-num&gt;&lt;/record&gt;&lt;/Cite&gt;&lt;/EndNote&gt;</w:instrText>
        </w:r>
        <w:r w:rsidR="00512D09">
          <w:fldChar w:fldCharType="separate"/>
        </w:r>
        <w:r w:rsidR="00512D09" w:rsidRPr="00F04E2C">
          <w:rPr>
            <w:noProof/>
            <w:vertAlign w:val="superscript"/>
          </w:rPr>
          <w:t>19</w:t>
        </w:r>
        <w:r w:rsidR="00512D09">
          <w:fldChar w:fldCharType="end"/>
        </w:r>
      </w:hyperlink>
      <w:r w:rsidR="008B6C69">
        <w:t xml:space="preserve"> </w:t>
      </w:r>
      <w:r w:rsidR="009C5243">
        <w:t xml:space="preserve">Recent </w:t>
      </w:r>
      <w:r w:rsidR="009C5243" w:rsidRPr="009C5243">
        <w:rPr>
          <w:bCs/>
        </w:rPr>
        <w:t>temperature-dependent Raman scattering measurements </w:t>
      </w:r>
      <w:r w:rsidR="009C5243">
        <w:rPr>
          <w:bCs/>
        </w:rPr>
        <w:t>reinforce this observation. The work suggests that around apolar compounds, larger than 1 nm, water has slower dynamics and stronger bonds, whilst at higher temperatures this water has faster dynamics than the bulk and weaker bonding</w:t>
      </w:r>
      <w:r w:rsidR="004E7551">
        <w:rPr>
          <w:bCs/>
        </w:rPr>
        <w:t>.</w:t>
      </w:r>
      <w:hyperlink w:anchor="_ENREF_20" w:tooltip="Davis, 2012 #179" w:history="1">
        <w:r w:rsidR="00512D09">
          <w:rPr>
            <w:bCs/>
          </w:rPr>
          <w:fldChar w:fldCharType="begin"/>
        </w:r>
        <w:r w:rsidR="00512D09">
          <w:rPr>
            <w:bCs/>
          </w:rPr>
          <w:instrText xml:space="preserve"> ADDIN EN.CITE &lt;EndNote&gt;&lt;Cite&gt;&lt;Author&gt;Davis&lt;/Author&gt;&lt;Year&gt;2012&lt;/Year&gt;&lt;RecNum&gt;179&lt;/RecNum&gt;&lt;DisplayText&gt;&lt;style face="superscript"&gt;20&lt;/style&gt;&lt;/DisplayText&gt;&lt;record&gt;&lt;rec-number&gt;179&lt;/rec-number&gt;&lt;foreign-keys&gt;&lt;key app="EN" db-id="5trrespwzsdr07efd5tx2w96x22re9s0fsdt"&gt;179&lt;/key&gt;&lt;/foreign-keys&gt;&lt;ref-type name="Journal Article"&gt;17&lt;/ref-type&gt;&lt;contributors&gt;&lt;authors&gt;&lt;author&gt;Davis, Joel G.&lt;/author&gt;&lt;author&gt;Gierszal, Kamil P.&lt;/author&gt;&lt;author&gt;Wang, Ping&lt;/author&gt;&lt;author&gt;Ben-Amotz, Dor&lt;/author&gt;&lt;/authors&gt;&lt;/contributors&gt;&lt;titles&gt;&lt;title&gt;Water structural transformation at molecular hydrophobic interfaces&lt;/title&gt;&lt;secondary-title&gt;Nature&lt;/secondary-title&gt;&lt;/titles&gt;&lt;periodical&gt;&lt;full-title&gt;Nature&lt;/full-title&gt;&lt;abbr-1&gt;Nature&lt;/abbr-1&gt;&lt;/periodical&gt;&lt;pages&gt;582-585&lt;/pages&gt;&lt;volume&gt;491&lt;/volume&gt;&lt;number&gt;7425&lt;/number&gt;&lt;dates&gt;&lt;year&gt;2012&lt;/year&gt;&lt;pub-dates&gt;&lt;date&gt;Nov 22&lt;/date&gt;&lt;/pub-dates&gt;&lt;/dates&gt;&lt;isbn&gt;0028-0836&lt;/isbn&gt;&lt;accession-num&gt;WOS:000311339800049&lt;/accession-num&gt;&lt;urls&gt;&lt;related-urls&gt;&lt;url&gt;&amp;lt;Go to ISI&amp;gt;://WOS:000311339800049&lt;/url&gt;&lt;/related-urls&gt;&lt;/urls&gt;&lt;electronic-resource-num&gt;10.1038/nature11570&lt;/electronic-resource-num&gt;&lt;/record&gt;&lt;/Cite&gt;&lt;/EndNote&gt;</w:instrText>
        </w:r>
        <w:r w:rsidR="00512D09">
          <w:rPr>
            <w:bCs/>
          </w:rPr>
          <w:fldChar w:fldCharType="separate"/>
        </w:r>
        <w:r w:rsidR="00512D09" w:rsidRPr="00F04E2C">
          <w:rPr>
            <w:bCs/>
            <w:noProof/>
            <w:vertAlign w:val="superscript"/>
          </w:rPr>
          <w:t>20</w:t>
        </w:r>
        <w:r w:rsidR="00512D09">
          <w:rPr>
            <w:bCs/>
          </w:rPr>
          <w:fldChar w:fldCharType="end"/>
        </w:r>
      </w:hyperlink>
      <w:r w:rsidR="009C5243">
        <w:rPr>
          <w:bCs/>
        </w:rPr>
        <w:t xml:space="preserve">  </w:t>
      </w:r>
    </w:p>
    <w:p w:rsidR="00E91DA0" w:rsidRDefault="0053318E" w:rsidP="00514313">
      <w:pPr>
        <w:pStyle w:val="Heading2"/>
      </w:pPr>
      <w:bookmarkStart w:id="15" w:name="_Toc459130655"/>
      <w:r>
        <w:t>The Role of Water in Binding A</w:t>
      </w:r>
      <w:r w:rsidR="00E91DA0" w:rsidRPr="0083333F">
        <w:t>ffinity</w:t>
      </w:r>
      <w:bookmarkEnd w:id="15"/>
    </w:p>
    <w:p w:rsidR="006F051C" w:rsidRPr="006F051C" w:rsidRDefault="006F051C" w:rsidP="006F051C"/>
    <w:p w:rsidR="00AC0E2A" w:rsidRPr="00AC0E2A" w:rsidRDefault="00AC0E2A" w:rsidP="004E7551">
      <w:pPr>
        <w:spacing w:line="480" w:lineRule="auto"/>
        <w:jc w:val="both"/>
        <w:rPr>
          <w:bCs/>
          <w:iCs/>
        </w:rPr>
      </w:pPr>
      <w:r w:rsidRPr="00AC0E2A">
        <w:rPr>
          <w:bCs/>
          <w:iCs/>
        </w:rPr>
        <w:t>The driving force behind the hydrophobic</w:t>
      </w:r>
      <w:r w:rsidR="008644AF">
        <w:rPr>
          <w:bCs/>
          <w:iCs/>
        </w:rPr>
        <w:t xml:space="preserve"> effect in aqueous solution </w:t>
      </w:r>
      <w:r w:rsidRPr="00AC0E2A">
        <w:rPr>
          <w:bCs/>
          <w:iCs/>
        </w:rPr>
        <w:t xml:space="preserve">is the exclusion of water from </w:t>
      </w:r>
      <w:r w:rsidR="00BA7E7A">
        <w:rPr>
          <w:bCs/>
          <w:iCs/>
        </w:rPr>
        <w:t>apolar</w:t>
      </w:r>
      <w:r w:rsidRPr="00AC0E2A">
        <w:rPr>
          <w:bCs/>
          <w:iCs/>
        </w:rPr>
        <w:t xml:space="preserve"> surfaces. It can be used to explain why proteins fold or why oil droplets form in water. The hydrophobic effect is used in medicinal chemistry to drive ligand-protein interactions with the idea being the hydrophobic component of the ligand binds to the hydrophobic surface of the protein, releasing energetically unfavourable water from the binding site to the bulk. The water associated with the apolar part of the protein is disfavoured entropically and so its return to the bulk is entropically favoured</w:t>
      </w:r>
      <w:r w:rsidR="006E158B">
        <w:rPr>
          <w:bCs/>
          <w:iCs/>
        </w:rPr>
        <w:t>.</w:t>
      </w:r>
      <w:r w:rsidRPr="00AC0E2A">
        <w:rPr>
          <w:bCs/>
          <w:iCs/>
        </w:rPr>
        <w:t xml:space="preserve"> </w:t>
      </w:r>
      <w:hyperlink w:anchor="_ENREF_21" w:tooltip="Kauzmann, 1964 #296" w:history="1">
        <w:r w:rsidR="00512D09" w:rsidRPr="00AC0E2A">
          <w:rPr>
            <w:bCs/>
            <w:iCs/>
          </w:rPr>
          <w:fldChar w:fldCharType="begin"/>
        </w:r>
        <w:r w:rsidR="00512D09">
          <w:rPr>
            <w:bCs/>
            <w:iCs/>
          </w:rPr>
          <w:instrText xml:space="preserve"> ADDIN EN.CITE &lt;EndNote&gt;&lt;Cite&gt;&lt;Author&gt;Kauzmann&lt;/Author&gt;&lt;Year&gt;1964&lt;/Year&gt;&lt;RecNum&gt;296&lt;/RecNum&gt;&lt;DisplayText&gt;&lt;style face="superscript"&gt;21&lt;/style&gt;&lt;/DisplayText&gt;&lt;record&gt;&lt;rec-number&gt;296&lt;/rec-number&gt;&lt;foreign-keys&gt;&lt;key app="EN" db-id="5trrespwzsdr07efd5tx2w96x22re9s0fsdt"&gt;296&lt;/key&gt;&lt;/foreign-keys&gt;&lt;ref-type name="Journal Article"&gt;17&lt;/ref-type&gt;&lt;contributors&gt;&lt;authors&gt;&lt;author&gt;Kauzmann, Walter&lt;/author&gt;&lt;/authors&gt;&lt;/contributors&gt;&lt;titles&gt;&lt;title&gt;The Three Dimensional Structures of Proteins&lt;/title&gt;&lt;secondary-title&gt;Biophysical Journal&lt;/secondary-title&gt;&lt;/titles&gt;&lt;periodical&gt;&lt;full-title&gt;Biophysical Journal&lt;/full-title&gt;&lt;/periodical&gt;&lt;pages&gt;43-54&lt;/pages&gt;&lt;volume&gt;4&lt;/volume&gt;&lt;number&gt;1, Part 2&lt;/number&gt;&lt;dates&gt;&lt;year&gt;1964&lt;/year&gt;&lt;/dates&gt;&lt;isbn&gt;0006-3495&lt;/isbn&gt;&lt;urls&gt;&lt;related-urls&gt;&lt;url&gt;http://www.sciencedirect.com/science/article/pii/S0006349564869253&lt;/url&gt;&lt;/related-urls&gt;&lt;/urls&gt;&lt;electronic-resource-num&gt;http://dx.doi.org/10.1016/S0006-3495(64)86925-3&lt;/electronic-resource-num&gt;&lt;/record&gt;&lt;/Cite&gt;&lt;/EndNote&gt;</w:instrText>
        </w:r>
        <w:r w:rsidR="00512D09" w:rsidRPr="00AC0E2A">
          <w:rPr>
            <w:bCs/>
            <w:iCs/>
          </w:rPr>
          <w:fldChar w:fldCharType="separate"/>
        </w:r>
        <w:r w:rsidR="00512D09" w:rsidRPr="00F04E2C">
          <w:rPr>
            <w:bCs/>
            <w:iCs/>
            <w:noProof/>
            <w:vertAlign w:val="superscript"/>
          </w:rPr>
          <w:t>21</w:t>
        </w:r>
        <w:r w:rsidR="00512D09" w:rsidRPr="00AC0E2A">
          <w:fldChar w:fldCharType="end"/>
        </w:r>
      </w:hyperlink>
      <w:r w:rsidRPr="00AC0E2A">
        <w:rPr>
          <w:bCs/>
          <w:iCs/>
        </w:rPr>
        <w:t xml:space="preserve"> However</w:t>
      </w:r>
      <w:r w:rsidR="00347677">
        <w:rPr>
          <w:bCs/>
          <w:iCs/>
        </w:rPr>
        <w:t>,</w:t>
      </w:r>
      <w:r w:rsidRPr="00AC0E2A">
        <w:rPr>
          <w:bCs/>
          <w:iCs/>
        </w:rPr>
        <w:t xml:space="preserve"> in line of increasing evidence of enthalpy paying a major or minor role in the hydrophobic effect</w:t>
      </w:r>
      <w:r w:rsidR="00347677">
        <w:rPr>
          <w:bCs/>
          <w:iCs/>
        </w:rPr>
        <w:t>,</w:t>
      </w:r>
      <w:r w:rsidRPr="00AC0E2A">
        <w:rPr>
          <w:bCs/>
          <w:iCs/>
        </w:rPr>
        <w:t xml:space="preserve"> these explanations are often too simplistic. In </w:t>
      </w:r>
      <w:r w:rsidR="00B85C83" w:rsidRPr="00AC0E2A">
        <w:rPr>
          <w:bCs/>
          <w:iCs/>
        </w:rPr>
        <w:t>fact,</w:t>
      </w:r>
      <w:r w:rsidRPr="00AC0E2A">
        <w:rPr>
          <w:bCs/>
          <w:iCs/>
        </w:rPr>
        <w:t xml:space="preserve"> it had been recognised by Frank and Evans who suggested that for water to be around apolar groups is entropically unfavourable, that the enthalpic contribution to this had been underestimated</w:t>
      </w:r>
      <w:r w:rsidR="006E158B">
        <w:rPr>
          <w:bCs/>
          <w:iCs/>
        </w:rPr>
        <w:t>.</w:t>
      </w:r>
      <w:r w:rsidRPr="00AC0E2A">
        <w:rPr>
          <w:bCs/>
          <w:iCs/>
        </w:rPr>
        <w:t xml:space="preserve"> </w:t>
      </w:r>
      <w:hyperlink w:anchor="_ENREF_22" w:tooltip="Mirejovsky, 1983 #274" w:history="1">
        <w:r w:rsidR="00512D09" w:rsidRPr="00AC0E2A">
          <w:rPr>
            <w:bCs/>
            <w:iCs/>
          </w:rPr>
          <w:fldChar w:fldCharType="begin"/>
        </w:r>
        <w:r w:rsidR="00512D09">
          <w:rPr>
            <w:bCs/>
            <w:iCs/>
          </w:rPr>
          <w:instrText xml:space="preserve"> ADDIN EN.CITE &lt;EndNote&gt;&lt;Cite&gt;&lt;Author&gt;Mirejovsky&lt;/Author&gt;&lt;Year&gt;1983&lt;/Year&gt;&lt;RecNum&gt;274&lt;/RecNum&gt;&lt;DisplayText&gt;&lt;style face="superscript"&gt;22&lt;/style&gt;&lt;/DisplayText&gt;&lt;record&gt;&lt;rec-number&gt;274&lt;/rec-number&gt;&lt;foreign-keys&gt;&lt;key app="EN" db-id="5trrespwzsdr07efd5tx2w96x22re9s0fsdt"&gt;274&lt;/key&gt;&lt;/foreign-keys&gt;&lt;ref-type name="Journal Article"&gt;17&lt;/ref-type&gt;&lt;contributors&gt;&lt;authors&gt;&lt;author&gt;Mirejovsky, Dorla&lt;/author&gt;&lt;author&gt;Arnett, Edward M.&lt;/author&gt;&lt;/authors&gt;&lt;/contributors&gt;&lt;titles&gt;&lt;title&gt;Heat capacities of solution for alcohols in polar solvents and the new view of hydrophobic effects&lt;/title&gt;&lt;secondary-title&gt;J Am Chem Soc&lt;/secondary-title&gt;&lt;/titles&gt;&lt;periodical&gt;&lt;full-title&gt;J Am Chem Soc&lt;/full-title&gt;&lt;abbr-1&gt;Journal of the American Chemical Society&lt;/abbr-1&gt;&lt;/periodical&gt;&lt;pages&gt;1112-1117&lt;/pages&gt;&lt;volume&gt;105&lt;/volume&gt;&lt;number&gt;5&lt;/number&gt;&lt;dates&gt;&lt;year&gt;1983&lt;/year&gt;&lt;pub-dates&gt;&lt;date&gt;1983/03/01&lt;/date&gt;&lt;/pub-dates&gt;&lt;/dates&gt;&lt;publisher&gt;American Chemical Society&lt;/publisher&gt;&lt;isbn&gt;0002-7863&lt;/isbn&gt;&lt;urls&gt;&lt;related-urls&gt;&lt;url&gt;http://dx.doi.org/10.1021/ja00343a007&lt;/url&gt;&lt;/related-urls&gt;&lt;/urls&gt;&lt;electronic-resource-num&gt;10.1021/ja00343a007&lt;/electronic-resource-num&gt;&lt;access-date&gt;2013/11/21&lt;/access-date&gt;&lt;/record&gt;&lt;/Cite&gt;&lt;/EndNote&gt;</w:instrText>
        </w:r>
        <w:r w:rsidR="00512D09" w:rsidRPr="00AC0E2A">
          <w:rPr>
            <w:bCs/>
            <w:iCs/>
          </w:rPr>
          <w:fldChar w:fldCharType="separate"/>
        </w:r>
        <w:r w:rsidR="00512D09" w:rsidRPr="00F04E2C">
          <w:rPr>
            <w:bCs/>
            <w:iCs/>
            <w:noProof/>
            <w:vertAlign w:val="superscript"/>
          </w:rPr>
          <w:t>22</w:t>
        </w:r>
        <w:r w:rsidR="00512D09" w:rsidRPr="00AC0E2A">
          <w:fldChar w:fldCharType="end"/>
        </w:r>
      </w:hyperlink>
      <w:r w:rsidRPr="00AC0E2A">
        <w:rPr>
          <w:bCs/>
          <w:iCs/>
        </w:rPr>
        <w:t xml:space="preserve">  </w:t>
      </w:r>
    </w:p>
    <w:p w:rsidR="00AC0E2A" w:rsidRPr="00AC0E2A" w:rsidRDefault="00AC0E2A" w:rsidP="004E7551">
      <w:pPr>
        <w:spacing w:line="480" w:lineRule="auto"/>
        <w:jc w:val="both"/>
        <w:rPr>
          <w:bCs/>
          <w:iCs/>
        </w:rPr>
      </w:pPr>
      <w:r w:rsidRPr="00AC0E2A">
        <w:rPr>
          <w:bCs/>
          <w:iCs/>
        </w:rPr>
        <w:t xml:space="preserve">In order to understand the hydrophobic effect on a molecular level, Klebe </w:t>
      </w:r>
      <w:r w:rsidRPr="00AC0E2A">
        <w:rPr>
          <w:bCs/>
          <w:i/>
          <w:iCs/>
        </w:rPr>
        <w:t>et al</w:t>
      </w:r>
      <w:r w:rsidR="002D4FF8">
        <w:rPr>
          <w:bCs/>
          <w:i/>
          <w:iCs/>
        </w:rPr>
        <w:t>.</w:t>
      </w:r>
      <w:r w:rsidRPr="00AC0E2A">
        <w:rPr>
          <w:bCs/>
          <w:iCs/>
        </w:rPr>
        <w:t xml:space="preserve"> analysed a high resolution binding pocket of the bacterial zinc metalloprotease from </w:t>
      </w:r>
      <w:r w:rsidR="00913ED6">
        <w:rPr>
          <w:bCs/>
          <w:i/>
          <w:iCs/>
        </w:rPr>
        <w:t>Bacillus thermoproteolyticus</w:t>
      </w:r>
      <w:r w:rsidR="006E158B">
        <w:rPr>
          <w:bCs/>
          <w:iCs/>
        </w:rPr>
        <w:t>.</w:t>
      </w:r>
      <w:hyperlink w:anchor="_ENREF_23" w:tooltip="Biela, 2013 #263" w:history="1">
        <w:r w:rsidR="00512D09" w:rsidRPr="00AC0E2A">
          <w:rPr>
            <w:bCs/>
            <w:iCs/>
          </w:rPr>
          <w:fldChar w:fldCharType="begin"/>
        </w:r>
        <w:r w:rsidR="00512D09">
          <w:rPr>
            <w:bCs/>
            <w:iCs/>
          </w:rPr>
          <w:instrText xml:space="preserve"> ADDIN EN.CITE &lt;EndNote&gt;&lt;Cite&gt;&lt;Author&gt;Biela&lt;/Author&gt;&lt;Year&gt;2013&lt;/Year&gt;&lt;RecNum&gt;263&lt;/RecNum&gt;&lt;DisplayText&gt;&lt;style face="superscript"&gt;23&lt;/style&gt;&lt;/DisplayText&gt;&lt;record&gt;&lt;rec-number&gt;263&lt;/rec-number&gt;&lt;foreign-keys&gt;&lt;key app="EN" db-id="5trrespwzsdr07efd5tx2w96x22re9s0fsdt"&gt;263&lt;/key&gt;&lt;/foreign-keys&gt;&lt;ref-type name="Journal Article"&gt;17&lt;/ref-type&gt;&lt;contributors&gt;&lt;authors&gt;&lt;author&gt;Biela, Adam&lt;/author&gt;&lt;author&gt;Nasief, Nader N.&lt;/author&gt;&lt;author&gt;Betz, Michael&lt;/author&gt;&lt;author&gt;Heine, Andreas&lt;/author&gt;&lt;author&gt;Hangauer, David&lt;/author&gt;&lt;author&gt;Klebe, Gerhard&lt;/author&gt;&lt;/authors&gt;&lt;/contributors&gt;&lt;titles&gt;&lt;title&gt;Dissecting the Hydrophobic Effect on the Molecular Level: The Role of Water, Enthalpy, and Entropy in Ligand Binding to Thermolysin&lt;/title&gt;&lt;secondary-title&gt;Angewandte Chemie International Edition&lt;/secondary-title&gt;&lt;/titles&gt;&lt;periodical&gt;&lt;full-title&gt;Angewandte Chemie International Edition&lt;/full-title&gt;&lt;/periodical&gt;&lt;pages&gt;1822-1828&lt;/pages&gt;&lt;volume&gt;52&lt;/volume&gt;&lt;number&gt;6&lt;/number&gt;&lt;keywords&gt;&lt;keyword&gt;crystal structure analysis&lt;/keyword&gt;&lt;keyword&gt;enthalpy–entropy compensation&lt;/keyword&gt;&lt;keyword&gt;hydrophobic effect&lt;/keyword&gt;&lt;keyword&gt;protein–ligand interactions&lt;/keyword&gt;&lt;keyword&gt;water solvation&lt;/keyword&gt;&lt;/keywords&gt;&lt;dates&gt;&lt;year&gt;2013&lt;/year&gt;&lt;/dates&gt;&lt;publisher&gt;WILEY-VCH Verlag&lt;/publisher&gt;&lt;isbn&gt;1521-3773&lt;/isbn&gt;&lt;urls&gt;&lt;related-urls&gt;&lt;url&gt;http://dx.doi.org/10.1002/anie.201208561&lt;/url&gt;&lt;/related-urls&gt;&lt;/urls&gt;&lt;electronic-resource-num&gt;10.1002/anie.201208561&lt;/electronic-resource-num&gt;&lt;/record&gt;&lt;/Cite&gt;&lt;/EndNote&gt;</w:instrText>
        </w:r>
        <w:r w:rsidR="00512D09" w:rsidRPr="00AC0E2A">
          <w:rPr>
            <w:bCs/>
            <w:iCs/>
          </w:rPr>
          <w:fldChar w:fldCharType="separate"/>
        </w:r>
        <w:r w:rsidR="00512D09" w:rsidRPr="00F04E2C">
          <w:rPr>
            <w:bCs/>
            <w:iCs/>
            <w:noProof/>
            <w:vertAlign w:val="superscript"/>
          </w:rPr>
          <w:t>23</w:t>
        </w:r>
        <w:r w:rsidR="00512D09" w:rsidRPr="00AC0E2A">
          <w:fldChar w:fldCharType="end"/>
        </w:r>
      </w:hyperlink>
      <w:r w:rsidRPr="00AC0E2A">
        <w:rPr>
          <w:bCs/>
          <w:iCs/>
        </w:rPr>
        <w:t xml:space="preserve"> Using a series of ligands Klebe </w:t>
      </w:r>
      <w:r w:rsidRPr="00AC0E2A">
        <w:rPr>
          <w:bCs/>
          <w:i/>
          <w:iCs/>
        </w:rPr>
        <w:t>et al</w:t>
      </w:r>
      <w:r w:rsidR="002D4FF8">
        <w:rPr>
          <w:bCs/>
          <w:i/>
          <w:iCs/>
        </w:rPr>
        <w:t>.</w:t>
      </w:r>
      <w:r w:rsidRPr="00AC0E2A">
        <w:rPr>
          <w:bCs/>
          <w:iCs/>
        </w:rPr>
        <w:t xml:space="preserve"> showed that the hydration network has a significant effect on structure-activity relationships displaying extreme enthalpy-entropy compensation </w:t>
      </w:r>
      <w:r w:rsidR="00664087">
        <w:rPr>
          <w:bCs/>
          <w:iCs/>
        </w:rPr>
        <w:t xml:space="preserve">with ligand amino acids of comparable sizes. </w:t>
      </w:r>
      <w:r w:rsidRPr="00AC0E2A">
        <w:rPr>
          <w:bCs/>
          <w:iCs/>
        </w:rPr>
        <w:t xml:space="preserve">Similar thermodynamic parameters were seen for amino acid side chain </w:t>
      </w:r>
      <w:r w:rsidR="00B85C83" w:rsidRPr="00AC0E2A">
        <w:rPr>
          <w:bCs/>
          <w:iCs/>
        </w:rPr>
        <w:t>pairs that</w:t>
      </w:r>
      <w:r w:rsidRPr="00AC0E2A">
        <w:rPr>
          <w:bCs/>
          <w:iCs/>
        </w:rPr>
        <w:t xml:space="preserve"> allowed for similar patterns of hydration in the complex. </w:t>
      </w:r>
    </w:p>
    <w:p w:rsidR="00AC0E2A" w:rsidRPr="00AC0E2A" w:rsidRDefault="00AC0E2A" w:rsidP="004E7551">
      <w:pPr>
        <w:spacing w:line="480" w:lineRule="auto"/>
        <w:jc w:val="both"/>
        <w:rPr>
          <w:bCs/>
          <w:iCs/>
        </w:rPr>
      </w:pPr>
      <w:r w:rsidRPr="00AC0E2A">
        <w:rPr>
          <w:bCs/>
          <w:iCs/>
        </w:rPr>
        <w:lastRenderedPageBreak/>
        <w:t xml:space="preserve">The </w:t>
      </w:r>
      <w:r w:rsidR="00913ED6" w:rsidRPr="00AC0E2A">
        <w:rPr>
          <w:bCs/>
          <w:iCs/>
        </w:rPr>
        <w:t xml:space="preserve">Mouse Urinary Protein </w:t>
      </w:r>
      <w:r w:rsidR="00913ED6">
        <w:rPr>
          <w:bCs/>
          <w:iCs/>
        </w:rPr>
        <w:t xml:space="preserve">I </w:t>
      </w:r>
      <w:r w:rsidRPr="00AC0E2A">
        <w:rPr>
          <w:bCs/>
          <w:iCs/>
        </w:rPr>
        <w:t>(MUP-I) has been used frequently to understand the thermodynamics between small molecules and this protein. The crystal structure MUP-I was determined by Böcskei and co-workers in 1991. An eight-stranded β-barrel and a single α-helix makes up the lipocalin fold with a hydrophobic cavity forming the interior of the barrel where small hydrophobic molecules can bind</w:t>
      </w:r>
      <w:r w:rsidR="006E158B">
        <w:rPr>
          <w:bCs/>
          <w:iCs/>
        </w:rPr>
        <w:t>.</w:t>
      </w:r>
      <w:r w:rsidRPr="00AC0E2A">
        <w:rPr>
          <w:bCs/>
          <w:iCs/>
        </w:rPr>
        <w:t xml:space="preserve"> </w:t>
      </w:r>
      <w:hyperlink w:anchor="_ENREF_24" w:tooltip="Böcskei, 1991 #281" w:history="1">
        <w:r w:rsidR="00512D09" w:rsidRPr="00AC0E2A">
          <w:rPr>
            <w:bCs/>
            <w:iCs/>
          </w:rPr>
          <w:fldChar w:fldCharType="begin"/>
        </w:r>
        <w:r w:rsidR="00512D09">
          <w:rPr>
            <w:bCs/>
            <w:iCs/>
          </w:rPr>
          <w:instrText xml:space="preserve"> ADDIN EN.CITE &lt;EndNote&gt;&lt;Cite&gt;&lt;Author&gt;Böcskei&lt;/Author&gt;&lt;Year&gt;1991&lt;/Year&gt;&lt;RecNum&gt;281&lt;/RecNum&gt;&lt;DisplayText&gt;&lt;style face="superscript"&gt;24&lt;/style&gt;&lt;/DisplayText&gt;&lt;record&gt;&lt;rec-number&gt;281&lt;/rec-number&gt;&lt;foreign-keys&gt;&lt;key app="EN" db-id="5trrespwzsdr07efd5tx2w96x22re9s0fsdt"&gt;281&lt;/key&gt;&lt;/foreign-keys&gt;&lt;ref-type name="Journal Article"&gt;17&lt;/ref-type&gt;&lt;contributors&gt;&lt;authors&gt;&lt;author&gt;Böcskei, Zs&lt;/author&gt;&lt;author&gt;Findlay, J. B. C.&lt;/author&gt;&lt;author&gt;North, A. C. T.&lt;/author&gt;&lt;author&gt;Phillips, S. E. V.&lt;/author&gt;&lt;author&gt;Somers, W. S.&lt;/author&gt;&lt;author&gt;Wright, C. E.&lt;/author&gt;&lt;author&gt;Lionetti, C.&lt;/author&gt;&lt;author&gt;Tirindelli, R.&lt;/author&gt;&lt;author&gt;Cavaggioni, A.&lt;/author&gt;&lt;/authors&gt;&lt;/contributors&gt;&lt;titles&gt;&lt;title&gt;Crystallization of and preliminary X-ray data for the mouse major urinary protein and rat α-2u globulin&lt;/title&gt;&lt;secondary-title&gt;Journal of Molecular Biology&lt;/secondary-title&gt;&lt;/titles&gt;&lt;periodical&gt;&lt;full-title&gt;Journal of Molecular Biology&lt;/full-title&gt;&lt;/periodical&gt;&lt;pages&gt;699-701&lt;/pages&gt;&lt;volume&gt;218&lt;/volume&gt;&lt;number&gt;4&lt;/number&gt;&lt;dates&gt;&lt;year&gt;1991&lt;/year&gt;&lt;/dates&gt;&lt;isbn&gt;0022-2836&lt;/isbn&gt;&lt;urls&gt;&lt;related-urls&gt;&lt;url&gt;http://www.sciencedirect.com/science/article/pii/0022283691902588&lt;/url&gt;&lt;/related-urls&gt;&lt;/urls&gt;&lt;electronic-resource-num&gt;http://dx.doi.org/10.1016/0022-2836(91)90258-8&lt;/electronic-resource-num&gt;&lt;/record&gt;&lt;/Cite&gt;&lt;/EndNote&gt;</w:instrText>
        </w:r>
        <w:r w:rsidR="00512D09" w:rsidRPr="00AC0E2A">
          <w:rPr>
            <w:bCs/>
            <w:iCs/>
          </w:rPr>
          <w:fldChar w:fldCharType="separate"/>
        </w:r>
        <w:r w:rsidR="00512D09" w:rsidRPr="00F04E2C">
          <w:rPr>
            <w:bCs/>
            <w:iCs/>
            <w:noProof/>
            <w:vertAlign w:val="superscript"/>
          </w:rPr>
          <w:t>24</w:t>
        </w:r>
        <w:r w:rsidR="00512D09" w:rsidRPr="00AC0E2A">
          <w:fldChar w:fldCharType="end"/>
        </w:r>
      </w:hyperlink>
      <w:r w:rsidRPr="00AC0E2A">
        <w:rPr>
          <w:bCs/>
          <w:iCs/>
        </w:rPr>
        <w:t xml:space="preserve"> This makes it an ideal model system to understand thermodynamic binding interactions specifically entropy contributions to binding affinity and specificity. </w:t>
      </w:r>
    </w:p>
    <w:p w:rsidR="00DD065D" w:rsidRDefault="00AC0E2A" w:rsidP="004E7551">
      <w:pPr>
        <w:spacing w:line="480" w:lineRule="auto"/>
        <w:jc w:val="both"/>
        <w:rPr>
          <w:bCs/>
          <w:iCs/>
        </w:rPr>
      </w:pPr>
      <w:r w:rsidRPr="00AC0E2A">
        <w:rPr>
          <w:bCs/>
          <w:iCs/>
        </w:rPr>
        <w:t>Using two pyrazine based ligands (</w:t>
      </w:r>
      <w:r w:rsidR="0075172E">
        <w:rPr>
          <w:bCs/>
          <w:iCs/>
        </w:rPr>
        <w:fldChar w:fldCharType="begin"/>
      </w:r>
      <w:r w:rsidR="00C91F17">
        <w:rPr>
          <w:bCs/>
          <w:iCs/>
        </w:rPr>
        <w:instrText xml:space="preserve"> REF _Ref442801488 \h </w:instrText>
      </w:r>
      <w:r w:rsidR="0075172E">
        <w:rPr>
          <w:bCs/>
          <w:iCs/>
        </w:rPr>
      </w:r>
      <w:r w:rsidR="0075172E">
        <w:rPr>
          <w:bCs/>
          <w:iCs/>
        </w:rPr>
        <w:fldChar w:fldCharType="separate"/>
      </w:r>
      <w:r w:rsidR="00CB4EDC">
        <w:t xml:space="preserve">Figure </w:t>
      </w:r>
      <w:r w:rsidR="00CB4EDC">
        <w:rPr>
          <w:noProof/>
        </w:rPr>
        <w:t>1</w:t>
      </w:r>
      <w:r w:rsidR="00CB4EDC">
        <w:t>.</w:t>
      </w:r>
      <w:r w:rsidR="00CB4EDC">
        <w:rPr>
          <w:noProof/>
        </w:rPr>
        <w:t>3</w:t>
      </w:r>
      <w:r w:rsidR="0075172E">
        <w:rPr>
          <w:bCs/>
          <w:iCs/>
        </w:rPr>
        <w:fldChar w:fldCharType="end"/>
      </w:r>
      <w:r w:rsidRPr="00AC0E2A">
        <w:rPr>
          <w:bCs/>
          <w:iCs/>
        </w:rPr>
        <w:t xml:space="preserve">) Bingham </w:t>
      </w:r>
      <w:r w:rsidR="002D4FF8">
        <w:rPr>
          <w:bCs/>
          <w:i/>
          <w:iCs/>
        </w:rPr>
        <w:t xml:space="preserve">et al. </w:t>
      </w:r>
      <w:r w:rsidRPr="00AC0E2A">
        <w:rPr>
          <w:bCs/>
          <w:i/>
          <w:iCs/>
        </w:rPr>
        <w:t xml:space="preserve"> </w:t>
      </w:r>
      <w:r w:rsidRPr="00AC0E2A">
        <w:rPr>
          <w:bCs/>
          <w:iCs/>
        </w:rPr>
        <w:t>showed through NMR that the protein backbone and side-chain residues in the location of the binding site were contributing unfavourably to the entropy of the binding reaction</w:t>
      </w:r>
      <w:r w:rsidR="00347677">
        <w:rPr>
          <w:bCs/>
          <w:iCs/>
        </w:rPr>
        <w:t>,</w:t>
      </w:r>
      <w:r w:rsidRPr="00AC0E2A">
        <w:rPr>
          <w:bCs/>
          <w:iCs/>
        </w:rPr>
        <w:t xml:space="preserve"> but this was counterbalanced by other residues distal from the binding pocket becoming more mobile</w:t>
      </w:r>
      <w:r w:rsidR="006E158B">
        <w:rPr>
          <w:bCs/>
          <w:iCs/>
        </w:rPr>
        <w:t>.</w:t>
      </w:r>
      <w:hyperlink w:anchor="_ENREF_25" w:tooltip="Bingham, 2004 #277" w:history="1">
        <w:r w:rsidR="00512D09" w:rsidRPr="00AC0E2A">
          <w:rPr>
            <w:bCs/>
            <w:iCs/>
          </w:rPr>
          <w:fldChar w:fldCharType="begin"/>
        </w:r>
        <w:r w:rsidR="00512D09">
          <w:rPr>
            <w:bCs/>
            <w:iCs/>
          </w:rPr>
          <w:instrText xml:space="preserve"> ADDIN EN.CITE &lt;EndNote&gt;&lt;Cite&gt;&lt;Author&gt;Bingham&lt;/Author&gt;&lt;Year&gt;2004&lt;/Year&gt;&lt;RecNum&gt;277&lt;/RecNum&gt;&lt;DisplayText&gt;&lt;style face="superscript"&gt;25&lt;/style&gt;&lt;/DisplayText&gt;&lt;record&gt;&lt;rec-number&gt;277&lt;/rec-number&gt;&lt;foreign-keys&gt;&lt;key app="EN" db-id="5trrespwzsdr07efd5tx2w96x22re9s0fsdt"&gt;277&lt;/key&gt;&lt;/foreign-keys&gt;&lt;ref-type name="Journal Article"&gt;17&lt;/ref-type&gt;&lt;contributors&gt;&lt;authors&gt;&lt;author&gt;Bingham, Richard J.&lt;/author&gt;&lt;author&gt;Findlay, John B. C.&lt;/author&gt;&lt;author&gt;Hsieh, Shih-Yang&lt;/author&gt;&lt;author&gt;Kalverda, Arnout P.&lt;/author&gt;&lt;author&gt;Kjellberg, Alexandra&lt;/author&gt;&lt;author&gt;Perazzolo, Chiara&lt;/author&gt;&lt;author&gt;Phillips, Simon E. V.&lt;/author&gt;&lt;author&gt;Seshadri, Kothandaraman&lt;/author&gt;&lt;author&gt;Trinh, Chi H.&lt;/author&gt;&lt;author&gt;Turnbull, W. Bruce&lt;/author&gt;&lt;author&gt;Bodenhausen, Geoffrey&lt;/author&gt;&lt;author&gt;Homans, Steve W.&lt;/author&gt;&lt;/authors&gt;&lt;/contributors&gt;&lt;titles&gt;&lt;title&gt;Thermodynamics of Binding of 2-Methoxy-3-isopropylpyrazine and 2-Methoxy-3-isobutylpyrazine to the Major Urinary Protein&lt;/title&gt;&lt;secondary-title&gt;J Am Chem Soc&lt;/secondary-title&gt;&lt;/titles&gt;&lt;periodical&gt;&lt;full-title&gt;J Am Chem Soc&lt;/full-title&gt;&lt;abbr-1&gt;Journal of the American Chemical Society&lt;/abbr-1&gt;&lt;/periodical&gt;&lt;pages&gt;1675-1681&lt;/pages&gt;&lt;volume&gt;126&lt;/volume&gt;&lt;number&gt;6&lt;/number&gt;&lt;dates&gt;&lt;year&gt;2004&lt;/year&gt;&lt;pub-dates&gt;&lt;date&gt;2004/02/01&lt;/date&gt;&lt;/pub-dates&gt;&lt;/dates&gt;&lt;publisher&gt;American Chemical Society&lt;/publisher&gt;&lt;isbn&gt;0002-7863&lt;/isbn&gt;&lt;urls&gt;&lt;related-urls&gt;&lt;url&gt;http://dx.doi.org/10.1021/ja038461i&lt;/url&gt;&lt;/related-urls&gt;&lt;/urls&gt;&lt;electronic-resource-num&gt;10.1021/ja038461i&lt;/electronic-resource-num&gt;&lt;access-date&gt;2013/11/22&lt;/access-date&gt;&lt;/record&gt;&lt;/Cite&gt;&lt;/EndNote&gt;</w:instrText>
        </w:r>
        <w:r w:rsidR="00512D09" w:rsidRPr="00AC0E2A">
          <w:rPr>
            <w:bCs/>
            <w:iCs/>
          </w:rPr>
          <w:fldChar w:fldCharType="separate"/>
        </w:r>
        <w:r w:rsidR="00512D09" w:rsidRPr="00F04E2C">
          <w:rPr>
            <w:bCs/>
            <w:iCs/>
            <w:noProof/>
            <w:vertAlign w:val="superscript"/>
          </w:rPr>
          <w:t>25</w:t>
        </w:r>
        <w:r w:rsidR="00512D09" w:rsidRPr="00AC0E2A">
          <w:fldChar w:fldCharType="end"/>
        </w:r>
      </w:hyperlink>
      <w:r w:rsidRPr="00AC0E2A">
        <w:rPr>
          <w:bCs/>
          <w:iCs/>
        </w:rPr>
        <w:t xml:space="preserve"> Despite the </w:t>
      </w:r>
      <w:r w:rsidR="00664087" w:rsidRPr="00AC0E2A">
        <w:rPr>
          <w:bCs/>
          <w:iCs/>
        </w:rPr>
        <w:t>pyrazine</w:t>
      </w:r>
      <w:r w:rsidRPr="00AC0E2A">
        <w:rPr>
          <w:bCs/>
          <w:iCs/>
        </w:rPr>
        <w:t xml:space="preserve"> ligands being hydrophobic, the principal driving force behind</w:t>
      </w:r>
      <w:r w:rsidR="00347677">
        <w:rPr>
          <w:bCs/>
          <w:iCs/>
        </w:rPr>
        <w:t xml:space="preserve"> the reaction derived from </w:t>
      </w:r>
      <w:r w:rsidR="006A684B">
        <w:rPr>
          <w:bCs/>
          <w:iCs/>
        </w:rPr>
        <w:t>isothermal titration c</w:t>
      </w:r>
      <w:r w:rsidR="006A684B" w:rsidRPr="00AC0E2A">
        <w:rPr>
          <w:bCs/>
          <w:iCs/>
        </w:rPr>
        <w:t xml:space="preserve">alorimetry </w:t>
      </w:r>
      <w:r w:rsidRPr="00AC0E2A">
        <w:rPr>
          <w:bCs/>
          <w:iCs/>
        </w:rPr>
        <w:t>(ITC) was a favourable enthalpic contribution with 2-methoxy-3-isopropylpyrazine (IPMP) and 2-methoxy-3-isobutylpyrazine (IBMP) being -44.54 kJ/mol</w:t>
      </w:r>
      <w:r w:rsidRPr="00AC0E2A">
        <w:rPr>
          <w:bCs/>
          <w:iCs/>
          <w:vertAlign w:val="superscript"/>
        </w:rPr>
        <w:t xml:space="preserve"> </w:t>
      </w:r>
      <w:r w:rsidRPr="00AC0E2A">
        <w:rPr>
          <w:bCs/>
          <w:iCs/>
        </w:rPr>
        <w:t>and -47.89 kJ/mol</w:t>
      </w:r>
      <w:r w:rsidR="00F22190">
        <w:rPr>
          <w:bCs/>
          <w:iCs/>
          <w:vertAlign w:val="superscript"/>
        </w:rPr>
        <w:t xml:space="preserve"> </w:t>
      </w:r>
      <w:r w:rsidRPr="00AC0E2A">
        <w:rPr>
          <w:bCs/>
          <w:iCs/>
        </w:rPr>
        <w:t>respectively (</w:t>
      </w:r>
      <w:r w:rsidR="00040F10">
        <w:fldChar w:fldCharType="begin"/>
      </w:r>
      <w:r w:rsidR="00040F10">
        <w:instrText xml:space="preserve"> REF _Ref442801704 \h  \* MERGEFORMAT </w:instrText>
      </w:r>
      <w:r w:rsidR="00040F10">
        <w:fldChar w:fldCharType="separate"/>
      </w:r>
      <w:r w:rsidR="00CB4EDC" w:rsidRPr="00CB4EDC">
        <w:rPr>
          <w:bCs/>
          <w:color w:val="000000" w:themeColor="text1"/>
        </w:rPr>
        <w:t xml:space="preserve">Table </w:t>
      </w:r>
      <w:r w:rsidR="00CB4EDC" w:rsidRPr="00CB4EDC">
        <w:rPr>
          <w:bCs/>
          <w:noProof/>
          <w:color w:val="000000" w:themeColor="text1"/>
        </w:rPr>
        <w:t>1.2</w:t>
      </w:r>
      <w:r w:rsidR="00040F10">
        <w:fldChar w:fldCharType="end"/>
      </w:r>
      <w:r w:rsidRPr="006E158B">
        <w:rPr>
          <w:bCs/>
          <w:iCs/>
        </w:rPr>
        <w:t>).</w:t>
      </w:r>
      <w:r w:rsidRPr="00AC0E2A">
        <w:rPr>
          <w:bCs/>
          <w:iCs/>
        </w:rPr>
        <w:t xml:space="preserve"> </w:t>
      </w:r>
      <w:r w:rsidR="00371FAE">
        <w:rPr>
          <w:bCs/>
          <w:iCs/>
        </w:rPr>
        <w:t>NMR and MDS showed that t</w:t>
      </w:r>
      <w:r w:rsidRPr="00AC0E2A">
        <w:rPr>
          <w:bCs/>
          <w:iCs/>
        </w:rPr>
        <w:t xml:space="preserve">he entropic </w:t>
      </w:r>
      <w:r w:rsidR="00371FAE">
        <w:rPr>
          <w:bCs/>
          <w:iCs/>
        </w:rPr>
        <w:t>penalty of -10 kJ/</w:t>
      </w:r>
      <w:r w:rsidR="00371FAE" w:rsidRPr="00AC0E2A">
        <w:rPr>
          <w:bCs/>
          <w:iCs/>
        </w:rPr>
        <w:t>mol</w:t>
      </w:r>
      <w:r w:rsidR="00371FAE" w:rsidRPr="00AC0E2A">
        <w:rPr>
          <w:bCs/>
          <w:iCs/>
          <w:vertAlign w:val="superscript"/>
        </w:rPr>
        <w:t xml:space="preserve"> </w:t>
      </w:r>
      <w:r w:rsidR="00E1017D">
        <w:rPr>
          <w:bCs/>
          <w:iCs/>
        </w:rPr>
        <w:t>arose from the ligand l</w:t>
      </w:r>
      <w:r w:rsidR="00371FAE">
        <w:rPr>
          <w:bCs/>
          <w:iCs/>
        </w:rPr>
        <w:t>osing flexibility rather than the amino acids in the binding pocket</w:t>
      </w:r>
      <w:r w:rsidRPr="00AC0E2A">
        <w:rPr>
          <w:bCs/>
          <w:iCs/>
        </w:rPr>
        <w:t>. The authors concluded the source of the favourable enthalpy was primarily through enthalpic effects associated with desolvation of the binding pocket since there is only one strong bond for both ligands</w:t>
      </w:r>
      <w:r w:rsidR="00E1017D">
        <w:rPr>
          <w:bCs/>
          <w:iCs/>
        </w:rPr>
        <w:t>,</w:t>
      </w:r>
      <w:r w:rsidRPr="00AC0E2A">
        <w:rPr>
          <w:bCs/>
          <w:iCs/>
        </w:rPr>
        <w:t xml:space="preserve"> which can </w:t>
      </w:r>
      <w:r w:rsidR="00CE494B">
        <w:rPr>
          <w:bCs/>
          <w:iCs/>
        </w:rPr>
        <w:t xml:space="preserve">be </w:t>
      </w:r>
      <w:r w:rsidRPr="00AC0E2A">
        <w:rPr>
          <w:bCs/>
          <w:iCs/>
        </w:rPr>
        <w:t>seen from the X-ray structures. However</w:t>
      </w:r>
      <w:r w:rsidR="00CE494B">
        <w:rPr>
          <w:bCs/>
          <w:iCs/>
        </w:rPr>
        <w:t>,</w:t>
      </w:r>
      <w:r w:rsidRPr="00AC0E2A">
        <w:rPr>
          <w:bCs/>
          <w:iCs/>
        </w:rPr>
        <w:t xml:space="preserve"> since no X-ray structures exist with the protein showing these water molecules</w:t>
      </w:r>
      <w:r w:rsidR="00CE494B">
        <w:rPr>
          <w:bCs/>
          <w:iCs/>
        </w:rPr>
        <w:t>,</w:t>
      </w:r>
      <w:r w:rsidRPr="00AC0E2A">
        <w:rPr>
          <w:bCs/>
          <w:iCs/>
        </w:rPr>
        <w:t xml:space="preserve"> the authors suggested this based on a molecular modelling programme called PRO-ACT which approximated a maximum of six water molecules being transferred to the bulk upon ligand binding. </w:t>
      </w:r>
    </w:p>
    <w:p w:rsidR="00AC0E2A" w:rsidRPr="00AC0E2A" w:rsidRDefault="00AC0E2A" w:rsidP="001D0B51">
      <w:pPr>
        <w:spacing w:line="480" w:lineRule="auto"/>
        <w:rPr>
          <w:bCs/>
          <w:iCs/>
        </w:rPr>
      </w:pPr>
      <w:r w:rsidRPr="00AC0E2A">
        <w:rPr>
          <w:bCs/>
          <w:iCs/>
          <w:noProof/>
          <w:lang w:eastAsia="en-GB"/>
        </w:rPr>
        <w:lastRenderedPageBreak/>
        <w:drawing>
          <wp:anchor distT="0" distB="0" distL="114300" distR="114300" simplePos="0" relativeHeight="251659264" behindDoc="1" locked="0" layoutInCell="1" allowOverlap="1" wp14:anchorId="0B89C54E" wp14:editId="3F62F111">
            <wp:simplePos x="0" y="0"/>
            <wp:positionH relativeFrom="column">
              <wp:posOffset>2638806</wp:posOffset>
            </wp:positionH>
            <wp:positionV relativeFrom="paragraph">
              <wp:posOffset>101549</wp:posOffset>
            </wp:positionV>
            <wp:extent cx="2316734" cy="1872691"/>
            <wp:effectExtent l="19050" t="0" r="7366"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l="19008"/>
                    <a:stretch>
                      <a:fillRect/>
                    </a:stretch>
                  </pic:blipFill>
                  <pic:spPr bwMode="auto">
                    <a:xfrm>
                      <a:off x="0" y="0"/>
                      <a:ext cx="2316734" cy="1872691"/>
                    </a:xfrm>
                    <a:prstGeom prst="rect">
                      <a:avLst/>
                    </a:prstGeom>
                    <a:noFill/>
                    <a:ln>
                      <a:noFill/>
                    </a:ln>
                  </pic:spPr>
                </pic:pic>
              </a:graphicData>
            </a:graphic>
          </wp:anchor>
        </w:drawing>
      </w:r>
      <w:r w:rsidRPr="00AC0E2A">
        <w:rPr>
          <w:bCs/>
          <w:iCs/>
          <w:noProof/>
          <w:lang w:eastAsia="en-GB"/>
        </w:rPr>
        <w:drawing>
          <wp:inline distT="0" distB="0" distL="0" distR="0" wp14:anchorId="51C6E7B3" wp14:editId="56B3A5A7">
            <wp:extent cx="2124075" cy="16668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2124075" cy="1666875"/>
                    </a:xfrm>
                    <a:prstGeom prst="rect">
                      <a:avLst/>
                    </a:prstGeom>
                    <a:noFill/>
                    <a:ln>
                      <a:noFill/>
                    </a:ln>
                  </pic:spPr>
                </pic:pic>
              </a:graphicData>
            </a:graphic>
          </wp:inline>
        </w:drawing>
      </w:r>
    </w:p>
    <w:p w:rsidR="00AC0E2A" w:rsidRPr="00AC0E2A" w:rsidRDefault="008339ED" w:rsidP="001D0B51">
      <w:pPr>
        <w:pStyle w:val="Caption"/>
        <w:spacing w:line="480" w:lineRule="auto"/>
        <w:jc w:val="center"/>
        <w:rPr>
          <w:bCs w:val="0"/>
          <w:iCs/>
        </w:rPr>
      </w:pPr>
      <w:bookmarkStart w:id="16" w:name="_Ref442801488"/>
      <w:r>
        <w:t xml:space="preserve">Figure </w:t>
      </w:r>
      <w:r w:rsidR="0075172E">
        <w:fldChar w:fldCharType="begin"/>
      </w:r>
      <w:r w:rsidR="00AC2227">
        <w:instrText xml:space="preserve"> STYLEREF 1 \s </w:instrText>
      </w:r>
      <w:r w:rsidR="0075172E">
        <w:fldChar w:fldCharType="separate"/>
      </w:r>
      <w:r w:rsidR="00CB4EDC">
        <w:rPr>
          <w:noProof/>
        </w:rPr>
        <w:t>1</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3</w:t>
      </w:r>
      <w:r w:rsidR="0075172E">
        <w:fldChar w:fldCharType="end"/>
      </w:r>
      <w:bookmarkEnd w:id="16"/>
      <w:r>
        <w:t xml:space="preserve">: </w:t>
      </w:r>
      <w:r w:rsidRPr="008339ED">
        <w:rPr>
          <w:iCs/>
        </w:rPr>
        <w:t>2-methoxy-3-isopropylpyrazine (IPMP) on the right and 2-methoxy-3-isobutylpyrazine (IBMP) on the left are the two ligands used by Homans to show that despite being largely hydrophobic, binding reactions can be largely enthalpy driven.</w:t>
      </w:r>
    </w:p>
    <w:p w:rsidR="00AC0E2A" w:rsidRPr="00AC0E2A" w:rsidRDefault="00AC0E2A" w:rsidP="004E7551">
      <w:pPr>
        <w:spacing w:line="480" w:lineRule="auto"/>
        <w:jc w:val="both"/>
        <w:rPr>
          <w:bCs/>
          <w:iCs/>
        </w:rPr>
      </w:pPr>
      <w:r w:rsidRPr="00AC0E2A">
        <w:rPr>
          <w:bCs/>
          <w:iCs/>
        </w:rPr>
        <w:t>To see how much this strong bond contributed to the enthalpy of binding, site directed mutagenesis was used on Tyr120</w:t>
      </w:r>
      <w:r w:rsidR="00371FAE">
        <w:rPr>
          <w:bCs/>
          <w:iCs/>
        </w:rPr>
        <w:t xml:space="preserve"> </w:t>
      </w:r>
      <w:r w:rsidRPr="00AC0E2A">
        <w:rPr>
          <w:bCs/>
          <w:iCs/>
        </w:rPr>
        <w:t>which reduced the enthalpy of binding by 24%. However, the binding reaction was still largely enthalpy driven (</w:t>
      </w:r>
      <w:r w:rsidR="00040F10">
        <w:fldChar w:fldCharType="begin"/>
      </w:r>
      <w:r w:rsidR="00040F10">
        <w:instrText xml:space="preserve"> REF _Ref442801704 \h  \* MERGEFORMAT </w:instrText>
      </w:r>
      <w:r w:rsidR="00040F10">
        <w:fldChar w:fldCharType="separate"/>
      </w:r>
      <w:r w:rsidR="00CB4EDC" w:rsidRPr="00CB4EDC">
        <w:rPr>
          <w:bCs/>
          <w:color w:val="000000" w:themeColor="text1"/>
        </w:rPr>
        <w:t xml:space="preserve">Table </w:t>
      </w:r>
      <w:r w:rsidR="00CB4EDC" w:rsidRPr="00CB4EDC">
        <w:rPr>
          <w:bCs/>
          <w:noProof/>
          <w:color w:val="000000" w:themeColor="text1"/>
        </w:rPr>
        <w:t>1.2</w:t>
      </w:r>
      <w:r w:rsidR="00040F10">
        <w:fldChar w:fldCharType="end"/>
      </w:r>
      <w:r w:rsidRPr="00AC0E2A">
        <w:rPr>
          <w:bCs/>
          <w:iCs/>
        </w:rPr>
        <w:t>)</w:t>
      </w:r>
      <w:r w:rsidR="006E158B">
        <w:rPr>
          <w:bCs/>
          <w:iCs/>
        </w:rPr>
        <w:t>.</w:t>
      </w:r>
      <w:r w:rsidRPr="00AC0E2A">
        <w:rPr>
          <w:bCs/>
          <w:iCs/>
        </w:rPr>
        <w:t xml:space="preserve"> </w:t>
      </w:r>
      <w:hyperlink w:anchor="_ENREF_26" w:tooltip="Barratt, 2005 #278" w:history="1">
        <w:r w:rsidR="00512D09" w:rsidRPr="00AC0E2A">
          <w:rPr>
            <w:bCs/>
            <w:iCs/>
          </w:rPr>
          <w:fldChar w:fldCharType="begin"/>
        </w:r>
        <w:r w:rsidR="00512D09">
          <w:rPr>
            <w:bCs/>
            <w:iCs/>
          </w:rPr>
          <w:instrText xml:space="preserve"> ADDIN EN.CITE &lt;EndNote&gt;&lt;Cite&gt;&lt;Author&gt;Barratt&lt;/Author&gt;&lt;Year&gt;2005&lt;/Year&gt;&lt;RecNum&gt;278&lt;/RecNum&gt;&lt;DisplayText&gt;&lt;style face="superscript"&gt;26&lt;/style&gt;&lt;/DisplayText&gt;&lt;record&gt;&lt;rec-number&gt;278&lt;/rec-number&gt;&lt;foreign-keys&gt;&lt;key app="EN" db-id="5trrespwzsdr07efd5tx2w96x22re9s0fsdt"&gt;278&lt;/key&gt;&lt;/foreign-keys&gt;&lt;ref-type name="Journal Article"&gt;17&lt;/ref-type&gt;&lt;contributors&gt;&lt;authors&gt;&lt;author&gt;Barratt, Elizabeth&lt;/author&gt;&lt;author&gt;Bingham, Richard J.&lt;/author&gt;&lt;author&gt;Warner, Daniel J.&lt;/author&gt;&lt;author&gt;Laughton, Charles A.&lt;/author&gt;&lt;author&gt;Phillips, Simon E. V.&lt;/author&gt;&lt;author&gt;Homans, Steve W.&lt;/author&gt;&lt;/authors&gt;&lt;/contributors&gt;&lt;titles&gt;&lt;title&gt;Van der Waals Interactions Dominate Ligand−Protein Association in a Protein Binding Site Occluded from Solvent Water&lt;/title&gt;&lt;secondary-title&gt;J Am Chem Soc&lt;/secondary-title&gt;&lt;/titles&gt;&lt;periodical&gt;&lt;full-title&gt;J Am Chem Soc&lt;/full-title&gt;&lt;abbr-1&gt;Journal of the American Chemical Society&lt;/abbr-1&gt;&lt;/periodical&gt;&lt;pages&gt;11827-11834&lt;/pages&gt;&lt;volume&gt;127&lt;/volume&gt;&lt;number&gt;33&lt;/number&gt;&lt;dates&gt;&lt;year&gt;2005&lt;/year&gt;&lt;pub-dates&gt;&lt;date&gt;2005/08/01&lt;/date&gt;&lt;/pub-dates&gt;&lt;/dates&gt;&lt;publisher&gt;American Chemical Society&lt;/publisher&gt;&lt;isbn&gt;0002-7863&lt;/isbn&gt;&lt;urls&gt;&lt;related-urls&gt;&lt;url&gt;http://dx.doi.org/10.1021/ja0527525&lt;/url&gt;&lt;/related-urls&gt;&lt;/urls&gt;&lt;electronic-resource-num&gt;10.1021/ja0527525&lt;/electronic-resource-num&gt;&lt;access-date&gt;2013/11/22&lt;/access-date&gt;&lt;/record&gt;&lt;/Cite&gt;&lt;/EndNote&gt;</w:instrText>
        </w:r>
        <w:r w:rsidR="00512D09" w:rsidRPr="00AC0E2A">
          <w:rPr>
            <w:bCs/>
            <w:iCs/>
          </w:rPr>
          <w:fldChar w:fldCharType="separate"/>
        </w:r>
        <w:r w:rsidR="00512D09" w:rsidRPr="00F04E2C">
          <w:rPr>
            <w:bCs/>
            <w:iCs/>
            <w:noProof/>
            <w:vertAlign w:val="superscript"/>
          </w:rPr>
          <w:t>26</w:t>
        </w:r>
        <w:r w:rsidR="00512D09" w:rsidRPr="00AC0E2A">
          <w:fldChar w:fldCharType="end"/>
        </w:r>
      </w:hyperlink>
      <w:r w:rsidR="006E158B">
        <w:rPr>
          <w:bCs/>
          <w:iCs/>
        </w:rPr>
        <w:t xml:space="preserve"> </w:t>
      </w:r>
      <w:r w:rsidRPr="00AC0E2A">
        <w:rPr>
          <w:bCs/>
          <w:iCs/>
        </w:rPr>
        <w:t xml:space="preserve"> </w:t>
      </w:r>
      <w:r w:rsidR="006E158B">
        <w:rPr>
          <w:bCs/>
          <w:iCs/>
        </w:rPr>
        <w:t>S</w:t>
      </w:r>
      <w:r w:rsidRPr="00AC0E2A">
        <w:rPr>
          <w:bCs/>
          <w:iCs/>
        </w:rPr>
        <w:t>olvent contribution upon ligand binding was found to be negligible based on substituting the solvent with D</w:t>
      </w:r>
      <w:r w:rsidRPr="00AC0E2A">
        <w:rPr>
          <w:bCs/>
          <w:iCs/>
          <w:vertAlign w:val="subscript"/>
        </w:rPr>
        <w:t>2</w:t>
      </w:r>
      <w:r w:rsidRPr="00AC0E2A">
        <w:rPr>
          <w:bCs/>
          <w:iCs/>
        </w:rPr>
        <w:t xml:space="preserve">O meaning desolvation is essentially enthalpically neutral. </w:t>
      </w:r>
      <w:r w:rsidRPr="00AC0E2A">
        <w:rPr>
          <w:bCs/>
        </w:rPr>
        <w:t xml:space="preserve">However, the authors stipulate this approach is vulnerable to significant error. Molecular modelling of the binding site identified 3 and 4 water molecules for the </w:t>
      </w:r>
      <w:r w:rsidR="00347677">
        <w:rPr>
          <w:bCs/>
        </w:rPr>
        <w:t>wild type (</w:t>
      </w:r>
      <w:r w:rsidRPr="00AC0E2A">
        <w:rPr>
          <w:bCs/>
        </w:rPr>
        <w:t>WT</w:t>
      </w:r>
      <w:r w:rsidR="00347677">
        <w:rPr>
          <w:bCs/>
        </w:rPr>
        <w:t>)</w:t>
      </w:r>
      <w:r w:rsidRPr="00AC0E2A">
        <w:rPr>
          <w:bCs/>
        </w:rPr>
        <w:t xml:space="preserve"> and the </w:t>
      </w:r>
      <w:r w:rsidR="00F31BC5">
        <w:rPr>
          <w:bCs/>
        </w:rPr>
        <w:t>Tyr120</w:t>
      </w:r>
      <w:r w:rsidR="00371FAE">
        <w:rPr>
          <w:bCs/>
        </w:rPr>
        <w:t>Phe</w:t>
      </w:r>
      <w:r w:rsidR="00F31BC5">
        <w:rPr>
          <w:bCs/>
        </w:rPr>
        <w:t xml:space="preserve"> variant</w:t>
      </w:r>
      <w:r w:rsidRPr="00AC0E2A">
        <w:rPr>
          <w:bCs/>
        </w:rPr>
        <w:t xml:space="preserve"> respectively. Based on this</w:t>
      </w:r>
      <w:r w:rsidR="00CE494B">
        <w:rPr>
          <w:bCs/>
        </w:rPr>
        <w:t>,</w:t>
      </w:r>
      <w:r w:rsidRPr="00AC0E2A">
        <w:rPr>
          <w:bCs/>
        </w:rPr>
        <w:t xml:space="preserve"> it was assumed breaking the solvent-ligand bonds counteracted the favourable contribution to enthalpy from protein desolvation which means the ent</w:t>
      </w:r>
      <w:r w:rsidR="006E158B">
        <w:rPr>
          <w:bCs/>
        </w:rPr>
        <w:t>halpic gains from van der Waals’</w:t>
      </w:r>
      <w:r w:rsidRPr="00AC0E2A">
        <w:rPr>
          <w:bCs/>
        </w:rPr>
        <w:t xml:space="preserve"> interactions between the ligand and the protein are larger than expected in poorly solvated binding pockets.  </w:t>
      </w:r>
    </w:p>
    <w:p w:rsidR="00AC0E2A" w:rsidRPr="00AC0E2A" w:rsidRDefault="00AC0E2A" w:rsidP="004E7551">
      <w:pPr>
        <w:spacing w:line="480" w:lineRule="auto"/>
        <w:jc w:val="both"/>
        <w:rPr>
          <w:bCs/>
          <w:iCs/>
        </w:rPr>
      </w:pPr>
      <w:r w:rsidRPr="00AC0E2A">
        <w:rPr>
          <w:bCs/>
        </w:rPr>
        <w:t xml:space="preserve">Another class of lipocalin proteins </w:t>
      </w:r>
      <w:r w:rsidR="00F31BC5">
        <w:rPr>
          <w:bCs/>
        </w:rPr>
        <w:t>are</w:t>
      </w:r>
      <w:r w:rsidRPr="00AC0E2A">
        <w:rPr>
          <w:bCs/>
        </w:rPr>
        <w:t xml:space="preserve"> the histamine binding protein from </w:t>
      </w:r>
      <w:r w:rsidRPr="00AC0E2A">
        <w:rPr>
          <w:bCs/>
          <w:i/>
          <w:iCs/>
        </w:rPr>
        <w:t>Rhipicephalus appendiculatus</w:t>
      </w:r>
      <w:r w:rsidRPr="00AC0E2A">
        <w:rPr>
          <w:bCs/>
          <w:iCs/>
        </w:rPr>
        <w:t>. This aptly named “hydrophilic binder” can be compared to the structurally related mouse urinary protein, a so-called “hydrophobic binder.” Despite this being a good model system, a mutant had to be engineered to abolish binding at one site reducing the binding stoichiometry to 1</w:t>
      </w:r>
      <w:r w:rsidR="006E158B">
        <w:rPr>
          <w:bCs/>
          <w:iCs/>
        </w:rPr>
        <w:t>.</w:t>
      </w:r>
      <w:r w:rsidRPr="00AC0E2A">
        <w:rPr>
          <w:bCs/>
          <w:iCs/>
        </w:rPr>
        <w:t xml:space="preserve"> </w:t>
      </w:r>
      <w:hyperlink w:anchor="_ENREF_27" w:tooltip="Syme, 2010 #276" w:history="1">
        <w:r w:rsidR="00512D09" w:rsidRPr="00AC0E2A">
          <w:rPr>
            <w:bCs/>
            <w:iCs/>
          </w:rPr>
          <w:fldChar w:fldCharType="begin"/>
        </w:r>
        <w:r w:rsidR="00512D09">
          <w:rPr>
            <w:bCs/>
            <w:iCs/>
          </w:rPr>
          <w:instrText xml:space="preserve"> ADDIN EN.CITE &lt;EndNote&gt;&lt;Cite&gt;&lt;Author&gt;Syme&lt;/Author&gt;&lt;Year&gt;2010&lt;/Year&gt;&lt;RecNum&gt;276&lt;/RecNum&gt;&lt;DisplayText&gt;&lt;style face="superscript"&gt;27&lt;/style&gt;&lt;/DisplayText&gt;&lt;record&gt;&lt;rec-number&gt;276&lt;/rec-number&gt;&lt;foreign-keys&gt;&lt;key app="EN" db-id="5trrespwzsdr07efd5tx2w96x22re9s0fsdt"&gt;276&lt;/key&gt;&lt;/foreign-keys&gt;&lt;ref-type name="Journal Article"&gt;17&lt;/ref-type&gt;&lt;contributors&gt;&lt;authors&gt;&lt;author&gt;Syme, Neil R.&lt;/author&gt;&lt;author&gt;Dennis, Caitriona&lt;/author&gt;&lt;author&gt;Bronowska, Agnieszka&lt;/author&gt;&lt;author&gt;Paesen, Guido C.&lt;/author&gt;&lt;author&gt;Homans, Steve W.&lt;/author&gt;&lt;/authors&gt;&lt;/contributors&gt;&lt;titles&gt;&lt;title&gt;Comparison of Entropic Contributions to Binding in a “Hydrophilic” versus “Hydrophobic” Ligand−Protein Interaction&lt;/title&gt;&lt;secondary-title&gt;J Am Chem Soc&lt;/secondary-title&gt;&lt;/titles&gt;&lt;periodical&gt;&lt;full-title&gt;J Am Chem Soc&lt;/full-title&gt;&lt;abbr-1&gt;Journal of the American Chemical Society&lt;/abbr-1&gt;&lt;/periodical&gt;&lt;pages&gt;8682-8689&lt;/pages&gt;&lt;volume&gt;132&lt;/volume&gt;&lt;number&gt;25&lt;/number&gt;&lt;dates&gt;&lt;year&gt;2010&lt;/year&gt;&lt;pub-dates&gt;&lt;date&gt;2010/06/30&lt;/date&gt;&lt;/pub-dates&gt;&lt;/dates&gt;&lt;publisher&gt;American Chemical Society&lt;/publisher&gt;&lt;isbn&gt;0002-7863&lt;/isbn&gt;&lt;urls&gt;&lt;related-urls&gt;&lt;url&gt;http://dx.doi.org/10.1021/ja101362u&lt;/url&gt;&lt;/related-urls&gt;&lt;/urls&gt;&lt;electronic-resource-num&gt;10.1021/ja101362u&lt;/electronic-resource-num&gt;&lt;access-date&gt;2013/11/22&lt;/access-date&gt;&lt;/record&gt;&lt;/Cite&gt;&lt;/EndNote&gt;</w:instrText>
        </w:r>
        <w:r w:rsidR="00512D09" w:rsidRPr="00AC0E2A">
          <w:rPr>
            <w:bCs/>
            <w:iCs/>
          </w:rPr>
          <w:fldChar w:fldCharType="separate"/>
        </w:r>
        <w:r w:rsidR="00512D09" w:rsidRPr="00F04E2C">
          <w:rPr>
            <w:bCs/>
            <w:iCs/>
            <w:noProof/>
            <w:vertAlign w:val="superscript"/>
          </w:rPr>
          <w:t>27</w:t>
        </w:r>
        <w:r w:rsidR="00512D09" w:rsidRPr="00AC0E2A">
          <w:fldChar w:fldCharType="end"/>
        </w:r>
      </w:hyperlink>
      <w:r w:rsidRPr="00AC0E2A">
        <w:rPr>
          <w:bCs/>
          <w:iCs/>
        </w:rPr>
        <w:t xml:space="preserve"> This allowed for a better analysis of the thermodynamic data and</w:t>
      </w:r>
      <w:r w:rsidR="00A02CD8">
        <w:rPr>
          <w:bCs/>
          <w:iCs/>
        </w:rPr>
        <w:t xml:space="preserve"> it seemed both the WT and the Asp24Arg</w:t>
      </w:r>
      <w:r w:rsidRPr="00AC0E2A">
        <w:rPr>
          <w:bCs/>
          <w:iCs/>
        </w:rPr>
        <w:t xml:space="preserve"> variant ligand-protein crystal structures </w:t>
      </w:r>
      <w:r w:rsidRPr="00AC0E2A">
        <w:rPr>
          <w:bCs/>
          <w:iCs/>
        </w:rPr>
        <w:lastRenderedPageBreak/>
        <w:t>superimposed well, meaning no change in the overall structure. Global thermodynamic a</w:t>
      </w:r>
      <w:r w:rsidR="004662FF">
        <w:rPr>
          <w:bCs/>
          <w:iCs/>
        </w:rPr>
        <w:t>nalysis through ITC showed the Asp24Arg</w:t>
      </w:r>
      <w:r w:rsidRPr="00AC0E2A">
        <w:rPr>
          <w:bCs/>
          <w:iCs/>
        </w:rPr>
        <w:t xml:space="preserve"> variant exhibits unfavourabl</w:t>
      </w:r>
      <w:r w:rsidR="00F22190">
        <w:rPr>
          <w:bCs/>
          <w:iCs/>
        </w:rPr>
        <w:t xml:space="preserve">e entropic contributions </w:t>
      </w:r>
      <w:r w:rsidR="00E43944">
        <w:rPr>
          <w:bCs/>
          <w:iCs/>
        </w:rPr>
        <w:t xml:space="preserve">at - </w:t>
      </w:r>
      <w:r w:rsidR="00F22190">
        <w:rPr>
          <w:bCs/>
          <w:iCs/>
        </w:rPr>
        <w:t>9.3 kJ/</w:t>
      </w:r>
      <w:r w:rsidRPr="00AC0E2A">
        <w:rPr>
          <w:bCs/>
          <w:iCs/>
        </w:rPr>
        <w:t>mol</w:t>
      </w:r>
      <w:r w:rsidR="00F22190">
        <w:rPr>
          <w:bCs/>
          <w:iCs/>
          <w:vertAlign w:val="superscript"/>
        </w:rPr>
        <w:t xml:space="preserve"> </w:t>
      </w:r>
      <w:r w:rsidRPr="00AC0E2A">
        <w:rPr>
          <w:bCs/>
          <w:iCs/>
        </w:rPr>
        <w:t>with binding being stron</w:t>
      </w:r>
      <w:r w:rsidR="00CE494B">
        <w:rPr>
          <w:bCs/>
          <w:iCs/>
        </w:rPr>
        <w:t>gly enthalpy driven at -58.3 kJ/</w:t>
      </w:r>
      <w:r w:rsidRPr="00AC0E2A">
        <w:rPr>
          <w:bCs/>
          <w:iCs/>
        </w:rPr>
        <w:t>mol</w:t>
      </w:r>
      <w:r w:rsidRPr="00AC0E2A">
        <w:rPr>
          <w:b/>
          <w:bCs/>
          <w:iCs/>
          <w:vertAlign w:val="superscript"/>
        </w:rPr>
        <w:t xml:space="preserve"> </w:t>
      </w:r>
      <w:r w:rsidRPr="00AC0E2A">
        <w:rPr>
          <w:bCs/>
          <w:iCs/>
        </w:rPr>
        <w:t>showing similar binding thermodynamics to the MUP-IPMP complex (</w:t>
      </w:r>
      <w:r w:rsidR="00040F10">
        <w:fldChar w:fldCharType="begin"/>
      </w:r>
      <w:r w:rsidR="00040F10">
        <w:instrText xml:space="preserve"> REF _Ref442801704 \h  \* MERGEFORMAT </w:instrText>
      </w:r>
      <w:r w:rsidR="00040F10">
        <w:fldChar w:fldCharType="separate"/>
      </w:r>
      <w:r w:rsidR="00CB4EDC" w:rsidRPr="00CB4EDC">
        <w:rPr>
          <w:bCs/>
          <w:color w:val="000000" w:themeColor="text1"/>
        </w:rPr>
        <w:t xml:space="preserve">Table </w:t>
      </w:r>
      <w:r w:rsidR="00CB4EDC" w:rsidRPr="00CB4EDC">
        <w:rPr>
          <w:bCs/>
          <w:noProof/>
          <w:color w:val="000000" w:themeColor="text1"/>
        </w:rPr>
        <w:t>1.2</w:t>
      </w:r>
      <w:r w:rsidR="00040F10">
        <w:fldChar w:fldCharType="end"/>
      </w:r>
      <w:r w:rsidRPr="00AC0E2A">
        <w:rPr>
          <w:bCs/>
          <w:iCs/>
        </w:rPr>
        <w:t xml:space="preserve">).  NMR relaxation times showed the entropy over the backbone amides to be 12.4 </w:t>
      </w:r>
      <w:r w:rsidR="00A02CD8">
        <w:rPr>
          <w:bCs/>
          <w:iCs/>
        </w:rPr>
        <w:t>(</w:t>
      </w:r>
      <w:r w:rsidRPr="00AC0E2A">
        <w:rPr>
          <w:bCs/>
          <w:iCs/>
        </w:rPr>
        <w:t>± 9.8</w:t>
      </w:r>
      <w:r w:rsidR="00A02CD8">
        <w:rPr>
          <w:bCs/>
          <w:iCs/>
        </w:rPr>
        <w:t>)</w:t>
      </w:r>
      <w:r w:rsidRPr="00AC0E2A">
        <w:rPr>
          <w:bCs/>
          <w:iCs/>
        </w:rPr>
        <w:t xml:space="preserve"> kJ/mol</w:t>
      </w:r>
      <w:r w:rsidR="00CE494B">
        <w:rPr>
          <w:bCs/>
          <w:iCs/>
        </w:rPr>
        <w:t>,</w:t>
      </w:r>
      <w:r w:rsidR="00322A9A">
        <w:rPr>
          <w:bCs/>
          <w:iCs/>
          <w:vertAlign w:val="superscript"/>
        </w:rPr>
        <w:t xml:space="preserve"> </w:t>
      </w:r>
      <w:r w:rsidRPr="00AC0E2A">
        <w:rPr>
          <w:bCs/>
          <w:iCs/>
        </w:rPr>
        <w:t xml:space="preserve">with increased and decreased flexibility over the entire structure upon ligand binding. </w:t>
      </w:r>
      <w:r w:rsidRPr="00AC0E2A">
        <w:rPr>
          <w:bCs/>
          <w:iCs/>
          <w:vertAlign w:val="superscript"/>
        </w:rPr>
        <w:t>13</w:t>
      </w:r>
      <w:r w:rsidRPr="00AC0E2A">
        <w:rPr>
          <w:bCs/>
          <w:iCs/>
        </w:rPr>
        <w:t xml:space="preserve">C relaxation times, which can be employed to investigate the entropic contributions of a protein, were thought to be unobtainable due to the difficulty in discerning entropic contributions from both the methyl groups on the protein and the ligand. To </w:t>
      </w:r>
      <w:r w:rsidR="00F31BC5">
        <w:rPr>
          <w:bCs/>
          <w:iCs/>
        </w:rPr>
        <w:t>determine the entropic contributions,</w:t>
      </w:r>
      <w:r w:rsidRPr="00AC0E2A">
        <w:rPr>
          <w:bCs/>
          <w:iCs/>
        </w:rPr>
        <w:t xml:space="preserve"> </w:t>
      </w:r>
      <w:r w:rsidR="00F31BC5">
        <w:rPr>
          <w:bCs/>
          <w:iCs/>
        </w:rPr>
        <w:t>MDS</w:t>
      </w:r>
      <w:r w:rsidRPr="00AC0E2A">
        <w:rPr>
          <w:bCs/>
          <w:iCs/>
        </w:rPr>
        <w:t xml:space="preserve"> were used with explicit inclusion of the solvent waters to determine side chain entropies, with the entropy value for the amide backbone comparing well with the molecular dynamic simulation 16.4 </w:t>
      </w:r>
      <w:r w:rsidR="00A02CD8">
        <w:rPr>
          <w:bCs/>
          <w:iCs/>
        </w:rPr>
        <w:t>(</w:t>
      </w:r>
      <w:r w:rsidRPr="00AC0E2A">
        <w:rPr>
          <w:bCs/>
          <w:iCs/>
        </w:rPr>
        <w:t>± 1.0</w:t>
      </w:r>
      <w:r w:rsidR="00A02CD8">
        <w:rPr>
          <w:bCs/>
          <w:iCs/>
        </w:rPr>
        <w:t>)</w:t>
      </w:r>
      <w:r w:rsidRPr="00AC0E2A">
        <w:rPr>
          <w:bCs/>
          <w:iCs/>
        </w:rPr>
        <w:t xml:space="preserve"> kJ/mol. The MDS estimated the protein component of the ligand-protein complex contributed favourably by 33 kJ/mol. The entropic and enthalpic contribution of ligand desolvation was computed by Conductor-Like Screening Model (COSMO) and were both found to be favourable. This molecular modelling software showed good agreement with 2 reference compounds and so the authors decided the calculation was accurate. MDS showed the rotational and diffusional dynamics of water within the protein binding site were much like the dynamics found in the bulk. In conjunction with the MD</w:t>
      </w:r>
      <w:r w:rsidR="00E43944">
        <w:rPr>
          <w:bCs/>
          <w:iCs/>
        </w:rPr>
        <w:t>S</w:t>
      </w:r>
      <w:r w:rsidRPr="00AC0E2A">
        <w:rPr>
          <w:bCs/>
          <w:iCs/>
        </w:rPr>
        <w:t xml:space="preserve"> data and the crystal structure showing the presence of three water molecules in the protein-ligand complex</w:t>
      </w:r>
      <w:r w:rsidR="00CE494B">
        <w:rPr>
          <w:bCs/>
          <w:iCs/>
        </w:rPr>
        <w:t>,</w:t>
      </w:r>
      <w:r w:rsidRPr="00AC0E2A">
        <w:rPr>
          <w:bCs/>
          <w:iCs/>
        </w:rPr>
        <w:t xml:space="preserve"> the authors assumed these water molecules were contributing to the unfavourable entropy of the complex. It would seem from the crystal structures that water molecules are much more easily expelled from hydrophobic surfaces than hydrophilic.</w:t>
      </w:r>
      <w:r w:rsidR="00926130">
        <w:rPr>
          <w:bCs/>
          <w:iCs/>
          <w:vertAlign w:val="superscript"/>
        </w:rPr>
        <w:t>23</w:t>
      </w:r>
      <w:r w:rsidR="007F4463" w:rsidRPr="00AC0E2A">
        <w:rPr>
          <w:bCs/>
          <w:iCs/>
        </w:rPr>
        <w:t xml:space="preserve"> </w:t>
      </w:r>
    </w:p>
    <w:p w:rsidR="00AC0E2A" w:rsidRPr="00AC0E2A" w:rsidRDefault="00AC0E2A" w:rsidP="004E7551">
      <w:pPr>
        <w:spacing w:line="480" w:lineRule="auto"/>
        <w:jc w:val="both"/>
        <w:rPr>
          <w:bCs/>
          <w:iCs/>
        </w:rPr>
      </w:pPr>
      <w:r w:rsidRPr="00AC0E2A">
        <w:rPr>
          <w:bCs/>
          <w:iCs/>
        </w:rPr>
        <w:t xml:space="preserve">This idea </w:t>
      </w:r>
      <w:r w:rsidR="00CE494B">
        <w:rPr>
          <w:bCs/>
          <w:iCs/>
        </w:rPr>
        <w:t xml:space="preserve">that </w:t>
      </w:r>
      <w:r w:rsidRPr="00AC0E2A">
        <w:rPr>
          <w:bCs/>
          <w:iCs/>
        </w:rPr>
        <w:t>water molecules are more easily expelled from hydrophobic surfaces than hydrophilic is one that has been used to successfully design HIV protease inhibitors</w:t>
      </w:r>
      <w:r w:rsidR="006E158B">
        <w:rPr>
          <w:bCs/>
          <w:iCs/>
        </w:rPr>
        <w:t>.</w:t>
      </w:r>
      <w:r w:rsidRPr="00AC0E2A">
        <w:rPr>
          <w:bCs/>
          <w:iCs/>
        </w:rPr>
        <w:t xml:space="preserve"> </w:t>
      </w:r>
      <w:hyperlink w:anchor="_ENREF_28" w:tooltip="Lafont, 2007 #256" w:history="1">
        <w:r w:rsidR="00512D09" w:rsidRPr="00AC0E2A">
          <w:rPr>
            <w:bCs/>
            <w:iCs/>
          </w:rPr>
          <w:fldChar w:fldCharType="begin"/>
        </w:r>
        <w:r w:rsidR="00512D09">
          <w:rPr>
            <w:bCs/>
            <w:iCs/>
          </w:rPr>
          <w:instrText xml:space="preserve"> ADDIN EN.CITE &lt;EndNote&gt;&lt;Cite&gt;&lt;Author&gt;Lafont&lt;/Author&gt;&lt;Year&gt;2007&lt;/Year&gt;&lt;RecNum&gt;256&lt;/RecNum&gt;&lt;DisplayText&gt;&lt;style face="superscript"&gt;28&lt;/style&gt;&lt;/DisplayText&gt;&lt;record&gt;&lt;rec-number&gt;256&lt;/rec-number&gt;&lt;foreign-keys&gt;&lt;key app="EN" db-id="5trrespwzsdr07efd5tx2w96x22re9s0fsdt"&gt;256&lt;/key&gt;&lt;/foreign-keys&gt;&lt;ref-type name="Journal Article"&gt;17&lt;/ref-type&gt;&lt;contributors&gt;&lt;authors&gt;&lt;author&gt;Lafont, Virginie&lt;/author&gt;&lt;author&gt;Armstrong, Anthony A.&lt;/author&gt;&lt;author&gt;Ohtaka, Hiroyasu&lt;/author&gt;&lt;author&gt;Kiso, Yoshiaki&lt;/author&gt;&lt;author&gt;Mario Amzel, L.&lt;/author&gt;&lt;author&gt;Freire, Ernesto&lt;/author&gt;&lt;/authors&gt;&lt;/contributors&gt;&lt;titles&gt;&lt;title&gt;Compensating Enthalpic and Entropic Changes Hinder Binding Affinity Optimization&lt;/title&gt;&lt;secondary-title&gt;Chem Biol Drug Des&lt;/secondary-title&gt;&lt;/titles&gt;&lt;periodical&gt;&lt;full-title&gt;Chem Biol Drug Des&lt;/full-title&gt;&lt;abbr-1&gt;Chemical biology &amp;amp; drug design&lt;/abbr-1&gt;&lt;/periodical&gt;&lt;pages&gt;413-422&lt;/pages&gt;&lt;volume&gt;69&lt;/volume&gt;&lt;number&gt;6&lt;/number&gt;&lt;keywords&gt;&lt;keyword&gt;HIV protease&lt;/keyword&gt;&lt;keyword&gt;isothermal titration calorimetry&lt;/keyword&gt;&lt;keyword&gt;ITC&lt;/keyword&gt;&lt;keyword&gt;lead optimization&lt;/keyword&gt;&lt;keyword&gt;protease inhibitors&lt;/keyword&gt;&lt;keyword&gt;thermodynamics crystallography&lt;/keyword&gt;&lt;/keywords&gt;&lt;dates&gt;&lt;year&gt;2007&lt;/year&gt;&lt;/dates&gt;&lt;publisher&gt;Blackwell Publishing Ltd&lt;/publisher&gt;&lt;isbn&gt;1747-0285&lt;/isbn&gt;&lt;urls&gt;&lt;related-urls&gt;&lt;url&gt;http://dx.doi.org/10.1111/j.1747-0285.2007.00519.x&lt;/url&gt;&lt;/related-urls&gt;&lt;/urls&gt;&lt;electronic-resource-num&gt;10.1111/j.1747-0285.2007.00519.x&lt;/electronic-resource-num&gt;&lt;/record&gt;&lt;/Cite&gt;&lt;/EndNote&gt;</w:instrText>
        </w:r>
        <w:r w:rsidR="00512D09" w:rsidRPr="00AC0E2A">
          <w:rPr>
            <w:bCs/>
            <w:iCs/>
          </w:rPr>
          <w:fldChar w:fldCharType="separate"/>
        </w:r>
        <w:r w:rsidR="00512D09" w:rsidRPr="00F04E2C">
          <w:rPr>
            <w:bCs/>
            <w:iCs/>
            <w:noProof/>
            <w:vertAlign w:val="superscript"/>
          </w:rPr>
          <w:t>28</w:t>
        </w:r>
        <w:r w:rsidR="00512D09" w:rsidRPr="00AC0E2A">
          <w:fldChar w:fldCharType="end"/>
        </w:r>
      </w:hyperlink>
      <w:r w:rsidR="006E158B">
        <w:rPr>
          <w:bCs/>
          <w:iCs/>
        </w:rPr>
        <w:t xml:space="preserve"> </w:t>
      </w:r>
      <w:r w:rsidRPr="00AC0E2A">
        <w:rPr>
          <w:bCs/>
          <w:iCs/>
        </w:rPr>
        <w:t xml:space="preserve"> It has been articulated by Freire that achieving favourable enthalpies of desolvation from </w:t>
      </w:r>
      <w:r w:rsidRPr="00AC0E2A">
        <w:rPr>
          <w:bCs/>
          <w:iCs/>
        </w:rPr>
        <w:lastRenderedPageBreak/>
        <w:t xml:space="preserve">polar groups is much more difficult than attaining favourable desolvation enthalpies from </w:t>
      </w:r>
      <w:r w:rsidR="00BA7E7A">
        <w:rPr>
          <w:bCs/>
          <w:iCs/>
        </w:rPr>
        <w:t>apolar</w:t>
      </w:r>
      <w:r w:rsidRPr="00AC0E2A">
        <w:rPr>
          <w:bCs/>
          <w:iCs/>
        </w:rPr>
        <w:t xml:space="preserve"> groups</w:t>
      </w:r>
      <w:r w:rsidR="006E158B">
        <w:rPr>
          <w:bCs/>
          <w:iCs/>
        </w:rPr>
        <w:t>.</w:t>
      </w:r>
      <w:r w:rsidRPr="00AC0E2A">
        <w:rPr>
          <w:bCs/>
          <w:iCs/>
        </w:rPr>
        <w:t xml:space="preserve"> </w:t>
      </w:r>
      <w:hyperlink w:anchor="_ENREF_10" w:tooltip="Freire, 2008 #13" w:history="1">
        <w:r w:rsidR="00512D09" w:rsidRPr="00AC0E2A">
          <w:rPr>
            <w:bCs/>
            <w:iCs/>
          </w:rPr>
          <w:fldChar w:fldCharType="begin"/>
        </w:r>
        <w:r w:rsidR="00512D09">
          <w:rPr>
            <w:bCs/>
            <w:iCs/>
          </w:rPr>
          <w:instrText xml:space="preserve"> ADDIN EN.CITE &lt;EndNote&gt;&lt;Cite&gt;&lt;Author&gt;Freire&lt;/Author&gt;&lt;Year&gt;2008&lt;/Year&gt;&lt;RecNum&gt;13&lt;/RecNum&gt;&lt;DisplayText&gt;&lt;style face="superscript"&gt;10&lt;/style&gt;&lt;/DisplayText&gt;&lt;record&gt;&lt;rec-number&gt;13&lt;/rec-number&gt;&lt;foreign-keys&gt;&lt;key app="EN" db-id="5trrespwzsdr07efd5tx2w96x22re9s0fsdt"&gt;13&lt;/key&gt;&lt;/foreign-keys&gt;&lt;ref-type name="Journal Article"&gt;17&lt;/ref-type&gt;&lt;contributors&gt;&lt;authors&gt;&lt;author&gt;Freire, E.&lt;/author&gt;&lt;/authors&gt;&lt;/contributors&gt;&lt;auth-address&gt;Department of Biology, Johns Hopkins University, Baltimore, MD 21218, United States. ef@jhu.edu&lt;/auth-address&gt;&lt;titles&gt;&lt;title&gt;Do enthalpy and entropy distinguish first in class from best in class?&lt;/title&gt;&lt;secondary-title&gt;Drug Discov Today&lt;/secondary-title&gt;&lt;alt-title&gt;Drug discovery today&lt;/alt-title&gt;&lt;/titles&gt;&lt;periodical&gt;&lt;full-title&gt;Drug Discov Today&lt;/full-title&gt;&lt;abbr-1&gt;Drug discovery today&lt;/abbr-1&gt;&lt;/periodical&gt;&lt;alt-periodical&gt;&lt;full-title&gt;Drug Discov Today&lt;/full-title&gt;&lt;abbr-1&gt;Drug discovery today&lt;/abbr-1&gt;&lt;/alt-periodical&gt;&lt;pages&gt;869-74&lt;/pages&gt;&lt;volume&gt;13&lt;/volume&gt;&lt;number&gt;19-20&lt;/number&gt;&lt;edition&gt;2008/08/16&lt;/edition&gt;&lt;keywords&gt;&lt;keyword&gt;Animals&lt;/keyword&gt;&lt;keyword&gt;Drug Design&lt;/keyword&gt;&lt;keyword&gt;Entropy&lt;/keyword&gt;&lt;keyword&gt;Humans&lt;/keyword&gt;&lt;keyword&gt;Hydrogen Bonding&lt;/keyword&gt;&lt;keyword&gt;Ligands&lt;/keyword&gt;&lt;keyword&gt;Pharmaceutical Preparations/*chemistry&lt;/keyword&gt;&lt;keyword&gt;Receptors, Drug/*chemistry&lt;/keyword&gt;&lt;keyword&gt;*Thermodynamics&lt;/keyword&gt;&lt;/keywords&gt;&lt;dates&gt;&lt;year&gt;2008&lt;/year&gt;&lt;pub-dates&gt;&lt;date&gt;Oct&lt;/date&gt;&lt;/pub-dates&gt;&lt;/dates&gt;&lt;isbn&gt;1359-6446 (Print)&amp;#xD;1359-6446 (Linking)&lt;/isbn&gt;&lt;accession-num&gt;18703160&lt;/accession-num&gt;&lt;work-type&gt;Research Support, N.I.H., Extramural&amp;#xD;Research Support, U.S. Gov&amp;apos;t, Non-P.H.S.&amp;#xD;Review&lt;/work-type&gt;&lt;urls&gt;&lt;related-urls&gt;&lt;url&gt;http://www.ncbi.nlm.nih.gov/pubmed/18703160&lt;/url&gt;&lt;/related-urls&gt;&lt;/urls&gt;&lt;custom2&gt;2581116&lt;/custom2&gt;&lt;electronic-resource-num&gt;10.1016/j.drudis.2008.07.005&lt;/electronic-resource-num&gt;&lt;language&gt;eng&lt;/language&gt;&lt;/record&gt;&lt;/Cite&gt;&lt;/EndNote&gt;</w:instrText>
        </w:r>
        <w:r w:rsidR="00512D09" w:rsidRPr="00AC0E2A">
          <w:rPr>
            <w:bCs/>
            <w:iCs/>
          </w:rPr>
          <w:fldChar w:fldCharType="separate"/>
        </w:r>
        <w:r w:rsidR="00512D09" w:rsidRPr="00E30C0B">
          <w:rPr>
            <w:bCs/>
            <w:iCs/>
            <w:noProof/>
            <w:vertAlign w:val="superscript"/>
          </w:rPr>
          <w:t>10</w:t>
        </w:r>
        <w:r w:rsidR="00512D09" w:rsidRPr="00AC0E2A">
          <w:fldChar w:fldCharType="end"/>
        </w:r>
      </w:hyperlink>
      <w:r w:rsidRPr="00AC0E2A">
        <w:rPr>
          <w:bCs/>
          <w:iCs/>
        </w:rPr>
        <w:t xml:space="preserve"> </w:t>
      </w:r>
    </w:p>
    <w:p w:rsidR="00EB16FC" w:rsidRDefault="00AC0E2A" w:rsidP="004E7551">
      <w:pPr>
        <w:spacing w:line="480" w:lineRule="auto"/>
        <w:jc w:val="both"/>
        <w:rPr>
          <w:bCs/>
          <w:iCs/>
        </w:rPr>
      </w:pPr>
      <w:r w:rsidRPr="00AC0E2A">
        <w:rPr>
          <w:bCs/>
          <w:iCs/>
        </w:rPr>
        <w:t xml:space="preserve">Human carbonic anhydrase II </w:t>
      </w:r>
      <w:r w:rsidR="004662FF">
        <w:rPr>
          <w:bCs/>
          <w:iCs/>
        </w:rPr>
        <w:t>(</w:t>
      </w:r>
      <w:r w:rsidR="004662FF" w:rsidRPr="004662FF">
        <w:rPr>
          <w:bCs/>
          <w:iCs/>
        </w:rPr>
        <w:t>HCA II</w:t>
      </w:r>
      <w:r w:rsidR="004662FF">
        <w:rPr>
          <w:bCs/>
          <w:iCs/>
        </w:rPr>
        <w:t>)</w:t>
      </w:r>
      <w:r w:rsidR="004662FF" w:rsidRPr="004662FF">
        <w:rPr>
          <w:bCs/>
          <w:iCs/>
        </w:rPr>
        <w:t xml:space="preserve"> </w:t>
      </w:r>
      <w:r w:rsidR="004662FF">
        <w:rPr>
          <w:bCs/>
          <w:iCs/>
        </w:rPr>
        <w:t>i</w:t>
      </w:r>
      <w:r w:rsidRPr="00AC0E2A">
        <w:rPr>
          <w:bCs/>
          <w:iCs/>
        </w:rPr>
        <w:t>s an excellent model system due to its heavy biophysical characterisation</w:t>
      </w:r>
      <w:r w:rsidR="006E158B">
        <w:rPr>
          <w:bCs/>
          <w:iCs/>
        </w:rPr>
        <w:t>.</w:t>
      </w:r>
      <w:hyperlink w:anchor="_ENREF_29" w:tooltip="Krishnamurthy, 2008 #282" w:history="1">
        <w:r w:rsidR="00512D09" w:rsidRPr="00AC0E2A">
          <w:rPr>
            <w:bCs/>
            <w:iCs/>
          </w:rPr>
          <w:fldChar w:fldCharType="begin"/>
        </w:r>
        <w:r w:rsidR="00512D09">
          <w:rPr>
            <w:bCs/>
            <w:iCs/>
          </w:rPr>
          <w:instrText xml:space="preserve"> ADDIN EN.CITE &lt;EndNote&gt;&lt;Cite&gt;&lt;Author&gt;Krishnamurthy&lt;/Author&gt;&lt;Year&gt;2008&lt;/Year&gt;&lt;RecNum&gt;282&lt;/RecNum&gt;&lt;DisplayText&gt;&lt;style face="superscript"&gt;29&lt;/style&gt;&lt;/DisplayText&gt;&lt;record&gt;&lt;rec-number&gt;282&lt;/rec-number&gt;&lt;foreign-keys&gt;&lt;key app="EN" db-id="5trrespwzsdr07efd5tx2w96x22re9s0fsdt"&gt;282&lt;/key&gt;&lt;/foreign-keys&gt;&lt;ref-type name="Journal Article"&gt;17&lt;/ref-type&gt;&lt;contributors&gt;&lt;authors&gt;&lt;author&gt;Krishnamurthy, Vijay M.&lt;/author&gt;&lt;author&gt;Kaufman, George K.&lt;/author&gt;&lt;author&gt;Urbach, Adam R.&lt;/author&gt;&lt;author&gt;Gitlin, Irina&lt;/author&gt;&lt;author&gt;Gudiksen, Katherine L.&lt;/author&gt;&lt;author&gt;Weibel, Douglas B.&lt;/author&gt;&lt;author&gt;Whitesides, George M.&lt;/author&gt;&lt;/authors&gt;&lt;/contributors&gt;&lt;titles&gt;&lt;title&gt;Carbonic Anhydrase as a Model for Biophysical and Physical-Organic Studies of Proteins and Protein−Ligand Binding&lt;/title&gt;&lt;secondary-title&gt;Chemical Reviews&lt;/secondary-title&gt;&lt;/titles&gt;&lt;periodical&gt;&lt;full-title&gt;Chemical Reviews&lt;/full-title&gt;&lt;/periodical&gt;&lt;pages&gt;946-1051&lt;/pages&gt;&lt;volume&gt;108&lt;/volume&gt;&lt;number&gt;3&lt;/number&gt;&lt;dates&gt;&lt;year&gt;2008&lt;/year&gt;&lt;pub-dates&gt;&lt;date&gt;2008/03/01&lt;/date&gt;&lt;/pub-dates&gt;&lt;/dates&gt;&lt;publisher&gt;American Chemical Society&lt;/publisher&gt;&lt;isbn&gt;0009-2665&lt;/isbn&gt;&lt;urls&gt;&lt;related-urls&gt;&lt;url&gt;http://dx.doi.org/10.1021/cr050262p&lt;/url&gt;&lt;/related-urls&gt;&lt;/urls&gt;&lt;electronic-resource-num&gt;10.1021/cr050262p&lt;/electronic-resource-num&gt;&lt;access-date&gt;2013/11/24&lt;/access-date&gt;&lt;/record&gt;&lt;/Cite&gt;&lt;/EndNote&gt;</w:instrText>
        </w:r>
        <w:r w:rsidR="00512D09" w:rsidRPr="00AC0E2A">
          <w:rPr>
            <w:bCs/>
            <w:iCs/>
          </w:rPr>
          <w:fldChar w:fldCharType="separate"/>
        </w:r>
        <w:r w:rsidR="00512D09" w:rsidRPr="00F04E2C">
          <w:rPr>
            <w:bCs/>
            <w:iCs/>
            <w:noProof/>
            <w:vertAlign w:val="superscript"/>
          </w:rPr>
          <w:t>29</w:t>
        </w:r>
        <w:r w:rsidR="00512D09" w:rsidRPr="00AC0E2A">
          <w:fldChar w:fldCharType="end"/>
        </w:r>
      </w:hyperlink>
      <w:r w:rsidRPr="00AC0E2A">
        <w:rPr>
          <w:bCs/>
          <w:iCs/>
        </w:rPr>
        <w:t xml:space="preserve"> Crystallography of a series of HCA II complexes with benzenesulfonamides substituted with alkyl and ﬂuoroalkyl chains in the </w:t>
      </w:r>
      <w:r w:rsidRPr="00AC0E2A">
        <w:rPr>
          <w:bCs/>
          <w:i/>
          <w:iCs/>
        </w:rPr>
        <w:t>para</w:t>
      </w:r>
      <w:r w:rsidRPr="00AC0E2A">
        <w:rPr>
          <w:bCs/>
          <w:iCs/>
        </w:rPr>
        <w:t xml:space="preserve"> position showed that all ligands exhibited a similar binding geometry with the chains against the </w:t>
      </w:r>
      <w:r w:rsidR="002F2490">
        <w:rPr>
          <w:bCs/>
          <w:iCs/>
        </w:rPr>
        <w:t>“</w:t>
      </w:r>
      <w:r w:rsidRPr="00AC0E2A">
        <w:rPr>
          <w:bCs/>
          <w:iCs/>
        </w:rPr>
        <w:t>hydrophobic wall</w:t>
      </w:r>
      <w:r w:rsidR="002F2490">
        <w:rPr>
          <w:bCs/>
          <w:iCs/>
        </w:rPr>
        <w:t>”</w:t>
      </w:r>
      <w:r w:rsidRPr="00AC0E2A">
        <w:rPr>
          <w:bCs/>
          <w:iCs/>
        </w:rPr>
        <w:t>, a motif of hydrophobic amino acids within the binding site (</w:t>
      </w:r>
      <w:r w:rsidR="00040F10">
        <w:fldChar w:fldCharType="begin"/>
      </w:r>
      <w:r w:rsidR="00040F10">
        <w:instrText xml:space="preserve"> REF _Ref442803140 \h  \* MERGEFORMAT </w:instrText>
      </w:r>
      <w:r w:rsidR="00040F10">
        <w:fldChar w:fldCharType="separate"/>
      </w:r>
      <w:r w:rsidR="00CB4EDC" w:rsidRPr="00CB4EDC">
        <w:rPr>
          <w:bCs/>
        </w:rPr>
        <w:t xml:space="preserve">Figure </w:t>
      </w:r>
      <w:r w:rsidR="00CB4EDC" w:rsidRPr="00CB4EDC">
        <w:rPr>
          <w:bCs/>
          <w:noProof/>
        </w:rPr>
        <w:t>1.4</w:t>
      </w:r>
      <w:r w:rsidR="00040F10">
        <w:fldChar w:fldCharType="end"/>
      </w:r>
      <w:r w:rsidR="00F96814">
        <w:rPr>
          <w:bCs/>
          <w:iCs/>
        </w:rPr>
        <w:t xml:space="preserve"> </w:t>
      </w:r>
      <w:r w:rsidR="00570889" w:rsidRPr="006E158B">
        <w:rPr>
          <w:bCs/>
          <w:iCs/>
        </w:rPr>
        <w:t xml:space="preserve">and </w:t>
      </w:r>
      <w:r w:rsidR="0075172E">
        <w:rPr>
          <w:bCs/>
          <w:iCs/>
        </w:rPr>
        <w:fldChar w:fldCharType="begin"/>
      </w:r>
      <w:r w:rsidR="00F96814">
        <w:rPr>
          <w:bCs/>
          <w:iCs/>
        </w:rPr>
        <w:instrText xml:space="preserve"> REF _Ref442803260 \h </w:instrText>
      </w:r>
      <w:r w:rsidR="0075172E">
        <w:rPr>
          <w:bCs/>
          <w:iCs/>
        </w:rPr>
      </w:r>
      <w:r w:rsidR="0075172E">
        <w:rPr>
          <w:bCs/>
          <w:iCs/>
        </w:rPr>
        <w:fldChar w:fldCharType="separate"/>
      </w:r>
      <w:r w:rsidR="00CB4EDC" w:rsidRPr="00570889">
        <w:t xml:space="preserve">Figure </w:t>
      </w:r>
      <w:r w:rsidR="00CB4EDC">
        <w:rPr>
          <w:noProof/>
        </w:rPr>
        <w:t>1</w:t>
      </w:r>
      <w:r w:rsidR="00CB4EDC">
        <w:t>.</w:t>
      </w:r>
      <w:r w:rsidR="00CB4EDC">
        <w:rPr>
          <w:noProof/>
        </w:rPr>
        <w:t>5</w:t>
      </w:r>
      <w:r w:rsidR="0075172E">
        <w:rPr>
          <w:bCs/>
          <w:iCs/>
        </w:rPr>
        <w:fldChar w:fldCharType="end"/>
      </w:r>
      <w:r w:rsidRPr="00AC0E2A">
        <w:rPr>
          <w:bCs/>
          <w:iCs/>
        </w:rPr>
        <w:t>)</w:t>
      </w:r>
      <w:r w:rsidR="006E158B">
        <w:rPr>
          <w:bCs/>
          <w:iCs/>
        </w:rPr>
        <w:t>.</w:t>
      </w:r>
      <w:r w:rsidRPr="00AC0E2A">
        <w:rPr>
          <w:bCs/>
          <w:iCs/>
        </w:rPr>
        <w:t xml:space="preserve"> </w:t>
      </w:r>
      <w:hyperlink w:anchor="_ENREF_30" w:tooltip="Mecinović, 2011 #262" w:history="1">
        <w:r w:rsidR="00512D09" w:rsidRPr="00AC0E2A">
          <w:rPr>
            <w:bCs/>
            <w:iCs/>
          </w:rPr>
          <w:fldChar w:fldCharType="begin"/>
        </w:r>
        <w:r w:rsidR="00512D09">
          <w:rPr>
            <w:bCs/>
            <w:iCs/>
          </w:rPr>
          <w:instrText xml:space="preserve"> ADDIN EN.CITE &lt;EndNote&gt;&lt;Cite&gt;&lt;Author&gt;Mecinović&lt;/Author&gt;&lt;Year&gt;2011&lt;/Year&gt;&lt;RecNum&gt;262&lt;/RecNum&gt;&lt;DisplayText&gt;&lt;style face="superscript"&gt;30&lt;/style&gt;&lt;/DisplayText&gt;&lt;record&gt;&lt;rec-number&gt;262&lt;/rec-number&gt;&lt;foreign-keys&gt;&lt;key app="EN" db-id="5trrespwzsdr07efd5tx2w96x22re9s0fsdt"&gt;262&lt;/key&gt;&lt;/foreign-keys&gt;&lt;ref-type name="Journal Article"&gt;17&lt;/ref-type&gt;&lt;contributors&gt;&lt;authors&gt;&lt;author&gt;Mecinović, Jasmin&lt;/author&gt;&lt;author&gt;Snyder, Phillip W.&lt;/author&gt;&lt;author&gt;Mirica, Katherine A.&lt;/author&gt;&lt;author&gt;Bai, Serena&lt;/author&gt;&lt;author&gt;Mack, Eric T.&lt;/author&gt;&lt;author&gt;Kwant, Richard L.&lt;/author&gt;&lt;author&gt;Moustakas, Demetri T.&lt;/author&gt;&lt;author&gt;Héroux, Annie&lt;/author&gt;&lt;author&gt;Whitesides, George M.&lt;/author&gt;&lt;/authors&gt;&lt;/contributors&gt;&lt;titles&gt;&lt;title&gt;Fluoroalkyl and Alkyl Chains Have Similar Hydrophobicities in Binding to the “Hydrophobic Wall” of Carbonic Anhydrase&lt;/title&gt;&lt;secondary-title&gt;J Am Chem Soc&lt;/secondary-title&gt;&lt;/titles&gt;&lt;periodical&gt;&lt;full-title&gt;J Am Chem Soc&lt;/full-title&gt;&lt;abbr-1&gt;Journal of the American Chemical Society&lt;/abbr-1&gt;&lt;/periodical&gt;&lt;pages&gt;14017-14026&lt;/pages&gt;&lt;volume&gt;133&lt;/volume&gt;&lt;number&gt;35&lt;/number&gt;&lt;dates&gt;&lt;year&gt;2011&lt;/year&gt;&lt;pub-dates&gt;&lt;date&gt;2011/09/07&lt;/date&gt;&lt;/pub-dates&gt;&lt;/dates&gt;&lt;publisher&gt;American Chemical Society&lt;/publisher&gt;&lt;isbn&gt;0002-7863&lt;/isbn&gt;&lt;urls&gt;&lt;related-urls&gt;&lt;url&gt;http://dx.doi.org/10.1021/ja2045293&lt;/url&gt;&lt;/related-urls&gt;&lt;/urls&gt;&lt;electronic-resource-num&gt;10.1021/ja2045293&lt;/electronic-resource-num&gt;&lt;access-date&gt;2013/11/11&lt;/access-date&gt;&lt;/record&gt;&lt;/Cite&gt;&lt;/EndNote&gt;</w:instrText>
        </w:r>
        <w:r w:rsidR="00512D09" w:rsidRPr="00AC0E2A">
          <w:rPr>
            <w:bCs/>
            <w:iCs/>
          </w:rPr>
          <w:fldChar w:fldCharType="separate"/>
        </w:r>
        <w:r w:rsidR="00512D09" w:rsidRPr="00F04E2C">
          <w:rPr>
            <w:bCs/>
            <w:iCs/>
            <w:noProof/>
            <w:vertAlign w:val="superscript"/>
          </w:rPr>
          <w:t>30</w:t>
        </w:r>
        <w:r w:rsidR="00512D09" w:rsidRPr="00AC0E2A">
          <w:fldChar w:fldCharType="end"/>
        </w:r>
      </w:hyperlink>
      <w:r w:rsidRPr="00AC0E2A">
        <w:rPr>
          <w:bCs/>
          <w:iCs/>
        </w:rPr>
        <w:t xml:space="preserve"> ITC showed both an increase in entropy and enthalpy with increasing chain length. The Whitesides’ group believed this increase in enthalpy was due to the release of water from both the tails and perhaps suboptimal hydrated areas of the “hydrophobic wall” which were not found in the crystal structure. Those ligands substituted with ﬂuoroalkyl chains had lower dissociation constants with marginally more favourable entropy and enthalpy terms in comparison to the unsubstituted derivatives. The group suggested this was to do with the larger Solvent-Accessible Surface Area </w:t>
      </w:r>
      <w:r w:rsidR="00570889">
        <w:rPr>
          <w:bCs/>
          <w:iCs/>
        </w:rPr>
        <w:t>(SASA)</w:t>
      </w:r>
      <w:r w:rsidR="00570889" w:rsidRPr="00570889">
        <w:rPr>
          <w:bCs/>
          <w:iCs/>
        </w:rPr>
        <w:t xml:space="preserve"> </w:t>
      </w:r>
      <w:r w:rsidRPr="00AC0E2A">
        <w:rPr>
          <w:bCs/>
          <w:iCs/>
        </w:rPr>
        <w:t>of the fluorine substituent being able to dislodge more water from the binding site. With both the fluorine and hydrogen substituted ligands the binding reaction was largely e</w:t>
      </w:r>
      <w:r w:rsidR="00F22190">
        <w:rPr>
          <w:bCs/>
          <w:iCs/>
        </w:rPr>
        <w:t>nthalpy driven at around –40 kJ/</w:t>
      </w:r>
      <w:r w:rsidRPr="00AC0E2A">
        <w:rPr>
          <w:bCs/>
          <w:iCs/>
        </w:rPr>
        <w:t>mol with a minor e</w:t>
      </w:r>
      <w:r w:rsidR="00F22190">
        <w:rPr>
          <w:bCs/>
          <w:iCs/>
        </w:rPr>
        <w:t xml:space="preserve">ntropic component of </w:t>
      </w:r>
      <w:r w:rsidR="00CE494B">
        <w:rPr>
          <w:bCs/>
          <w:iCs/>
        </w:rPr>
        <w:t>approximately</w:t>
      </w:r>
      <w:r w:rsidR="00F22190">
        <w:rPr>
          <w:bCs/>
          <w:iCs/>
        </w:rPr>
        <w:t xml:space="preserve"> 5 kJ/</w:t>
      </w:r>
      <w:r w:rsidRPr="00AC0E2A">
        <w:rPr>
          <w:bCs/>
          <w:iCs/>
        </w:rPr>
        <w:t>mol</w:t>
      </w:r>
      <w:r w:rsidR="00322A9A">
        <w:rPr>
          <w:b/>
          <w:bCs/>
          <w:iCs/>
          <w:vertAlign w:val="superscript"/>
        </w:rPr>
        <w:t xml:space="preserve"> </w:t>
      </w:r>
      <w:r w:rsidRPr="00AC0E2A">
        <w:rPr>
          <w:bCs/>
          <w:iCs/>
        </w:rPr>
        <w:t>(</w:t>
      </w:r>
      <w:r w:rsidR="00040F10">
        <w:fldChar w:fldCharType="begin"/>
      </w:r>
      <w:r w:rsidR="00040F10">
        <w:instrText xml:space="preserve"> REF _Ref442802740 \h  \* MERGEFORMAT </w:instrText>
      </w:r>
      <w:r w:rsidR="00040F10">
        <w:fldChar w:fldCharType="separate"/>
      </w:r>
      <w:r w:rsidR="00CB4EDC" w:rsidRPr="00CB4EDC">
        <w:rPr>
          <w:color w:val="000000" w:themeColor="text1"/>
        </w:rPr>
        <w:t xml:space="preserve">Table </w:t>
      </w:r>
      <w:r w:rsidR="00CB4EDC" w:rsidRPr="00CB4EDC">
        <w:rPr>
          <w:noProof/>
          <w:color w:val="000000" w:themeColor="text1"/>
        </w:rPr>
        <w:t>1.3</w:t>
      </w:r>
      <w:r w:rsidR="00040F10">
        <w:fldChar w:fldCharType="end"/>
      </w:r>
      <w:r w:rsidR="00570889">
        <w:rPr>
          <w:bCs/>
          <w:iCs/>
        </w:rPr>
        <w:t>).</w:t>
      </w:r>
    </w:p>
    <w:p w:rsidR="003915D1" w:rsidRPr="00AC0E2A" w:rsidRDefault="003915D1" w:rsidP="004E7551">
      <w:pPr>
        <w:spacing w:line="480" w:lineRule="auto"/>
        <w:jc w:val="both"/>
        <w:rPr>
          <w:bCs/>
          <w:iCs/>
        </w:rPr>
      </w:pPr>
    </w:p>
    <w:p w:rsidR="00AC0E2A" w:rsidRPr="008C4C05" w:rsidRDefault="00040F10" w:rsidP="008C4C05">
      <w:pPr>
        <w:spacing w:line="480" w:lineRule="auto"/>
        <w:jc w:val="center"/>
        <w:rPr>
          <w:bCs/>
          <w:iCs/>
        </w:rPr>
      </w:pPr>
      <w:r>
        <w:rPr>
          <w:bCs/>
          <w:iCs/>
          <w:noProof/>
          <w:lang w:eastAsia="en-GB"/>
        </w:rPr>
        <w:lastRenderedPageBreak/>
        <w:pict>
          <v:shapetype id="_x0000_t32" coordsize="21600,21600" o:spt="32" o:oned="t" path="m,l21600,21600e" filled="f">
            <v:path arrowok="t" fillok="f" o:connecttype="none"/>
            <o:lock v:ext="edit" shapetype="t"/>
          </v:shapetype>
          <v:shape id="AutoShape 41" o:spid="_x0000_s1026" type="#_x0000_t32" style="position:absolute;left:0;text-align:left;margin-left:272.3pt;margin-top:36.4pt;width:14.45pt;height:14.7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" strokecolor="#8064a2 [3207]" strokeweight="3pt">
            <v:shadow color="#4e6128 [1606]" opacity=".5" offset="1pt"/>
          </v:shape>
        </w:pict>
      </w:r>
      <w:r>
        <w:rPr>
          <w:bCs/>
          <w:iCs/>
          <w:noProof/>
          <w:lang w:eastAsia="en-GB"/>
        </w:rPr>
        <w:pict>
          <v:shape id="Arc 54" o:spid="_x0000_s1076" style="position:absolute;left:0;text-align:left;margin-left:294.5pt;margin-top:25.7pt;width:9.15pt;height:9.4pt;flip:x y;z-index:251710464;visibility:visib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" adj="0,,0" path="m21599,nfc33529,,43200,9670,43200,21600v,11929,-9671,21600,-21600,21600c9670,43200,,33529,,21600,,19371,344,17156,1022,15034em21599,nsc33529,,43200,9670,43200,21600v,11929,-9671,21600,-21600,21600c9670,43200,,33529,,21600,,19371,344,17156,1022,15034r20578,6566l21599,xe" filled="f" strokecolor="#8064a2 [3207]" strokeweight="2pt">
            <v:stroke joinstyle="round"/>
            <v:formulas/>
            <v:path arrowok="t" o:extrusionok="f" o:connecttype="custom" o:connectlocs="58103,0;2749,41545;58103,59690" o:connectangles="0,0,0"/>
          </v:shape>
        </w:pict>
      </w:r>
      <w:r>
        <w:rPr>
          <w:bCs/>
          <w:iCs/>
          <w:noProof/>
          <w:lang w:eastAsia="en-GB"/>
        </w:rPr>
        <w:pict>
          <v:shape id="Freeform 52" o:spid="_x0000_s1075" style="position:absolute;left:0;text-align:left;margin-left:249.15pt;margin-top:29.3pt;width:8.1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" path="m,142c11,86,22,30,47,15,72,,138,34,150,51v12,17,-24,64,-29,64c116,115,118,83,121,51e" filled="f" strokecolor="#8064a2 [3207]" strokeweight="2.75pt">
            <v:path arrowok="t" o:connecttype="custom" o:connectlocs="0,90170;29845,9525;95250,32385;76835,73025;76835,32385" o:connectangles="0,0,0,0,0"/>
          </v:shape>
        </w:pict>
      </w:r>
      <w:r>
        <w:rPr>
          <w:bCs/>
          <w:iCs/>
          <w:noProof/>
          <w:lang w:eastAsia="en-GB"/>
        </w:rPr>
        <w:pict>
          <v:shape id="AutoShape 42" o:spid="_x0000_s1074" type="#_x0000_t32" style="position:absolute;left:0;text-align:left;margin-left:255.2pt;margin-top:31.85pt;width:5.85pt;height:15.7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" strokecolor="#8064a2 [3207]" strokeweight="3pt">
            <v:shadow color="#4e6128 [1606]" opacity=".5" offset="1pt"/>
          </v:shape>
        </w:pict>
      </w:r>
      <w:r>
        <w:rPr>
          <w:bCs/>
          <w:iCs/>
          <w:noProof/>
          <w:lang w:eastAsia="en-GB"/>
        </w:rPr>
        <w:pict>
          <v:shape id="AutoShape 48" o:spid="_x0000_s1073" type="#_x0000_t32" style="position:absolute;left:0;text-align:left;margin-left:301.35pt;margin-top:25.7pt;width:5.4pt;height:12.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" strokecolor="#8064a2 [3207]" strokeweight="3pt">
            <v:shadow color="#4e6128 [1606]" opacity=".5" offset="1pt"/>
          </v:shape>
        </w:pict>
      </w:r>
      <w:r>
        <w:rPr>
          <w:bCs/>
          <w:iCs/>
          <w:noProof/>
          <w:lang w:eastAsia="en-GB"/>
        </w:rPr>
        <w:pict>
          <v:shape id="AutoShape 47" o:spid="_x0000_s1072" type="#_x0000_t32" style="position:absolute;left:0;text-align:left;margin-left:286.75pt;margin-top:35.05pt;width:12.3pt;height:1.3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" strokecolor="#8064a2 [3207]" strokeweight="3pt">
            <v:shadow color="#4e6128 [1606]" opacity=".5" offset="1pt"/>
          </v:shape>
        </w:pict>
      </w:r>
      <w:r>
        <w:rPr>
          <w:bCs/>
          <w:iCs/>
          <w:noProof/>
          <w:lang w:eastAsia="en-GB"/>
        </w:rPr>
        <w:pict>
          <v:shape id="AutoShape 46" o:spid="_x0000_s1071" type="#_x0000_t32" style="position:absolute;left:0;text-align:left;margin-left:288.5pt;margin-top:40.45pt;width:14.7pt;height:4.2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" strokecolor="#8064a2 [3207]" strokeweight="3pt">
            <v:shadow color="#4e6128 [1606]" opacity=".5" offset="1pt"/>
          </v:shape>
        </w:pict>
      </w:r>
      <w:r>
        <w:rPr>
          <w:bCs/>
          <w:iCs/>
          <w:noProof/>
          <w:lang w:eastAsia="en-GB"/>
        </w:rPr>
        <w:pict>
          <v:shape id="AutoShape 45" o:spid="_x0000_s1070" type="#_x0000_t32" style="position:absolute;left:0;text-align:left;margin-left:261.05pt;margin-top:46pt;width:11.25pt;height:3.15pt;flip:x 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" strokecolor="#8064a2 [3207]" strokeweight="3pt">
            <v:shadow color="#4e6128 [1606]" opacity=".5" offset="1pt"/>
          </v:shape>
        </w:pict>
      </w:r>
      <w:r>
        <w:rPr>
          <w:bCs/>
          <w:iCs/>
          <w:noProof/>
          <w:lang w:eastAsia="en-GB"/>
        </w:rPr>
        <w:pict>
          <v:shape id="AutoShape 44" o:spid="_x0000_s1069" type="#_x0000_t32" style="position:absolute;left:0;text-align:left;margin-left:259.5pt;margin-top:53.85pt;width:17.95pt;height:3.95pt;flip:x 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" strokecolor="#8064a2 [3207]" strokeweight="3pt">
            <v:shadow color="#4e6128 [1606]" opacity=".5" offset="1pt"/>
          </v:shape>
        </w:pict>
      </w:r>
      <w:r>
        <w:rPr>
          <w:bCs/>
          <w:iCs/>
          <w:noProof/>
          <w:lang w:eastAsia="en-GB"/>
        </w:rPr>
        <w:pict>
          <v:shape id="AutoShape 43" o:spid="_x0000_s1068" type="#_x0000_t32" style="position:absolute;left:0;text-align:left;margin-left:249.15pt;margin-top:35.05pt;width:4.7pt;height:10.9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" strokecolor="#8064a2 [3207]" strokeweight="3pt">
            <v:shadow color="#4e6128 [1606]" opacity=".5" offset="1pt"/>
          </v:shape>
        </w:pict>
      </w:r>
      <w:r>
        <w:rPr>
          <w:bCs/>
          <w:iCs/>
          <w:noProof/>
          <w:lang w:eastAsia="en-GB"/>
        </w:rPr>
        <w:pict>
          <v:shape id="AutoShape 40" o:spid="_x0000_s1067" type="#_x0000_t32" style="position:absolute;left:0;text-align:left;margin-left:275.6pt;margin-top:44.7pt;width:12.9pt;height:11.3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" strokecolor="#8064a2 [3207]" strokeweight="3pt">
            <v:shadow color="#4e6128 [1606]" opacity=".5" offset="1pt"/>
          </v:shape>
        </w:pict>
      </w:r>
      <w:r>
        <w:rPr>
          <w:bCs/>
          <w:iCs/>
          <w:noProof/>
          <w:lang w:eastAsia="en-GB"/>
        </w:rPr>
        <w:pict>
          <v:shape id="AutoShape 39" o:spid="_x0000_s1066" type="#_x0000_t32" style="position:absolute;left:0;text-align:left;margin-left:185.4pt;margin-top:94.6pt;width:14.4pt;height:6.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" strokecolor="#8064a2 [3207]" strokeweight="3pt">
            <v:shadow color="#4e6128 [1606]" opacity=".5" offset="1pt"/>
          </v:shape>
        </w:pict>
      </w:r>
      <w:r>
        <w:rPr>
          <w:bCs/>
          <w:iCs/>
          <w:noProof/>
          <w:lang w:eastAsia="en-GB"/>
        </w:rPr>
        <w:pict>
          <v:shape id="AutoShape 38" o:spid="_x0000_s1065" type="#_x0000_t32" style="position:absolute;left:0;text-align:left;margin-left:196.2pt;margin-top:107.15pt;width:5.9pt;height: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" strokecolor="#8064a2 [3207]" strokeweight="3pt">
            <v:shadow color="#4e6128 [1606]" opacity=".5" offset="1pt"/>
          </v:shape>
        </w:pict>
      </w:r>
      <w:r>
        <w:rPr>
          <w:bCs/>
          <w:iCs/>
          <w:noProof/>
          <w:lang w:eastAsia="en-GB"/>
        </w:rPr>
        <w:pict>
          <v:shape id="AutoShape 37" o:spid="_x0000_s1064" type="#_x0000_t32" style="position:absolute;left:0;text-align:left;margin-left:183.85pt;margin-top:101pt;width:13.65pt;height:7.7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" strokecolor="#8064a2 [3207]" strokeweight="3pt">
            <v:shadow color="#4e6128 [1606]" opacity=".5" offset="1pt"/>
          </v:shape>
        </w:pict>
      </w:r>
      <w:r>
        <w:rPr>
          <w:bCs/>
          <w:iCs/>
          <w:noProof/>
          <w:lang w:eastAsia="en-GB"/>
        </w:rPr>
        <w:pict>
          <v:shape id="AutoShape 36" o:spid="_x0000_s1063" type="#_x0000_t32" style="position:absolute;left:0;text-align:left;margin-left:240.6pt;margin-top:44.7pt;width:16.05pt;height:17.4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" strokecolor="#8064a2 [3207]" strokeweight="3pt">
            <v:shadow color="#4e6128 [1606]" opacity=".5" offset="1pt"/>
          </v:shape>
        </w:pict>
      </w:r>
      <w:r>
        <w:rPr>
          <w:bCs/>
          <w:iCs/>
          <w:noProof/>
          <w:lang w:eastAsia="en-GB"/>
        </w:rPr>
        <w:pict>
          <v:shape id="AutoShape 35" o:spid="_x0000_s1062" type="#_x0000_t32" style="position:absolute;left:0;text-align:left;margin-left:251.5pt;margin-top:72.1pt;width:2.35pt;height:8.4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" strokecolor="#8064a2 [3207]" strokeweight="3pt">
            <v:shadow color="#4e6128 [1606]" opacity=".5" offset="1pt"/>
          </v:shape>
        </w:pict>
      </w:r>
      <w:r>
        <w:rPr>
          <w:bCs/>
          <w:iCs/>
          <w:noProof/>
          <w:lang w:eastAsia="en-GB"/>
        </w:rPr>
        <w:pict>
          <v:shape id="AutoShape 34" o:spid="_x0000_s1061" type="#_x0000_t32" style="position:absolute;left:0;text-align:left;margin-left:247.2pt;margin-top:47.55pt;width:16.05pt;height:17.4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" strokecolor="#8064a2 [3207]" strokeweight="3pt">
            <v:shadow color="#4e6128 [1606]" opacity=".5" offset="1pt"/>
          </v:shape>
        </w:pict>
      </w:r>
      <w:r>
        <w:rPr>
          <w:bCs/>
          <w:iCs/>
          <w:noProof/>
          <w:lang w:eastAsia="en-GB"/>
        </w:rPr>
        <w:pict>
          <v:shape id="AutoShape 33" o:spid="_x0000_s1060" type="#_x0000_t32" style="position:absolute;left:0;text-align:left;margin-left:239.15pt;margin-top:80.55pt;width:16.05pt;height:17.4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" strokecolor="#8064a2 [3207]" strokeweight="3pt">
            <v:shadow color="#4e6128 [1606]" opacity=".5" offset="1pt"/>
          </v:shape>
        </w:pict>
      </w:r>
      <w:r>
        <w:rPr>
          <w:bCs/>
          <w:iCs/>
          <w:noProof/>
          <w:lang w:eastAsia="en-GB"/>
        </w:rPr>
        <w:pict>
          <v:shape id="AutoShape 32" o:spid="_x0000_s1059" type="#_x0000_t32" style="position:absolute;left:0;text-align:left;margin-left:220.1pt;margin-top:94.6pt;width:19.05pt;height:3.35pt;flip:x 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" strokecolor="#8064a2 [3207]" strokeweight="3pt">
            <v:shadow color="#4e6128 [1606]" opacity=".5" offset="1pt"/>
          </v:shape>
        </w:pict>
      </w:r>
      <w:r>
        <w:rPr>
          <w:bCs/>
          <w:iCs/>
          <w:noProof/>
          <w:lang w:eastAsia="en-GB"/>
        </w:rPr>
        <w:pict>
          <v:shape id="AutoShape 31" o:spid="_x0000_s1058" type="#_x0000_t32" style="position:absolute;left:0;text-align:left;margin-left:205.35pt;margin-top:91.3pt;width:16.05pt;height:17.4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" strokecolor="#8064a2 [3207]" strokeweight="3pt">
            <v:shadow color="#4e6128 [1606]" opacity=".5" offset="1pt"/>
          </v:shape>
        </w:pict>
      </w:r>
      <w:r>
        <w:rPr>
          <w:bCs/>
          <w:iCs/>
          <w:noProof/>
          <w:lang w:eastAsia="en-GB"/>
        </w:rPr>
        <w:pict>
          <v:shape id="AutoShape 30" o:spid="_x0000_s1057" type="#_x0000_t32" style="position:absolute;left:0;text-align:left;margin-left:224.5pt;margin-top:53.8pt;width:19.55pt;height:6.05pt;flip:x 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" strokecolor="#8064a2 [3207]" strokeweight="3pt">
            <v:shadow color="#4e6128 [1606]" opacity=".5" offset="1pt"/>
          </v:shape>
        </w:pict>
      </w:r>
      <w:r>
        <w:rPr>
          <w:bCs/>
          <w:iCs/>
          <w:noProof/>
          <w:lang w:eastAsia="en-GB"/>
        </w:rPr>
        <w:pict>
          <v:shape id="AutoShape 29" o:spid="_x0000_s1056" type="#_x0000_t32" style="position:absolute;left:0;text-align:left;margin-left:208.45pt;margin-top:53.8pt;width:16.05pt;height:17.4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" strokecolor="#8064a2 [3207]" strokeweight="3pt">
            <v:shadow color="#4e6128 [1606]" opacity=".5" offset="1pt"/>
          </v:shape>
        </w:pict>
      </w:r>
      <w:r>
        <w:rPr>
          <w:bCs/>
          <w:iCs/>
          <w:noProof/>
          <w:lang w:eastAsia="en-GB"/>
        </w:rPr>
        <w:pict>
          <v:shape id="AutoShape 28" o:spid="_x0000_s1055" type="#_x0000_t32" style="position:absolute;left:0;text-align:left;margin-left:210.35pt;margin-top:71.2pt;width:3.85pt;height:16.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" strokecolor="#8064a2 [3207]" strokeweight="3pt">
            <v:shadow color="#4e6128 [1606]" opacity=".5" offset="1pt"/>
          </v:shape>
        </w:pict>
      </w:r>
      <w:r>
        <w:rPr>
          <w:bCs/>
          <w:iCs/>
          <w:noProof/>
          <w:lang w:eastAsia="en-GB"/>
        </w:rPr>
        <w:pict>
          <v:shape id="AutoShape 27" o:spid="_x0000_s1054" type="#_x0000_t32" style="position:absolute;left:0;text-align:left;margin-left:199.8pt;margin-top:85.95pt;width:16.05pt;height:17.4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" strokecolor="#8064a2 [3207]" strokeweight="3pt">
            <v:shadow color="#4e6128 [1606]" opacity=".5" offset="1pt"/>
          </v:shape>
        </w:pict>
      </w:r>
      <w:r w:rsidR="00AC0E2A" w:rsidRPr="00AC0E2A">
        <w:rPr>
          <w:noProof/>
          <w:lang w:eastAsia="en-GB"/>
        </w:rPr>
        <w:drawing>
          <wp:inline distT="0" distB="0" distL="0" distR="0" wp14:anchorId="44E6D986" wp14:editId="6733CC0F">
            <wp:extent cx="2964801" cy="22850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7157" t="7988" r="32600" b="9467"/>
                    <a:stretch/>
                  </pic:blipFill>
                  <pic:spPr bwMode="auto">
                    <a:xfrm>
                      <a:off x="0" y="0"/>
                      <a:ext cx="2964801" cy="2285026"/>
                    </a:xfrm>
                    <a:prstGeom prst="rect">
                      <a:avLst/>
                    </a:prstGeom>
                    <a:ln>
                      <a:noFill/>
                    </a:ln>
                    <a:extLst>
                      <a:ext uri="{53640926-AAD7-44D8-BBD7-CCE9431645EC}">
                        <a14:shadowObscured xmlns:a14="http://schemas.microsoft.com/office/drawing/2010/main"/>
                      </a:ext>
                    </a:extLst>
                  </pic:spPr>
                </pic:pic>
              </a:graphicData>
            </a:graphic>
          </wp:inline>
        </w:drawing>
      </w:r>
    </w:p>
    <w:p w:rsidR="00AC0E2A" w:rsidRPr="00570889" w:rsidRDefault="00AC0E2A" w:rsidP="001D0B51">
      <w:pPr>
        <w:spacing w:line="480" w:lineRule="auto"/>
        <w:jc w:val="center"/>
        <w:rPr>
          <w:b/>
          <w:bCs/>
          <w:color w:val="4F81BD" w:themeColor="accent1"/>
        </w:rPr>
      </w:pPr>
      <w:bookmarkStart w:id="17" w:name="_Ref442803140"/>
      <w:r w:rsidRPr="00570889">
        <w:rPr>
          <w:b/>
          <w:bCs/>
          <w:color w:val="4F81BD" w:themeColor="accent1"/>
          <w:sz w:val="18"/>
          <w:szCs w:val="18"/>
        </w:rPr>
        <w:t xml:space="preserve">Figure </w:t>
      </w:r>
      <w:r w:rsidR="0075172E">
        <w:rPr>
          <w:b/>
          <w:bCs/>
          <w:color w:val="4F81BD" w:themeColor="accent1"/>
          <w:sz w:val="18"/>
          <w:szCs w:val="18"/>
        </w:rPr>
        <w:fldChar w:fldCharType="begin"/>
      </w:r>
      <w:r w:rsidR="00EB1DC7">
        <w:rPr>
          <w:b/>
          <w:bCs/>
          <w:color w:val="4F81BD" w:themeColor="accent1"/>
          <w:sz w:val="18"/>
          <w:szCs w:val="18"/>
        </w:rPr>
        <w:instrText xml:space="preserve"> STYLEREF 1 \s </w:instrText>
      </w:r>
      <w:r w:rsidR="0075172E">
        <w:rPr>
          <w:b/>
          <w:bCs/>
          <w:color w:val="4F81BD" w:themeColor="accent1"/>
          <w:sz w:val="18"/>
          <w:szCs w:val="18"/>
        </w:rPr>
        <w:fldChar w:fldCharType="separate"/>
      </w:r>
      <w:r w:rsidR="00CB4EDC">
        <w:rPr>
          <w:b/>
          <w:bCs/>
          <w:noProof/>
          <w:color w:val="4F81BD" w:themeColor="accent1"/>
          <w:sz w:val="18"/>
          <w:szCs w:val="18"/>
        </w:rPr>
        <w:t>1</w:t>
      </w:r>
      <w:r w:rsidR="0075172E">
        <w:rPr>
          <w:b/>
          <w:bCs/>
          <w:color w:val="4F81BD" w:themeColor="accent1"/>
          <w:sz w:val="18"/>
          <w:szCs w:val="18"/>
        </w:rPr>
        <w:fldChar w:fldCharType="end"/>
      </w:r>
      <w:r w:rsidR="00EB1DC7">
        <w:rPr>
          <w:b/>
          <w:bCs/>
          <w:color w:val="4F81BD" w:themeColor="accent1"/>
          <w:sz w:val="18"/>
          <w:szCs w:val="18"/>
        </w:rPr>
        <w:t>.</w:t>
      </w:r>
      <w:r w:rsidR="0075172E">
        <w:rPr>
          <w:b/>
          <w:bCs/>
          <w:color w:val="4F81BD" w:themeColor="accent1"/>
          <w:sz w:val="18"/>
          <w:szCs w:val="18"/>
        </w:rPr>
        <w:fldChar w:fldCharType="begin"/>
      </w:r>
      <w:r w:rsidR="00EB1DC7">
        <w:rPr>
          <w:b/>
          <w:bCs/>
          <w:color w:val="4F81BD" w:themeColor="accent1"/>
          <w:sz w:val="18"/>
          <w:szCs w:val="18"/>
        </w:rPr>
        <w:instrText xml:space="preserve"> SEQ Figure \* ARABIC \s 1 </w:instrText>
      </w:r>
      <w:r w:rsidR="0075172E">
        <w:rPr>
          <w:b/>
          <w:bCs/>
          <w:color w:val="4F81BD" w:themeColor="accent1"/>
          <w:sz w:val="18"/>
          <w:szCs w:val="18"/>
        </w:rPr>
        <w:fldChar w:fldCharType="separate"/>
      </w:r>
      <w:r w:rsidR="00CB4EDC">
        <w:rPr>
          <w:b/>
          <w:bCs/>
          <w:noProof/>
          <w:color w:val="4F81BD" w:themeColor="accent1"/>
          <w:sz w:val="18"/>
          <w:szCs w:val="18"/>
        </w:rPr>
        <w:t>4</w:t>
      </w:r>
      <w:r w:rsidR="0075172E">
        <w:rPr>
          <w:b/>
          <w:bCs/>
          <w:color w:val="4F81BD" w:themeColor="accent1"/>
          <w:sz w:val="18"/>
          <w:szCs w:val="18"/>
        </w:rPr>
        <w:fldChar w:fldCharType="end"/>
      </w:r>
      <w:bookmarkEnd w:id="17"/>
      <w:r w:rsidR="00DD065D">
        <w:rPr>
          <w:b/>
          <w:bCs/>
          <w:color w:val="4F81BD" w:themeColor="accent1"/>
          <w:sz w:val="18"/>
          <w:szCs w:val="18"/>
        </w:rPr>
        <w:t>:</w:t>
      </w:r>
      <w:r w:rsidRPr="00570889">
        <w:rPr>
          <w:b/>
          <w:bCs/>
          <w:color w:val="4F81BD" w:themeColor="accent1"/>
          <w:sz w:val="18"/>
          <w:szCs w:val="18"/>
        </w:rPr>
        <w:t xml:space="preserve"> Crystal structure of human carbonic anhydrase 1 complexed with a benzenesulfonamide with a hydrophobic tail</w:t>
      </w:r>
      <w:r w:rsidR="005C46C2">
        <w:rPr>
          <w:b/>
          <w:bCs/>
          <w:color w:val="4F81BD" w:themeColor="accent1"/>
          <w:sz w:val="18"/>
          <w:szCs w:val="18"/>
        </w:rPr>
        <w:t xml:space="preserve"> (highlighted in purple)</w:t>
      </w:r>
      <w:r w:rsidR="00C34357">
        <w:rPr>
          <w:b/>
          <w:bCs/>
          <w:color w:val="4F81BD" w:themeColor="accent1"/>
          <w:sz w:val="18"/>
          <w:szCs w:val="18"/>
        </w:rPr>
        <w:t>.</w:t>
      </w:r>
      <w:r w:rsidR="0075172E" w:rsidRPr="00570889">
        <w:rPr>
          <w:b/>
          <w:bCs/>
          <w:color w:val="4F81BD" w:themeColor="accent1"/>
        </w:rPr>
        <w:fldChar w:fldCharType="begin">
          <w:fldData xml:space="preserve">PEVuZE5vdGU+PENpdGU+PEF1dGhvcj5NZWNpbm92acSHPC9BdXRob3I+PFllYXI+MjAxMTwvWWVh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</w:fldData>
        </w:fldChar>
      </w:r>
      <w:r w:rsidR="00F04E2C">
        <w:rPr>
          <w:b/>
          <w:bCs/>
          <w:color w:val="4F81BD" w:themeColor="accent1"/>
        </w:rPr>
        <w:instrText xml:space="preserve"> ADDIN EN.CITE </w:instrText>
      </w:r>
      <w:r w:rsidR="0075172E">
        <w:rPr>
          <w:b/>
          <w:bCs/>
          <w:color w:val="4F81BD" w:themeColor="accent1"/>
        </w:rPr>
        <w:fldChar w:fldCharType="begin">
          <w:fldData xml:space="preserve">PEVuZE5vdGU+PENpdGU+PEF1dGhvcj5NZWNpbm92acSHPC9BdXRob3I+PFllYXI+MjAxMTwvWWVh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</w:fldData>
        </w:fldChar>
      </w:r>
      <w:r w:rsidR="00F04E2C">
        <w:rPr>
          <w:b/>
          <w:bCs/>
          <w:color w:val="4F81BD" w:themeColor="accent1"/>
        </w:rPr>
        <w:instrText xml:space="preserve"> ADDIN EN.CITE.DATA </w:instrText>
      </w:r>
      <w:r w:rsidR="0075172E">
        <w:rPr>
          <w:b/>
          <w:bCs/>
          <w:color w:val="4F81BD" w:themeColor="accent1"/>
        </w:rPr>
      </w:r>
      <w:r w:rsidR="0075172E">
        <w:rPr>
          <w:b/>
          <w:bCs/>
          <w:color w:val="4F81BD" w:themeColor="accent1"/>
        </w:rPr>
        <w:fldChar w:fldCharType="end"/>
      </w:r>
      <w:r w:rsidR="0075172E" w:rsidRPr="00570889">
        <w:rPr>
          <w:b/>
          <w:bCs/>
          <w:color w:val="4F81BD" w:themeColor="accent1"/>
        </w:rPr>
      </w:r>
      <w:r w:rsidR="0075172E" w:rsidRPr="00570889">
        <w:rPr>
          <w:b/>
          <w:bCs/>
          <w:color w:val="4F81BD" w:themeColor="accent1"/>
        </w:rPr>
        <w:fldChar w:fldCharType="separate"/>
      </w:r>
      <w:hyperlink w:anchor="_ENREF_30" w:tooltip="Mecinović, 2011 #262" w:history="1">
        <w:r w:rsidR="00512D09" w:rsidRPr="00F04E2C">
          <w:rPr>
            <w:b/>
            <w:bCs/>
            <w:noProof/>
            <w:color w:val="4F81BD" w:themeColor="accent1"/>
            <w:vertAlign w:val="superscript"/>
          </w:rPr>
          <w:t>30</w:t>
        </w:r>
      </w:hyperlink>
      <w:r w:rsidR="00F04E2C" w:rsidRPr="00F04E2C">
        <w:rPr>
          <w:b/>
          <w:bCs/>
          <w:noProof/>
          <w:color w:val="4F81BD" w:themeColor="accent1"/>
          <w:vertAlign w:val="superscript"/>
        </w:rPr>
        <w:t>,</w:t>
      </w:r>
      <w:hyperlink w:anchor="_ENREF_31" w:tooltip="Guex, 1997 #297" w:history="1">
        <w:r w:rsidR="00512D09" w:rsidRPr="00F04E2C">
          <w:rPr>
            <w:b/>
            <w:bCs/>
            <w:noProof/>
            <w:color w:val="4F81BD" w:themeColor="accent1"/>
            <w:vertAlign w:val="superscript"/>
          </w:rPr>
          <w:t>31</w:t>
        </w:r>
      </w:hyperlink>
      <w:r w:rsidR="0075172E" w:rsidRPr="00570889">
        <w:rPr>
          <w:color w:val="4F81BD" w:themeColor="accent1"/>
        </w:rPr>
        <w:fldChar w:fldCharType="end"/>
      </w:r>
    </w:p>
    <w:p w:rsidR="000D0D8B" w:rsidRDefault="00AC0E2A" w:rsidP="004E7551">
      <w:pPr>
        <w:spacing w:line="480" w:lineRule="auto"/>
        <w:jc w:val="both"/>
        <w:rPr>
          <w:bCs/>
          <w:iCs/>
        </w:rPr>
      </w:pPr>
      <w:r w:rsidRPr="00AC0E2A">
        <w:rPr>
          <w:bCs/>
          <w:iCs/>
        </w:rPr>
        <w:t>Using a serie</w:t>
      </w:r>
      <w:r w:rsidR="00CE494B">
        <w:rPr>
          <w:bCs/>
          <w:iCs/>
        </w:rPr>
        <w:t>s benzoarylsulfonamide ligands, t</w:t>
      </w:r>
      <w:r w:rsidRPr="00AC0E2A">
        <w:rPr>
          <w:bCs/>
          <w:iCs/>
        </w:rPr>
        <w:t>he Whitesides’ group reinforced their previous conclusion that the hydrophobic effect is not necessarily driven by contact between the protein binding site and the ligan</w:t>
      </w:r>
      <w:r w:rsidR="00C73D0B">
        <w:rPr>
          <w:bCs/>
          <w:iCs/>
        </w:rPr>
        <w:t>d, but can be from structure of water around the complex</w:t>
      </w:r>
      <w:r w:rsidR="008F32FE">
        <w:rPr>
          <w:bCs/>
          <w:iCs/>
        </w:rPr>
        <w:t>(</w:t>
      </w:r>
      <w:r w:rsidR="0075172E">
        <w:rPr>
          <w:bCs/>
          <w:iCs/>
        </w:rPr>
        <w:fldChar w:fldCharType="begin"/>
      </w:r>
      <w:r w:rsidR="00E752D2">
        <w:rPr>
          <w:bCs/>
          <w:iCs/>
        </w:rPr>
        <w:instrText xml:space="preserve"> REF _Ref442862274 \h </w:instrText>
      </w:r>
      <w:r w:rsidR="0075172E">
        <w:rPr>
          <w:bCs/>
          <w:iCs/>
        </w:rPr>
      </w:r>
      <w:r w:rsidR="0075172E">
        <w:rPr>
          <w:bCs/>
          <w:iCs/>
        </w:rPr>
        <w:fldChar w:fldCharType="separate"/>
      </w:r>
      <w:r w:rsidR="00CB4EDC">
        <w:t xml:space="preserve">Figure </w:t>
      </w:r>
      <w:r w:rsidR="00CB4EDC">
        <w:rPr>
          <w:noProof/>
        </w:rPr>
        <w:t>1</w:t>
      </w:r>
      <w:r w:rsidR="00CB4EDC">
        <w:t>.</w:t>
      </w:r>
      <w:r w:rsidR="00CB4EDC">
        <w:rPr>
          <w:noProof/>
        </w:rPr>
        <w:t>6</w:t>
      </w:r>
      <w:r w:rsidR="0075172E">
        <w:rPr>
          <w:bCs/>
          <w:iCs/>
        </w:rPr>
        <w:fldChar w:fldCharType="end"/>
      </w:r>
      <w:r w:rsidR="008F32FE">
        <w:rPr>
          <w:bCs/>
          <w:iCs/>
        </w:rPr>
        <w:t>)</w:t>
      </w:r>
      <w:r w:rsidR="006E158B">
        <w:rPr>
          <w:bCs/>
          <w:iCs/>
        </w:rPr>
        <w:t>.</w:t>
      </w:r>
      <w:hyperlink w:anchor="_ENREF_32" w:tooltip="Lockett, 2013 #275" w:history="1">
        <w:r w:rsidR="00512D09" w:rsidRPr="00AC0E2A">
          <w:rPr>
            <w:bCs/>
            <w:iCs/>
          </w:rPr>
          <w:fldChar w:fldCharType="begin"/>
        </w:r>
        <w:r w:rsidR="00512D09">
          <w:rPr>
            <w:bCs/>
            <w:iCs/>
          </w:rPr>
          <w:instrText xml:space="preserve"> ADDIN EN.CITE &lt;EndNote&gt;&lt;Cite&gt;&lt;Author&gt;Lockett&lt;/Author&gt;&lt;Year&gt;2013&lt;/Year&gt;&lt;RecNum&gt;275&lt;/RecNum&gt;&lt;DisplayText&gt;&lt;style face="superscript"&gt;32&lt;/style&gt;&lt;/DisplayText&gt;&lt;record&gt;&lt;rec-number&gt;275&lt;/rec-number&gt;&lt;foreign-keys&gt;&lt;key app="EN" db-id="5trrespwzsdr07efd5tx2w96x22re9s0fsdt"&gt;275&lt;/key&gt;&lt;/foreign-keys&gt;&lt;ref-type name="Journal Article"&gt;17&lt;/ref-type&gt;&lt;contributors&gt;&lt;authors&gt;&lt;author&gt;Lockett, Matthew R.&lt;/author&gt;&lt;author&gt;Lange, Heiko&lt;/author&gt;&lt;author&gt;Breiten, Benjamin&lt;/author&gt;&lt;author&gt;Heroux, Annie&lt;/author&gt;&lt;author&gt;Sherman, Woody&lt;/author&gt;&lt;author&gt;Rappoport, Dmitrij&lt;/author&gt;&lt;author&gt;Yau, Patricia O.&lt;/author&gt;&lt;author&gt;Snyder, Philip W.&lt;/author&gt;&lt;author&gt;Whitesides, George M.&lt;/author&gt;&lt;/authors&gt;&lt;/contributors&gt;&lt;titles&gt;&lt;title&gt;The Binding of Benzoarylsulfonamide Ligands to Human Carbonic Anhydrase is Insensitive to Formal Fluorination of the Ligand&lt;/title&gt;&lt;secondary-title&gt;Angewandte Chemie International Edition&lt;/secondary-title&gt;&lt;/titles&gt;&lt;periodical&gt;&lt;full-title&gt;Angewandte Chemie International Edition&lt;/full-title&gt;&lt;/periodical&gt;&lt;pages&gt;7714-7717&lt;/pages&gt;&lt;volume&gt;52&lt;/volume&gt;&lt;number&gt;30&lt;/number&gt;&lt;keywords&gt;&lt;keyword&gt;biomolecular recognition&lt;/keyword&gt;&lt;keyword&gt;carbonic anhydrase&lt;/keyword&gt;&lt;keyword&gt;hydrophobic effect&lt;/keyword&gt;&lt;keyword&gt;protein-ligand binding&lt;/keyword&gt;&lt;keyword&gt;water&lt;/keyword&gt;&lt;/keywords&gt;&lt;dates&gt;&lt;year&gt;2013&lt;/year&gt;&lt;/dates&gt;&lt;publisher&gt;WILEY-VCH Verlag&lt;/publisher&gt;&lt;isbn&gt;1521-3773&lt;/isbn&gt;&lt;urls&gt;&lt;related-urls&gt;&lt;url&gt;http://dx.doi.org/10.1002/anie.201301813&lt;/url&gt;&lt;/related-urls&gt;&lt;/urls&gt;&lt;electronic-resource-num&gt;10.1002/anie.201301813&lt;/electronic-resource-num&gt;&lt;/record&gt;&lt;/Cite&gt;&lt;/EndNote&gt;</w:instrText>
        </w:r>
        <w:r w:rsidR="00512D09" w:rsidRPr="00AC0E2A">
          <w:rPr>
            <w:bCs/>
            <w:iCs/>
          </w:rPr>
          <w:fldChar w:fldCharType="separate"/>
        </w:r>
        <w:r w:rsidR="00512D09" w:rsidRPr="00F04E2C">
          <w:rPr>
            <w:bCs/>
            <w:iCs/>
            <w:noProof/>
            <w:vertAlign w:val="superscript"/>
          </w:rPr>
          <w:t>32</w:t>
        </w:r>
        <w:r w:rsidR="00512D09" w:rsidRPr="00AC0E2A">
          <w:fldChar w:fldCharType="end"/>
        </w:r>
      </w:hyperlink>
      <w:r w:rsidR="00C34357">
        <w:t xml:space="preserve"> </w:t>
      </w:r>
      <w:r w:rsidRPr="00AC0E2A">
        <w:rPr>
          <w:bCs/>
          <w:iCs/>
        </w:rPr>
        <w:t>However</w:t>
      </w:r>
      <w:r w:rsidR="00CE494B">
        <w:rPr>
          <w:bCs/>
          <w:iCs/>
        </w:rPr>
        <w:t>,</w:t>
      </w:r>
      <w:r w:rsidRPr="00AC0E2A">
        <w:rPr>
          <w:bCs/>
          <w:iCs/>
        </w:rPr>
        <w:t xml:space="preserve"> with these particular ligands, fluorination actually increased the number of water molecules found in the protein-crystal complex. In addition to this, the difference in the heat capacity of binding (Δ</w:t>
      </w:r>
      <w:r w:rsidRPr="00AC0E2A">
        <w:rPr>
          <w:bCs/>
          <w:i/>
          <w:iCs/>
        </w:rPr>
        <w:t>C</w:t>
      </w:r>
      <w:r w:rsidRPr="00AC0E2A">
        <w:rPr>
          <w:bCs/>
          <w:i/>
          <w:iCs/>
          <w:vertAlign w:val="subscript"/>
        </w:rPr>
        <w:t>p</w:t>
      </w:r>
      <w:r w:rsidRPr="00AC0E2A">
        <w:rPr>
          <w:bCs/>
          <w:iCs/>
        </w:rPr>
        <w:t>) was more negative for fluorine s</w:t>
      </w:r>
      <w:r w:rsidR="005C46C2">
        <w:rPr>
          <w:bCs/>
          <w:iCs/>
        </w:rPr>
        <w:t>ubstituted ligand by -184 kJ</w:t>
      </w:r>
      <w:r w:rsidR="00B85C83">
        <w:rPr>
          <w:bCs/>
          <w:iCs/>
        </w:rPr>
        <w:t>/ (</w:t>
      </w:r>
      <w:r w:rsidR="005C46C2">
        <w:rPr>
          <w:bCs/>
          <w:iCs/>
        </w:rPr>
        <w:t>mol∙K</w:t>
      </w:r>
      <w:r w:rsidR="007979BA">
        <w:rPr>
          <w:bCs/>
          <w:iCs/>
        </w:rPr>
        <w:t>)</w:t>
      </w:r>
      <w:r w:rsidRPr="00AC0E2A">
        <w:rPr>
          <w:bCs/>
          <w:iCs/>
        </w:rPr>
        <w:t xml:space="preserve"> Whitesides </w:t>
      </w:r>
      <w:r w:rsidR="002D4FF8">
        <w:rPr>
          <w:bCs/>
          <w:i/>
          <w:iCs/>
        </w:rPr>
        <w:t xml:space="preserve">et al. </w:t>
      </w:r>
      <w:r w:rsidRPr="00AC0E2A">
        <w:rPr>
          <w:bCs/>
          <w:iCs/>
        </w:rPr>
        <w:t xml:space="preserve"> believed this supported the idea that there is a mixture of hydrophobic driving forces that are dependent on the structure of water around the ligand and in the binding site. </w:t>
      </w:r>
    </w:p>
    <w:p w:rsidR="003915D1" w:rsidRDefault="003915D1" w:rsidP="004E7551">
      <w:pPr>
        <w:spacing w:line="480" w:lineRule="auto"/>
        <w:jc w:val="both"/>
        <w:rPr>
          <w:bCs/>
          <w:iCs/>
        </w:rPr>
      </w:pPr>
    </w:p>
    <w:p w:rsidR="003915D1" w:rsidRDefault="003915D1" w:rsidP="004E7551">
      <w:pPr>
        <w:spacing w:line="480" w:lineRule="auto"/>
        <w:jc w:val="both"/>
        <w:rPr>
          <w:bCs/>
          <w:iCs/>
        </w:rPr>
      </w:pPr>
    </w:p>
    <w:p w:rsidR="00AC0E2A" w:rsidRDefault="000D0D8B" w:rsidP="00F96814">
      <w:pPr>
        <w:spacing w:line="480" w:lineRule="auto"/>
        <w:jc w:val="center"/>
        <w:rPr>
          <w:bCs/>
          <w:iCs/>
        </w:rPr>
      </w:pPr>
      <w:r>
        <w:rPr>
          <w:bCs/>
          <w:iCs/>
          <w:noProof/>
          <w:lang w:eastAsia="en-GB"/>
        </w:rPr>
        <w:lastRenderedPageBreak/>
        <w:drawing>
          <wp:inline distT="0" distB="0" distL="0" distR="0" wp14:anchorId="4928483F" wp14:editId="296868D6">
            <wp:extent cx="2124075" cy="17716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40000"/>
                      <a:extLst>
                        <a:ext uri="{28A0092B-C50C-407E-A947-70E740481C1C}">
                          <a14:useLocalDpi xmlns:a14="http://schemas.microsoft.com/office/drawing/2010/main" val="0"/>
                        </a:ext>
                      </a:extLst>
                    </a:blip>
                    <a:srcRect b="18062"/>
                    <a:stretch>
                      <a:fillRect/>
                    </a:stretch>
                  </pic:blipFill>
                  <pic:spPr bwMode="auto">
                    <a:xfrm>
                      <a:off x="0" y="0"/>
                      <a:ext cx="2124075" cy="1771650"/>
                    </a:xfrm>
                    <a:prstGeom prst="rect">
                      <a:avLst/>
                    </a:prstGeom>
                    <a:noFill/>
                    <a:ln>
                      <a:noFill/>
                    </a:ln>
                  </pic:spPr>
                </pic:pic>
              </a:graphicData>
            </a:graphic>
          </wp:inline>
        </w:drawing>
      </w:r>
    </w:p>
    <w:p w:rsidR="006E158B" w:rsidRPr="00F96814" w:rsidRDefault="00F96814" w:rsidP="00F96814">
      <w:pPr>
        <w:pStyle w:val="Caption"/>
        <w:spacing w:line="480" w:lineRule="auto"/>
        <w:jc w:val="center"/>
      </w:pPr>
      <w:bookmarkStart w:id="18" w:name="_Ref442803260"/>
      <w:r w:rsidRPr="00570889">
        <w:t xml:space="preserve">Figure </w:t>
      </w:r>
      <w:r w:rsidR="0075172E">
        <w:fldChar w:fldCharType="begin"/>
      </w:r>
      <w:r w:rsidR="00AC2227">
        <w:instrText xml:space="preserve"> STYLEREF 1 \s </w:instrText>
      </w:r>
      <w:r w:rsidR="0075172E">
        <w:fldChar w:fldCharType="separate"/>
      </w:r>
      <w:r w:rsidR="00CB4EDC">
        <w:rPr>
          <w:noProof/>
        </w:rPr>
        <w:t>1</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5</w:t>
      </w:r>
      <w:r w:rsidR="0075172E">
        <w:fldChar w:fldCharType="end"/>
      </w:r>
      <w:bookmarkEnd w:id="18"/>
      <w:r>
        <w:t xml:space="preserve">: </w:t>
      </w:r>
      <w:r w:rsidRPr="00570889">
        <w:t xml:space="preserve">The </w:t>
      </w:r>
      <w:r w:rsidRPr="00570889">
        <w:rPr>
          <w:iCs/>
        </w:rPr>
        <w:t xml:space="preserve">benzenesulfonamide ligands used by Whitesides </w:t>
      </w:r>
      <w:r w:rsidR="002D4FF8">
        <w:rPr>
          <w:i/>
          <w:iCs/>
        </w:rPr>
        <w:t xml:space="preserve">et al. </w:t>
      </w:r>
      <w:r w:rsidRPr="00570889">
        <w:rPr>
          <w:iCs/>
        </w:rPr>
        <w:t xml:space="preserve"> to show enthalpy has a large component to the hydrophobic effect where </w:t>
      </w:r>
      <w:r w:rsidRPr="00570889">
        <w:rPr>
          <w:i/>
          <w:iCs/>
        </w:rPr>
        <w:t>n</w:t>
      </w:r>
      <w:r w:rsidRPr="00570889">
        <w:rPr>
          <w:iCs/>
        </w:rPr>
        <w:t> = 0–4, X = H or F. Increasing the size of the alkyl or ﬂuoroalkyl chains otherwise known as the “greasy tail” made the entropy and the enthalpy more favourable.</w:t>
      </w:r>
    </w:p>
    <w:p w:rsidR="0083333F" w:rsidRDefault="000D0D8B" w:rsidP="004E7551">
      <w:pPr>
        <w:spacing w:line="480" w:lineRule="auto"/>
        <w:jc w:val="both"/>
        <w:rPr>
          <w:bCs/>
          <w:iCs/>
        </w:rPr>
      </w:pPr>
      <w:r>
        <w:rPr>
          <w:bCs/>
          <w:iCs/>
        </w:rPr>
        <w:t>Base</w:t>
      </w:r>
      <w:r w:rsidR="00AC0E2A" w:rsidRPr="00AC0E2A">
        <w:rPr>
          <w:bCs/>
          <w:iCs/>
        </w:rPr>
        <w:t xml:space="preserve">d on this, the group proposed a possible improvement to designing new inhibitors involving substituents with larger </w:t>
      </w:r>
      <w:r w:rsidR="00570889">
        <w:rPr>
          <w:bCs/>
          <w:iCs/>
        </w:rPr>
        <w:t>SASA</w:t>
      </w:r>
      <w:r w:rsidR="00570889" w:rsidRPr="00570889">
        <w:rPr>
          <w:bCs/>
          <w:iCs/>
        </w:rPr>
        <w:t xml:space="preserve"> </w:t>
      </w:r>
      <w:r w:rsidR="00AC0E2A" w:rsidRPr="00AC0E2A">
        <w:rPr>
          <w:bCs/>
          <w:iCs/>
        </w:rPr>
        <w:t>to displace any water within the region</w:t>
      </w:r>
      <w:r w:rsidR="006E158B">
        <w:rPr>
          <w:bCs/>
          <w:iCs/>
        </w:rPr>
        <w:t>.</w:t>
      </w:r>
      <w:r w:rsidR="00AC0E2A" w:rsidRPr="00AC0E2A">
        <w:rPr>
          <w:bCs/>
          <w:iCs/>
        </w:rPr>
        <w:t xml:space="preserve"> </w:t>
      </w:r>
      <w:hyperlink w:anchor="_ENREF_32" w:tooltip="Lockett, 2013 #275" w:history="1">
        <w:r w:rsidR="00512D09" w:rsidRPr="00AC0E2A">
          <w:rPr>
            <w:bCs/>
            <w:iCs/>
          </w:rPr>
          <w:fldChar w:fldCharType="begin"/>
        </w:r>
        <w:r w:rsidR="00512D09">
          <w:rPr>
            <w:bCs/>
            <w:iCs/>
          </w:rPr>
          <w:instrText xml:space="preserve"> ADDIN EN.CITE &lt;EndNote&gt;&lt;Cite&gt;&lt;Author&gt;Lockett&lt;/Author&gt;&lt;Year&gt;2013&lt;/Year&gt;&lt;RecNum&gt;275&lt;/RecNum&gt;&lt;DisplayText&gt;&lt;style face="superscript"&gt;32&lt;/style&gt;&lt;/DisplayText&gt;&lt;record&gt;&lt;rec-number&gt;275&lt;/rec-number&gt;&lt;foreign-keys&gt;&lt;key app="EN" db-id="5trrespwzsdr07efd5tx2w96x22re9s0fsdt"&gt;275&lt;/key&gt;&lt;/foreign-keys&gt;&lt;ref-type name="Journal Article"&gt;17&lt;/ref-type&gt;&lt;contributors&gt;&lt;authors&gt;&lt;author&gt;Lockett, Matthew R.&lt;/author&gt;&lt;author&gt;Lange, Heiko&lt;/author&gt;&lt;author&gt;Breiten, Benjamin&lt;/author&gt;&lt;author&gt;Heroux, Annie&lt;/author&gt;&lt;author&gt;Sherman, Woody&lt;/author&gt;&lt;author&gt;Rappoport, Dmitrij&lt;/author&gt;&lt;author&gt;Yau, Patricia O.&lt;/author&gt;&lt;author&gt;Snyder, Philip W.&lt;/author&gt;&lt;author&gt;Whitesides, George M.&lt;/author&gt;&lt;/authors&gt;&lt;/contributors&gt;&lt;titles&gt;&lt;title&gt;The Binding of Benzoarylsulfonamide Ligands to Human Carbonic Anhydrase is Insensitive to Formal Fluorination of the Ligand&lt;/title&gt;&lt;secondary-title&gt;Angewandte Chemie International Edition&lt;/secondary-title&gt;&lt;/titles&gt;&lt;periodical&gt;&lt;full-title&gt;Angewandte Chemie International Edition&lt;/full-title&gt;&lt;/periodical&gt;&lt;pages&gt;7714-7717&lt;/pages&gt;&lt;volume&gt;52&lt;/volume&gt;&lt;number&gt;30&lt;/number&gt;&lt;keywords&gt;&lt;keyword&gt;biomolecular recognition&lt;/keyword&gt;&lt;keyword&gt;carbonic anhydrase&lt;/keyword&gt;&lt;keyword&gt;hydrophobic effect&lt;/keyword&gt;&lt;keyword&gt;protein-ligand binding&lt;/keyword&gt;&lt;keyword&gt;water&lt;/keyword&gt;&lt;/keywords&gt;&lt;dates&gt;&lt;year&gt;2013&lt;/year&gt;&lt;/dates&gt;&lt;publisher&gt;WILEY-VCH Verlag&lt;/publisher&gt;&lt;isbn&gt;1521-3773&lt;/isbn&gt;&lt;urls&gt;&lt;related-urls&gt;&lt;url&gt;http://dx.doi.org/10.1002/anie.201301813&lt;/url&gt;&lt;/related-urls&gt;&lt;/urls&gt;&lt;electronic-resource-num&gt;10.1002/anie.201301813&lt;/electronic-resource-num&gt;&lt;/record&gt;&lt;/Cite&gt;&lt;/EndNote&gt;</w:instrText>
        </w:r>
        <w:r w:rsidR="00512D09" w:rsidRPr="00AC0E2A">
          <w:rPr>
            <w:bCs/>
            <w:iCs/>
          </w:rPr>
          <w:fldChar w:fldCharType="separate"/>
        </w:r>
        <w:r w:rsidR="00512D09" w:rsidRPr="00F04E2C">
          <w:rPr>
            <w:bCs/>
            <w:iCs/>
            <w:noProof/>
            <w:vertAlign w:val="superscript"/>
          </w:rPr>
          <w:t>32</w:t>
        </w:r>
        <w:r w:rsidR="00512D09" w:rsidRPr="00AC0E2A">
          <w:fldChar w:fldCharType="end"/>
        </w:r>
      </w:hyperlink>
      <w:r w:rsidR="00AC0E2A" w:rsidRPr="00AC0E2A">
        <w:rPr>
          <w:bCs/>
          <w:iCs/>
        </w:rPr>
        <w:t xml:space="preserve"> Incorporation of fluorine instead of hydrogen could be one way to attain a larger SASA. In addition to this, fluorine has been known to decrease the metabolic susceptibility of drugs and assist in membrane permeability</w:t>
      </w:r>
      <w:r w:rsidR="006E158B">
        <w:rPr>
          <w:bCs/>
          <w:iCs/>
        </w:rPr>
        <w:t>.</w:t>
      </w:r>
      <w:r w:rsidR="00AC0E2A" w:rsidRPr="00AC0E2A">
        <w:rPr>
          <w:bCs/>
          <w:iCs/>
        </w:rPr>
        <w:t xml:space="preserve"> </w:t>
      </w:r>
      <w:hyperlink w:anchor="_ENREF_33" w:tooltip="Biffinger, 2004 #95" w:history="1">
        <w:r w:rsidR="00512D09" w:rsidRPr="00AC0E2A">
          <w:rPr>
            <w:bCs/>
            <w:iCs/>
          </w:rPr>
          <w:fldChar w:fldCharType="begin"/>
        </w:r>
        <w:r w:rsidR="00512D09">
          <w:rPr>
            <w:bCs/>
            <w:iCs/>
          </w:rPr>
          <w:instrText xml:space="preserve"> ADDIN EN.CITE &lt;EndNote&gt;&lt;Cite&gt;&lt;Author&gt;Biffinger&lt;/Author&gt;&lt;Year&gt;2004&lt;/Year&gt;&lt;RecNum&gt;95&lt;/RecNum&gt;&lt;DisplayText&gt;&lt;style face="superscript"&gt;33&lt;/style&gt;&lt;/DisplayText&gt;&lt;record&gt;&lt;rec-number&gt;95&lt;/rec-number&gt;&lt;foreign-keys&gt;&lt;key app="EN" db-id="5trrespwzsdr07efd5tx2w96x22re9s0fsdt"&gt;95&lt;/key&gt;&lt;/foreign-keys&gt;&lt;ref-type name="Journal Article"&gt;17&lt;/ref-type&gt;&lt;contributors&gt;&lt;authors&gt;&lt;author&gt;Biffinger, J. C.&lt;/author&gt;&lt;author&gt;Kim, H. W.&lt;/author&gt;&lt;author&gt;DiMagno, S. G.&lt;/author&gt;&lt;/authors&gt;&lt;/contributors&gt;&lt;auth-address&gt;Department of Chemistry, University of Nebraska, Lincoln, NE 68588-0304, USA.&lt;/auth-address&gt;&lt;titles&gt;&lt;title&gt;The polar hydrophobicity of fluorinated compounds&lt;/title&gt;&lt;secondary-title&gt;Chembiochem&lt;/secondary-title&gt;&lt;alt-title&gt;Chembiochem : a European journal of chemical biology&lt;/alt-title&gt;&lt;/titles&gt;&lt;periodical&gt;&lt;full-title&gt;Chembiochem&lt;/full-title&gt;&lt;abbr-1&gt;Chembiochem : a European journal of chemical biology&lt;/abbr-1&gt;&lt;/periodical&gt;&lt;alt-periodical&gt;&lt;full-title&gt;Chembiochem&lt;/full-title&gt;&lt;abbr-1&gt;Chembiochem : a European journal of chemical biology&lt;/abbr-1&gt;&lt;/alt-periodical&gt;&lt;pages&gt;622-7&lt;/pages&gt;&lt;volume&gt;5&lt;/volume&gt;&lt;number&gt;5&lt;/number&gt;&lt;edition&gt;2004/05/04&lt;/edition&gt;&lt;keywords&gt;&lt;keyword&gt;Biological Transport/drug effects&lt;/keyword&gt;&lt;keyword&gt;Crystallography, X-Ray&lt;/keyword&gt;&lt;keyword&gt;Fluorine/*chemistry&lt;/keyword&gt;&lt;keyword&gt;Glucose/analogs &amp;amp; derivatives/chemistry/metabolism&lt;/keyword&gt;&lt;keyword&gt;*Hydrophobic and Hydrophilic Interactions&lt;/keyword&gt;&lt;keyword&gt;Models, Molecular&lt;/keyword&gt;&lt;keyword&gt;Molecular Conformation&lt;/keyword&gt;&lt;keyword&gt;Organic Chemicals/chemical synthesis/*chemistry/pharmacology&lt;/keyword&gt;&lt;keyword&gt;Thrombin/antagonists &amp;amp; inhibitors&lt;/keyword&gt;&lt;/keywords&gt;&lt;dates&gt;&lt;year&gt;2004&lt;/year&gt;&lt;pub-dates&gt;&lt;date&gt;May 3&lt;/date&gt;&lt;/pub-dates&gt;&lt;/dates&gt;&lt;isbn&gt;1439-4227 (Print)&amp;#xD;1439-4227 (Linking)&lt;/isbn&gt;&lt;accession-num&gt;15122633&lt;/accession-num&gt;&lt;work-type&gt;Review&lt;/work-type&gt;&lt;urls&gt;&lt;related-urls&gt;&lt;url&gt;http://www.ncbi.nlm.nih.gov/pubmed/15122633&lt;/url&gt;&lt;/related-urls&gt;&lt;/urls&gt;&lt;electronic-resource-num&gt;10.1002/cbic.200300910&lt;/electronic-resource-num&gt;&lt;language&gt;eng&lt;/language&gt;&lt;/record&gt;&lt;/Cite&gt;&lt;/EndNote&gt;</w:instrText>
        </w:r>
        <w:r w:rsidR="00512D09" w:rsidRPr="00AC0E2A">
          <w:rPr>
            <w:bCs/>
            <w:iCs/>
          </w:rPr>
          <w:fldChar w:fldCharType="separate"/>
        </w:r>
        <w:r w:rsidR="00512D09" w:rsidRPr="00F04E2C">
          <w:rPr>
            <w:bCs/>
            <w:iCs/>
            <w:noProof/>
            <w:vertAlign w:val="superscript"/>
          </w:rPr>
          <w:t>33</w:t>
        </w:r>
        <w:r w:rsidR="00512D09" w:rsidRPr="00AC0E2A">
          <w:fldChar w:fldCharType="end"/>
        </w:r>
      </w:hyperlink>
      <w:r w:rsidR="00AC0E2A" w:rsidRPr="00AC0E2A">
        <w:rPr>
          <w:bCs/>
          <w:iCs/>
        </w:rPr>
        <w:t xml:space="preserve"> Perhaps, replacement of hydrogen atoms with fluorine could be a </w:t>
      </w:r>
      <w:r w:rsidR="002504AB">
        <w:rPr>
          <w:bCs/>
          <w:iCs/>
        </w:rPr>
        <w:t>future method of improving drug-</w:t>
      </w:r>
      <w:r w:rsidR="00AC0E2A" w:rsidRPr="00AC0E2A">
        <w:rPr>
          <w:bCs/>
          <w:iCs/>
        </w:rPr>
        <w:t>binding thermodynamics. Many would argue changes in thermodynamics due to substituting hydrogen with fluorine would be in part caused by the increased hydrophobicity of the fluorine atom. However</w:t>
      </w:r>
      <w:r w:rsidR="002504AB">
        <w:rPr>
          <w:bCs/>
          <w:iCs/>
        </w:rPr>
        <w:t>,</w:t>
      </w:r>
      <w:r w:rsidR="00AC0E2A" w:rsidRPr="00AC0E2A">
        <w:rPr>
          <w:bCs/>
          <w:iCs/>
        </w:rPr>
        <w:t xml:space="preserve"> </w:t>
      </w:r>
      <w:r w:rsidR="00C73D0B">
        <w:rPr>
          <w:bCs/>
          <w:iCs/>
        </w:rPr>
        <w:t xml:space="preserve">Lockett </w:t>
      </w:r>
      <w:r w:rsidR="002D4FF8">
        <w:rPr>
          <w:bCs/>
          <w:i/>
          <w:iCs/>
        </w:rPr>
        <w:t xml:space="preserve">et al. </w:t>
      </w:r>
      <w:r w:rsidR="00C73D0B">
        <w:rPr>
          <w:bCs/>
          <w:iCs/>
        </w:rPr>
        <w:t xml:space="preserve">argued that </w:t>
      </w:r>
      <w:r w:rsidR="002504AB">
        <w:rPr>
          <w:bCs/>
          <w:iCs/>
        </w:rPr>
        <w:t xml:space="preserve">some measures of hydrophobicity, </w:t>
      </w:r>
      <w:r w:rsidR="00AC0E2A" w:rsidRPr="00AC0E2A">
        <w:rPr>
          <w:bCs/>
          <w:iCs/>
        </w:rPr>
        <w:t>when corrected for the differences in surface area</w:t>
      </w:r>
      <w:r w:rsidR="002504AB">
        <w:rPr>
          <w:bCs/>
          <w:iCs/>
        </w:rPr>
        <w:t>,</w:t>
      </w:r>
      <w:r w:rsidR="00AC0E2A" w:rsidRPr="00AC0E2A">
        <w:rPr>
          <w:bCs/>
          <w:iCs/>
        </w:rPr>
        <w:t xml:space="preserve"> are very similar if not </w:t>
      </w:r>
      <w:r w:rsidR="006E158B">
        <w:rPr>
          <w:bCs/>
          <w:iCs/>
        </w:rPr>
        <w:t>identical</w:t>
      </w:r>
      <w:r w:rsidR="00CE494B">
        <w:rPr>
          <w:bCs/>
          <w:iCs/>
        </w:rPr>
        <w:t>.</w:t>
      </w:r>
      <w:r w:rsidR="0075172E" w:rsidRPr="00AC0E2A">
        <w:rPr>
          <w:bCs/>
          <w:iCs/>
        </w:rPr>
        <w:fldChar w:fldCharType="begin">
          <w:fldData xml:space="preserve">PEVuZE5vdGU+PENpdGU+PEF1dGhvcj5NZWNpbm92acSHPC9BdXRob3I+PFllYXI+MjAxMTwvWWVh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</w:fldData>
        </w:fldChar>
      </w:r>
      <w:r w:rsidR="00F04E2C">
        <w:rPr>
          <w:bCs/>
          <w:iCs/>
        </w:rPr>
        <w:instrText xml:space="preserve"> ADDIN EN.CITE </w:instrText>
      </w:r>
      <w:r w:rsidR="0075172E">
        <w:rPr>
          <w:bCs/>
          <w:iCs/>
        </w:rPr>
        <w:fldChar w:fldCharType="begin">
          <w:fldData xml:space="preserve">PEVuZE5vdGU+PENpdGU+PEF1dGhvcj5NZWNpbm92acSHPC9BdXRob3I+PFllYXI+MjAxMTwvWWVh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</w:fldData>
        </w:fldChar>
      </w:r>
      <w:r w:rsidR="00F04E2C">
        <w:rPr>
          <w:bCs/>
          <w:iCs/>
        </w:rPr>
        <w:instrText xml:space="preserve"> ADDIN EN.CITE.DATA </w:instrText>
      </w:r>
      <w:r w:rsidR="0075172E">
        <w:rPr>
          <w:bCs/>
          <w:iCs/>
        </w:rPr>
      </w:r>
      <w:r w:rsidR="0075172E">
        <w:rPr>
          <w:bCs/>
          <w:iCs/>
        </w:rPr>
        <w:fldChar w:fldCharType="end"/>
      </w:r>
      <w:r w:rsidR="0075172E" w:rsidRPr="00AC0E2A">
        <w:rPr>
          <w:bCs/>
          <w:iCs/>
        </w:rPr>
      </w:r>
      <w:r w:rsidR="0075172E" w:rsidRPr="00AC0E2A">
        <w:rPr>
          <w:bCs/>
          <w:iCs/>
        </w:rPr>
        <w:fldChar w:fldCharType="separate"/>
      </w:r>
      <w:hyperlink w:anchor="_ENREF_30" w:tooltip="Mecinović, 2011 #262" w:history="1">
        <w:r w:rsidR="00512D09" w:rsidRPr="00F04E2C">
          <w:rPr>
            <w:bCs/>
            <w:iCs/>
            <w:noProof/>
            <w:vertAlign w:val="superscript"/>
          </w:rPr>
          <w:t>30</w:t>
        </w:r>
      </w:hyperlink>
      <w:r w:rsidR="00F04E2C" w:rsidRPr="00F04E2C">
        <w:rPr>
          <w:bCs/>
          <w:iCs/>
          <w:noProof/>
          <w:vertAlign w:val="superscript"/>
        </w:rPr>
        <w:t>,</w:t>
      </w:r>
      <w:hyperlink w:anchor="_ENREF_34" w:tooltip="Gao, 1995 #284" w:history="1">
        <w:r w:rsidR="00512D09" w:rsidRPr="00F04E2C">
          <w:rPr>
            <w:bCs/>
            <w:iCs/>
            <w:noProof/>
            <w:vertAlign w:val="superscript"/>
          </w:rPr>
          <w:t>34</w:t>
        </w:r>
      </w:hyperlink>
      <w:r w:rsidR="0075172E" w:rsidRPr="00AC0E2A">
        <w:fldChar w:fldCharType="end"/>
      </w:r>
      <w:r w:rsidR="00AC0E2A" w:rsidRPr="00AC0E2A">
        <w:rPr>
          <w:bCs/>
          <w:iCs/>
        </w:rPr>
        <w:t xml:space="preserve">  When measuring the partitioning coefficient of fluorine and hydrogen substituted benzoarylsulfonamide ligands between buffer and octanol they found the surface area-corrected hyd</w:t>
      </w:r>
      <w:r w:rsidR="00D107CE">
        <w:rPr>
          <w:bCs/>
          <w:iCs/>
        </w:rPr>
        <w:t>rophobicity increases by 4.6 kJ/</w:t>
      </w:r>
      <w:r w:rsidR="00AC0E2A" w:rsidRPr="00AC0E2A">
        <w:rPr>
          <w:bCs/>
          <w:iCs/>
        </w:rPr>
        <w:t>mol</w:t>
      </w:r>
      <w:r w:rsidR="00D107CE">
        <w:rPr>
          <w:bCs/>
          <w:iCs/>
          <w:vertAlign w:val="superscript"/>
        </w:rPr>
        <w:t xml:space="preserve"> </w:t>
      </w:r>
      <w:r w:rsidR="00D107CE">
        <w:rPr>
          <w:bCs/>
          <w:iCs/>
        </w:rPr>
        <w:t>∙</w:t>
      </w:r>
      <w:r w:rsidR="00AC0E2A" w:rsidRPr="00AC0E2A">
        <w:rPr>
          <w:bCs/>
          <w:iCs/>
        </w:rPr>
        <w:t>A</w:t>
      </w:r>
      <w:r w:rsidR="00D107CE">
        <w:rPr>
          <w:bCs/>
          <w:iCs/>
          <w:vertAlign w:val="superscript"/>
        </w:rPr>
        <w:t>2</w:t>
      </w:r>
      <w:r w:rsidR="00AC0E2A" w:rsidRPr="00AC0E2A">
        <w:rPr>
          <w:bCs/>
          <w:iCs/>
        </w:rPr>
        <w:t xml:space="preserve"> upon fluorine substitution.  </w:t>
      </w:r>
    </w:p>
    <w:p w:rsidR="003915D1" w:rsidRDefault="003915D1" w:rsidP="004E7551">
      <w:pPr>
        <w:spacing w:line="480" w:lineRule="auto"/>
        <w:jc w:val="both"/>
        <w:rPr>
          <w:bCs/>
          <w:iCs/>
        </w:rPr>
      </w:pPr>
    </w:p>
    <w:p w:rsidR="003915D1" w:rsidRDefault="003915D1" w:rsidP="004E7551">
      <w:pPr>
        <w:spacing w:line="480" w:lineRule="auto"/>
        <w:jc w:val="both"/>
        <w:rPr>
          <w:bCs/>
          <w:iCs/>
        </w:rPr>
      </w:pPr>
    </w:p>
    <w:p w:rsidR="003915D1" w:rsidRPr="00AC0E2A" w:rsidRDefault="003915D1" w:rsidP="004E7551">
      <w:pPr>
        <w:spacing w:line="480" w:lineRule="auto"/>
        <w:jc w:val="both"/>
        <w:rPr>
          <w:bCs/>
          <w:iCs/>
        </w:rPr>
      </w:pPr>
    </w:p>
    <w:p w:rsidR="00AC0E2A" w:rsidRPr="00AC0E2A" w:rsidRDefault="00AC0E2A" w:rsidP="001D0B51">
      <w:pPr>
        <w:spacing w:line="480" w:lineRule="auto"/>
        <w:rPr>
          <w:bCs/>
          <w:iCs/>
        </w:rPr>
      </w:pPr>
      <w:r w:rsidRPr="00AC0E2A">
        <w:rPr>
          <w:noProof/>
          <w:lang w:eastAsia="en-GB"/>
        </w:rPr>
        <w:lastRenderedPageBreak/>
        <w:drawing>
          <wp:anchor distT="0" distB="0" distL="114300" distR="114300" simplePos="0" relativeHeight="251657216" behindDoc="0" locked="0" layoutInCell="1" allowOverlap="1" wp14:anchorId="258AAC51" wp14:editId="54015958">
            <wp:simplePos x="0" y="0"/>
            <wp:positionH relativeFrom="column">
              <wp:posOffset>2675382</wp:posOffset>
            </wp:positionH>
            <wp:positionV relativeFrom="paragraph">
              <wp:posOffset>-109576</wp:posOffset>
            </wp:positionV>
            <wp:extent cx="2043836" cy="1587399"/>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3836" cy="1587399"/>
                    </a:xfrm>
                    <a:prstGeom prst="rect">
                      <a:avLst/>
                    </a:prstGeom>
                  </pic:spPr>
                </pic:pic>
              </a:graphicData>
            </a:graphic>
          </wp:anchor>
        </w:drawing>
      </w:r>
      <w:r w:rsidRPr="00AC0E2A">
        <w:rPr>
          <w:noProof/>
          <w:lang w:eastAsia="en-GB"/>
        </w:rPr>
        <w:drawing>
          <wp:anchor distT="0" distB="0" distL="114300" distR="114300" simplePos="0" relativeHeight="251653120" behindDoc="0" locked="0" layoutInCell="1" allowOverlap="1" wp14:anchorId="52CD6E78" wp14:editId="2E13C1D8">
            <wp:simplePos x="0" y="0"/>
            <wp:positionH relativeFrom="column">
              <wp:posOffset>1</wp:posOffset>
            </wp:positionH>
            <wp:positionV relativeFrom="paragraph">
              <wp:posOffset>-164466</wp:posOffset>
            </wp:positionV>
            <wp:extent cx="2247900" cy="164782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7979" r="9579"/>
                    <a:stretch/>
                  </pic:blipFill>
                  <pic:spPr bwMode="auto">
                    <a:xfrm>
                      <a:off x="0" y="0"/>
                      <a:ext cx="2247900" cy="1647825"/>
                    </a:xfrm>
                    <a:prstGeom prst="rect">
                      <a:avLst/>
                    </a:prstGeom>
                    <a:ln>
                      <a:noFill/>
                    </a:ln>
                    <a:extLst>
                      <a:ext uri="{53640926-AAD7-44D8-BBD7-CCE9431645EC}">
                        <a14:shadowObscured xmlns:a14="http://schemas.microsoft.com/office/drawing/2010/main"/>
                      </a:ext>
                    </a:extLst>
                  </pic:spPr>
                </pic:pic>
              </a:graphicData>
            </a:graphic>
          </wp:anchor>
        </w:drawing>
      </w:r>
    </w:p>
    <w:p w:rsidR="00AC0E2A" w:rsidRPr="00AC0E2A" w:rsidRDefault="00AC0E2A" w:rsidP="001D0B51">
      <w:pPr>
        <w:spacing w:line="480" w:lineRule="auto"/>
        <w:rPr>
          <w:bCs/>
          <w:iCs/>
        </w:rPr>
      </w:pPr>
    </w:p>
    <w:p w:rsidR="00AC0E2A" w:rsidRDefault="00AC0E2A" w:rsidP="001D0B51">
      <w:pPr>
        <w:spacing w:line="480" w:lineRule="auto"/>
        <w:rPr>
          <w:bCs/>
          <w:iCs/>
        </w:rPr>
      </w:pPr>
    </w:p>
    <w:p w:rsidR="008C4C05" w:rsidRPr="00AC0E2A" w:rsidRDefault="008C4C05" w:rsidP="001D0B51">
      <w:pPr>
        <w:spacing w:line="480" w:lineRule="auto"/>
        <w:rPr>
          <w:bCs/>
          <w:iCs/>
        </w:rPr>
      </w:pPr>
    </w:p>
    <w:p w:rsidR="006E158B" w:rsidRPr="00F96814" w:rsidRDefault="00F96814" w:rsidP="00F96814">
      <w:pPr>
        <w:pStyle w:val="Caption"/>
        <w:spacing w:line="480" w:lineRule="auto"/>
        <w:jc w:val="center"/>
        <w:rPr>
          <w:noProof/>
        </w:rPr>
      </w:pPr>
      <w:bookmarkStart w:id="19" w:name="_Ref442862274"/>
      <w:r>
        <w:t xml:space="preserve">Figure </w:t>
      </w:r>
      <w:r w:rsidR="0075172E">
        <w:fldChar w:fldCharType="begin"/>
      </w:r>
      <w:r w:rsidR="00AC2227">
        <w:instrText xml:space="preserve"> STYLEREF 1 \s </w:instrText>
      </w:r>
      <w:r w:rsidR="0075172E">
        <w:fldChar w:fldCharType="separate"/>
      </w:r>
      <w:r w:rsidR="00CB4EDC">
        <w:rPr>
          <w:noProof/>
        </w:rPr>
        <w:t>1</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6</w:t>
      </w:r>
      <w:r w:rsidR="0075172E">
        <w:fldChar w:fldCharType="end"/>
      </w:r>
      <w:bookmarkEnd w:id="19"/>
      <w:r>
        <w:t>:</w:t>
      </w:r>
      <w:r w:rsidRPr="00570889">
        <w:t xml:space="preserve"> The </w:t>
      </w:r>
      <w:r w:rsidRPr="00570889">
        <w:rPr>
          <w:iCs/>
        </w:rPr>
        <w:t xml:space="preserve">benzoarylsulfonamide ligands used by Whitesides </w:t>
      </w:r>
      <w:r w:rsidR="002D4FF8">
        <w:rPr>
          <w:i/>
          <w:iCs/>
        </w:rPr>
        <w:t xml:space="preserve">et al. </w:t>
      </w:r>
      <w:r w:rsidRPr="00570889">
        <w:rPr>
          <w:iCs/>
        </w:rPr>
        <w:t xml:space="preserve"> to reinforce his previous conclusion that the hydrophobic effect can be enthalpy dominated. X and Y are one combination of X = CH and Y = S, X = N and Y = S, X = CH</w:t>
      </w:r>
      <w:r w:rsidRPr="00046BBE">
        <w:rPr>
          <w:iCs/>
          <w:vertAlign w:val="subscript"/>
        </w:rPr>
        <w:t>3</w:t>
      </w:r>
      <w:r w:rsidRPr="00570889">
        <w:rPr>
          <w:iCs/>
        </w:rPr>
        <w:t xml:space="preserve"> and Y = NH and X = CH and Y = NCH</w:t>
      </w:r>
      <w:r w:rsidRPr="00570889">
        <w:rPr>
          <w:iCs/>
          <w:vertAlign w:val="subscript"/>
        </w:rPr>
        <w:t>3</w:t>
      </w:r>
    </w:p>
    <w:p w:rsidR="00AC0E2A" w:rsidRPr="00AC0E2A" w:rsidRDefault="00AC0E2A" w:rsidP="004E7551">
      <w:pPr>
        <w:spacing w:line="480" w:lineRule="auto"/>
        <w:jc w:val="both"/>
        <w:rPr>
          <w:iCs/>
        </w:rPr>
      </w:pPr>
      <w:r w:rsidRPr="00AC0E2A">
        <w:rPr>
          <w:bCs/>
          <w:iCs/>
        </w:rPr>
        <w:t>The thermodynamic data discuss</w:t>
      </w:r>
      <w:r w:rsidR="008A09CB">
        <w:rPr>
          <w:bCs/>
          <w:iCs/>
        </w:rPr>
        <w:t>ed here is summarised in</w:t>
      </w:r>
      <w:r w:rsidR="008A09CB" w:rsidRPr="00E752D2">
        <w:rPr>
          <w:bCs/>
          <w:iCs/>
        </w:rPr>
        <w:t xml:space="preserve"> </w:t>
      </w:r>
      <w:r w:rsidR="00040F10">
        <w:fldChar w:fldCharType="begin"/>
      </w:r>
      <w:r w:rsidR="00040F10">
        <w:instrText xml:space="preserve"> REF _Ref442801704 \h  \* MERGEFORMAT </w:instrText>
      </w:r>
      <w:r w:rsidR="00040F10">
        <w:fldChar w:fldCharType="separate"/>
      </w:r>
      <w:r w:rsidR="00CB4EDC" w:rsidRPr="00CB4EDC">
        <w:rPr>
          <w:bCs/>
        </w:rPr>
        <w:t xml:space="preserve">Table </w:t>
      </w:r>
      <w:r w:rsidR="00CB4EDC" w:rsidRPr="00CB4EDC">
        <w:rPr>
          <w:bCs/>
          <w:noProof/>
        </w:rPr>
        <w:t>1.2</w:t>
      </w:r>
      <w:r w:rsidR="00040F10">
        <w:fldChar w:fldCharType="end"/>
      </w:r>
      <w:r w:rsidRPr="00AC0E2A">
        <w:rPr>
          <w:bCs/>
          <w:iCs/>
        </w:rPr>
        <w:t xml:space="preserve">. From </w:t>
      </w:r>
      <w:r w:rsidR="00B85C83" w:rsidRPr="00AC0E2A">
        <w:rPr>
          <w:bCs/>
          <w:iCs/>
        </w:rPr>
        <w:t>this,</w:t>
      </w:r>
      <w:r w:rsidRPr="00AC0E2A">
        <w:rPr>
          <w:bCs/>
          <w:iCs/>
        </w:rPr>
        <w:t xml:space="preserve"> it can be seen that hydrophobic interactions can be largely enthalpy driven, whilst being marginally entropically </w:t>
      </w:r>
      <w:r w:rsidR="008A09CB">
        <w:rPr>
          <w:bCs/>
          <w:iCs/>
        </w:rPr>
        <w:t xml:space="preserve">favoured or disfavoured. </w:t>
      </w:r>
      <w:r w:rsidR="00040F10">
        <w:fldChar w:fldCharType="begin"/>
      </w:r>
      <w:r w:rsidR="00040F10">
        <w:instrText xml:space="preserve"> REF _Ref442802740 \h  \* MERGEFORMAT </w:instrText>
      </w:r>
      <w:r w:rsidR="00040F10">
        <w:fldChar w:fldCharType="separate"/>
      </w:r>
      <w:r w:rsidR="00CB4EDC" w:rsidRPr="00CB4EDC">
        <w:t xml:space="preserve">Table </w:t>
      </w:r>
      <w:r w:rsidR="00CB4EDC" w:rsidRPr="00CB4EDC">
        <w:rPr>
          <w:noProof/>
        </w:rPr>
        <w:t>1.3</w:t>
      </w:r>
      <w:r w:rsidR="00040F10">
        <w:fldChar w:fldCharType="end"/>
      </w:r>
      <w:r w:rsidR="00E752D2">
        <w:rPr>
          <w:bCs/>
          <w:iCs/>
        </w:rPr>
        <w:t xml:space="preserve"> </w:t>
      </w:r>
      <w:r w:rsidRPr="00AC0E2A">
        <w:rPr>
          <w:bCs/>
          <w:iCs/>
        </w:rPr>
        <w:t xml:space="preserve">shows thermodynamic data for a binding pocket and ligand which are more polar in comparison to the MUP-1 and its hydrophobic ligand. </w:t>
      </w:r>
    </w:p>
    <w:p w:rsidR="00AC0E2A" w:rsidRPr="00AC0E2A" w:rsidRDefault="00AC0E2A" w:rsidP="004E7551">
      <w:pPr>
        <w:spacing w:line="480" w:lineRule="auto"/>
        <w:jc w:val="both"/>
        <w:rPr>
          <w:bCs/>
          <w:iCs/>
        </w:rPr>
      </w:pPr>
      <w:r w:rsidRPr="00AC0E2A">
        <w:rPr>
          <w:bCs/>
          <w:iCs/>
        </w:rPr>
        <w:t xml:space="preserve">The suggestion that water plays a major role in drug-protein interactions means that it could be involved in molecular mechanisms of drug resistance and this has been indeed shown to be the case. Equipped with an understanding of how water behaves around a protein should enable </w:t>
      </w:r>
      <w:r w:rsidR="00E752D2">
        <w:rPr>
          <w:bCs/>
          <w:iCs/>
        </w:rPr>
        <w:t xml:space="preserve">a </w:t>
      </w:r>
      <w:r w:rsidRPr="00AC0E2A">
        <w:rPr>
          <w:bCs/>
          <w:iCs/>
        </w:rPr>
        <w:t>better</w:t>
      </w:r>
      <w:r w:rsidR="00E752D2">
        <w:rPr>
          <w:bCs/>
          <w:iCs/>
        </w:rPr>
        <w:t xml:space="preserve"> understanding of how to</w:t>
      </w:r>
      <w:r w:rsidRPr="00AC0E2A">
        <w:rPr>
          <w:bCs/>
          <w:iCs/>
        </w:rPr>
        <w:t xml:space="preserve"> meet future challenges in medicinal chemistry. The </w:t>
      </w:r>
      <w:r w:rsidR="00371FAE" w:rsidRPr="00AC0E2A">
        <w:rPr>
          <w:bCs/>
          <w:iCs/>
        </w:rPr>
        <w:t xml:space="preserve">erythroblastic leukemia viral oncogene homolog </w:t>
      </w:r>
      <w:r w:rsidRPr="00AC0E2A">
        <w:rPr>
          <w:bCs/>
          <w:iCs/>
        </w:rPr>
        <w:t xml:space="preserve">(ErbB) family contains several therapeutic targets for anticancer treatments. The members of this family are highly homologous and include ErbB4, </w:t>
      </w:r>
      <w:r w:rsidR="00C73D0B">
        <w:rPr>
          <w:bCs/>
          <w:iCs/>
        </w:rPr>
        <w:t>e</w:t>
      </w:r>
      <w:r w:rsidR="00C1735F" w:rsidRPr="00C1735F">
        <w:rPr>
          <w:bCs/>
          <w:iCs/>
        </w:rPr>
        <w:t xml:space="preserve">pidermal growth factor receptor </w:t>
      </w:r>
      <w:r w:rsidR="00C1735F">
        <w:rPr>
          <w:bCs/>
          <w:iCs/>
        </w:rPr>
        <w:t>(</w:t>
      </w:r>
      <w:r w:rsidRPr="00AC0E2A">
        <w:rPr>
          <w:bCs/>
          <w:iCs/>
        </w:rPr>
        <w:t>EGFR</w:t>
      </w:r>
      <w:r w:rsidR="00C1735F">
        <w:rPr>
          <w:bCs/>
          <w:iCs/>
        </w:rPr>
        <w:t>)</w:t>
      </w:r>
      <w:r w:rsidRPr="00AC0E2A">
        <w:rPr>
          <w:bCs/>
          <w:iCs/>
        </w:rPr>
        <w:t xml:space="preserve"> and </w:t>
      </w:r>
      <w:r w:rsidR="004662FF" w:rsidRPr="004662FF">
        <w:rPr>
          <w:bCs/>
          <w:iCs/>
        </w:rPr>
        <w:t xml:space="preserve">human epidermal growth factor receptor 2 </w:t>
      </w:r>
      <w:r w:rsidR="004662FF">
        <w:rPr>
          <w:bCs/>
          <w:iCs/>
        </w:rPr>
        <w:t>(</w:t>
      </w:r>
      <w:r w:rsidRPr="00AC0E2A">
        <w:rPr>
          <w:bCs/>
          <w:iCs/>
        </w:rPr>
        <w:t>HER2</w:t>
      </w:r>
      <w:r w:rsidR="004662FF">
        <w:rPr>
          <w:bCs/>
          <w:iCs/>
        </w:rPr>
        <w:t>)</w:t>
      </w:r>
      <w:r w:rsidRPr="00AC0E2A">
        <w:rPr>
          <w:bCs/>
          <w:iCs/>
        </w:rPr>
        <w:t xml:space="preserve">. Despite being highly homologous, lapatinib binds fairly weakly to ErbB4 compared to EGFR and HER2. Crystallographic studies of both EGFR and ErbB4 have not offered a reason for the different binding strengths. MDS based on homology templates of the proteins identified three distinct sites with high water occupancies, defined as S1, S2 and S3, for both EGFR and HER2. With </w:t>
      </w:r>
      <w:r w:rsidR="00B85C83" w:rsidRPr="00AC0E2A">
        <w:rPr>
          <w:bCs/>
          <w:iCs/>
        </w:rPr>
        <w:t>ErbB4,</w:t>
      </w:r>
      <w:r w:rsidRPr="00AC0E2A">
        <w:rPr>
          <w:bCs/>
          <w:iCs/>
        </w:rPr>
        <w:t xml:space="preserve"> there was a </w:t>
      </w:r>
      <w:r w:rsidRPr="00AC0E2A">
        <w:rPr>
          <w:bCs/>
          <w:iCs/>
        </w:rPr>
        <w:lastRenderedPageBreak/>
        <w:t xml:space="preserve">lower level of water at S1, but similar levels of occupancy at S2 and S3.  It should be noted these water molecules were identified through MDS, as no crystallographic water molecules were included in the original setups. </w:t>
      </w:r>
      <w:r w:rsidR="00EB16FC">
        <w:rPr>
          <w:bCs/>
          <w:iCs/>
        </w:rPr>
        <w:t>It seemed that in</w:t>
      </w:r>
      <w:r w:rsidRPr="00AC0E2A">
        <w:rPr>
          <w:bCs/>
          <w:iCs/>
        </w:rPr>
        <w:t xml:space="preserve"> both EGFR and HER2 water played a “bridging role” between the ligand and the receptor, whilst such an interaction was missing in ErbB4</w:t>
      </w:r>
      <w:r w:rsidR="00EB16FC">
        <w:rPr>
          <w:bCs/>
          <w:iCs/>
        </w:rPr>
        <w:t xml:space="preserve"> explaining the lower binding affinity</w:t>
      </w:r>
      <w:r w:rsidRPr="00AC0E2A">
        <w:rPr>
          <w:bCs/>
          <w:iCs/>
        </w:rPr>
        <w:t>. Using MDS the authors believed drug resistance could be b</w:t>
      </w:r>
      <w:r w:rsidR="00373ECC">
        <w:rPr>
          <w:bCs/>
          <w:iCs/>
        </w:rPr>
        <w:t>r</w:t>
      </w:r>
      <w:r w:rsidRPr="00AC0E2A">
        <w:rPr>
          <w:bCs/>
          <w:iCs/>
        </w:rPr>
        <w:t>ought about by changes in the water network located around the proteins through amino acid mutations</w:t>
      </w:r>
      <w:r w:rsidR="00784261">
        <w:rPr>
          <w:bCs/>
          <w:iCs/>
        </w:rPr>
        <w:t>.</w:t>
      </w:r>
      <w:hyperlink w:anchor="_ENREF_35" w:tooltip="Huang, 2012 #29" w:history="1">
        <w:r w:rsidR="00512D09" w:rsidRPr="00AC0E2A">
          <w:rPr>
            <w:bCs/>
            <w:iCs/>
          </w:rPr>
          <w:fldChar w:fldCharType="begin">
            <w:fldData xml:space="preserve">PEVuZE5vdGU+PENpdGU+PEF1dGhvcj5IdWFuZzwvQXV0aG9yPjxZZWFyPjIwMTI8L1llYXI+PFJl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</w:fldData>
          </w:fldChar>
        </w:r>
        <w:r w:rsidR="00512D09">
          <w:rPr>
            <w:bCs/>
            <w:iCs/>
          </w:rPr>
          <w:instrText xml:space="preserve"> ADDIN EN.CITE </w:instrText>
        </w:r>
        <w:r w:rsidR="00512D09">
          <w:rPr>
            <w:bCs/>
            <w:iCs/>
          </w:rPr>
          <w:fldChar w:fldCharType="begin">
            <w:fldData xml:space="preserve">PEVuZE5vdGU+PENpdGU+PEF1dGhvcj5IdWFuZzwvQXV0aG9yPjxZZWFyPjIwMTI8L1llYXI+PFJl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</w:fldData>
          </w:fldChar>
        </w:r>
        <w:r w:rsidR="00512D09">
          <w:rPr>
            <w:bCs/>
            <w:iCs/>
          </w:rPr>
          <w:instrText xml:space="preserve"> ADDIN EN.CITE.DATA </w:instrText>
        </w:r>
        <w:r w:rsidR="00512D09">
          <w:rPr>
            <w:bCs/>
            <w:iCs/>
          </w:rPr>
        </w:r>
        <w:r w:rsidR="00512D09">
          <w:rPr>
            <w:bCs/>
            <w:iCs/>
          </w:rPr>
          <w:fldChar w:fldCharType="end"/>
        </w:r>
        <w:r w:rsidR="00512D09" w:rsidRPr="00AC0E2A">
          <w:rPr>
            <w:bCs/>
            <w:iCs/>
          </w:rPr>
        </w:r>
        <w:r w:rsidR="00512D09" w:rsidRPr="00AC0E2A">
          <w:rPr>
            <w:bCs/>
            <w:iCs/>
          </w:rPr>
          <w:fldChar w:fldCharType="separate"/>
        </w:r>
        <w:r w:rsidR="00512D09" w:rsidRPr="00F04E2C">
          <w:rPr>
            <w:bCs/>
            <w:iCs/>
            <w:noProof/>
            <w:vertAlign w:val="superscript"/>
          </w:rPr>
          <w:t>35</w:t>
        </w:r>
        <w:r w:rsidR="00512D09" w:rsidRPr="00AC0E2A">
          <w:fldChar w:fldCharType="end"/>
        </w:r>
      </w:hyperlink>
      <w:r w:rsidRPr="00AC0E2A">
        <w:rPr>
          <w:bCs/>
          <w:iCs/>
        </w:rPr>
        <w:t xml:space="preserve"> </w:t>
      </w:r>
    </w:p>
    <w:p w:rsidR="00AC0E2A" w:rsidRPr="00AC0E2A" w:rsidRDefault="00AC0E2A" w:rsidP="004E7551">
      <w:pPr>
        <w:spacing w:line="480" w:lineRule="auto"/>
        <w:jc w:val="both"/>
        <w:rPr>
          <w:bCs/>
          <w:iCs/>
        </w:rPr>
      </w:pPr>
      <w:r w:rsidRPr="00AC0E2A">
        <w:rPr>
          <w:bCs/>
          <w:iCs/>
        </w:rPr>
        <w:t>A substantial impediment to the efficacy of drugs used against HIV and some other viruses is their high rate of mutation in the targeted biomolecules.</w:t>
      </w:r>
      <w:r w:rsidR="00F33221" w:rsidRPr="00F33221">
        <w:rPr>
          <w:bCs/>
          <w:iCs/>
          <w:vertAlign w:val="superscript"/>
        </w:rPr>
        <w:t>34</w:t>
      </w:r>
      <w:r w:rsidRPr="00AC0E2A">
        <w:rPr>
          <w:bCs/>
          <w:iCs/>
        </w:rPr>
        <w:t xml:space="preserve"> The HIV proteases retain a good catalytic activity required for viral reproduction with increased resistance to inhibitors. Preferably, a HIV protease inhibitor should have a binding affinity in the </w:t>
      </w:r>
      <w:r w:rsidR="00347677">
        <w:rPr>
          <w:bCs/>
          <w:iCs/>
        </w:rPr>
        <w:t>picomolar</w:t>
      </w:r>
      <w:r w:rsidRPr="00AC0E2A">
        <w:rPr>
          <w:bCs/>
          <w:iCs/>
        </w:rPr>
        <w:t xml:space="preserve"> range against the WT and be imping</w:t>
      </w:r>
      <w:r w:rsidR="00373ECC">
        <w:rPr>
          <w:bCs/>
          <w:iCs/>
        </w:rPr>
        <w:t>ed by mutations of a factor of</w:t>
      </w:r>
      <w:r w:rsidRPr="00AC0E2A">
        <w:rPr>
          <w:bCs/>
          <w:iCs/>
        </w:rPr>
        <w:t xml:space="preserve"> 100 or less. Vega </w:t>
      </w:r>
      <w:r w:rsidR="00B85C83">
        <w:rPr>
          <w:bCs/>
          <w:i/>
          <w:iCs/>
        </w:rPr>
        <w:t>et al.</w:t>
      </w:r>
      <w:r w:rsidRPr="00AC0E2A">
        <w:rPr>
          <w:bCs/>
          <w:i/>
          <w:iCs/>
        </w:rPr>
        <w:t xml:space="preserve"> </w:t>
      </w:r>
      <w:r w:rsidRPr="00AC0E2A">
        <w:rPr>
          <w:bCs/>
          <w:iCs/>
        </w:rPr>
        <w:t xml:space="preserve">believes this high level of activity can only be attained if both </w:t>
      </w:r>
      <w:r w:rsidR="00AA39DB">
        <w:rPr>
          <w:bCs/>
          <w:iCs/>
        </w:rPr>
        <w:t>T</w:t>
      </w:r>
      <w:r w:rsidR="00AA39DB" w:rsidRPr="0095721B">
        <w:rPr>
          <w:rFonts w:eastAsiaTheme="minorEastAsia"/>
          <w:i/>
        </w:rPr>
        <w:t>Δ</w:t>
      </w:r>
      <w:r w:rsidR="00AA39DB">
        <w:rPr>
          <w:rFonts w:eastAsiaTheme="minorEastAsia"/>
          <w:i/>
        </w:rPr>
        <w:t>S</w:t>
      </w:r>
      <w:r w:rsidR="00AA39DB" w:rsidRPr="00AC0E2A">
        <w:rPr>
          <w:bCs/>
          <w:iCs/>
        </w:rPr>
        <w:t xml:space="preserve"> </w:t>
      </w:r>
      <w:r w:rsidRPr="00AC0E2A">
        <w:rPr>
          <w:bCs/>
          <w:iCs/>
        </w:rPr>
        <w:t xml:space="preserve">and </w:t>
      </w:r>
      <w:r w:rsidR="00AA39DB" w:rsidRPr="0095721B">
        <w:rPr>
          <w:rFonts w:eastAsiaTheme="minorEastAsia"/>
          <w:i/>
        </w:rPr>
        <w:t>Δ</w:t>
      </w:r>
      <w:r w:rsidR="00AA39DB">
        <w:rPr>
          <w:rFonts w:eastAsiaTheme="minorEastAsia"/>
          <w:i/>
        </w:rPr>
        <w:t>H</w:t>
      </w:r>
      <w:r w:rsidR="00AA39DB" w:rsidRPr="00AC0E2A">
        <w:rPr>
          <w:bCs/>
          <w:iCs/>
        </w:rPr>
        <w:t xml:space="preserve"> </w:t>
      </w:r>
      <w:r w:rsidRPr="00AC0E2A">
        <w:rPr>
          <w:bCs/>
          <w:iCs/>
        </w:rPr>
        <w:t>are optimis</w:t>
      </w:r>
      <w:r w:rsidR="00784261">
        <w:rPr>
          <w:bCs/>
          <w:iCs/>
        </w:rPr>
        <w:t xml:space="preserve">ed to achieve a favourable </w:t>
      </w:r>
      <w:r w:rsidR="00AA39DB" w:rsidRPr="0095721B">
        <w:rPr>
          <w:rFonts w:eastAsiaTheme="minorEastAsia"/>
          <w:i/>
        </w:rPr>
        <w:t>ΔG</w:t>
      </w:r>
      <w:r w:rsidR="00AA39DB" w:rsidRPr="00AC0E2A">
        <w:rPr>
          <w:bCs/>
          <w:iCs/>
        </w:rPr>
        <w:t xml:space="preserve"> </w:t>
      </w:r>
      <w:r w:rsidRPr="00AC0E2A">
        <w:rPr>
          <w:bCs/>
          <w:iCs/>
        </w:rPr>
        <w:t>of binding</w:t>
      </w:r>
      <w:r w:rsidR="00347677">
        <w:rPr>
          <w:bCs/>
          <w:iCs/>
        </w:rPr>
        <w:t>.</w:t>
      </w:r>
      <w:r w:rsidRPr="00AC0E2A">
        <w:rPr>
          <w:bCs/>
          <w:iCs/>
        </w:rPr>
        <w:t xml:space="preserve"> </w:t>
      </w:r>
      <w:hyperlink w:anchor="_ENREF_36" w:tooltip="Vega, 2004 #20" w:history="1">
        <w:r w:rsidR="00512D09" w:rsidRPr="00AC0E2A">
          <w:rPr>
            <w:bCs/>
            <w:iCs/>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rPr>
          <w:instrText xml:space="preserve"> ADDIN EN.CITE </w:instrText>
        </w:r>
        <w:r w:rsidR="00512D09">
          <w:rPr>
            <w:bCs/>
            <w:iCs/>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rPr>
          <w:instrText xml:space="preserve"> ADDIN EN.CITE.DATA </w:instrText>
        </w:r>
        <w:r w:rsidR="00512D09">
          <w:rPr>
            <w:bCs/>
            <w:iCs/>
          </w:rPr>
        </w:r>
        <w:r w:rsidR="00512D09">
          <w:rPr>
            <w:bCs/>
            <w:iCs/>
          </w:rPr>
          <w:fldChar w:fldCharType="end"/>
        </w:r>
        <w:r w:rsidR="00512D09" w:rsidRPr="00AC0E2A">
          <w:rPr>
            <w:bCs/>
            <w:iCs/>
          </w:rPr>
        </w:r>
        <w:r w:rsidR="00512D09" w:rsidRPr="00AC0E2A">
          <w:rPr>
            <w:bCs/>
            <w:iCs/>
          </w:rPr>
          <w:fldChar w:fldCharType="separate"/>
        </w:r>
        <w:r w:rsidR="00512D09" w:rsidRPr="00F04E2C">
          <w:rPr>
            <w:bCs/>
            <w:iCs/>
            <w:noProof/>
            <w:vertAlign w:val="superscript"/>
          </w:rPr>
          <w:t>36</w:t>
        </w:r>
        <w:r w:rsidR="00512D09" w:rsidRPr="00AC0E2A">
          <w:fldChar w:fldCharType="end"/>
        </w:r>
      </w:hyperlink>
      <w:r w:rsidRPr="00AC0E2A">
        <w:rPr>
          <w:bCs/>
          <w:iCs/>
        </w:rPr>
        <w:t xml:space="preserve"> This can be begun to be achieved with an understanding of water on the molecular level. </w:t>
      </w:r>
    </w:p>
    <w:p w:rsidR="00AC0E2A" w:rsidRPr="0057282F" w:rsidRDefault="00AC0E2A" w:rsidP="004E7551">
      <w:pPr>
        <w:spacing w:line="480" w:lineRule="auto"/>
        <w:jc w:val="both"/>
        <w:rPr>
          <w:bCs/>
          <w:iCs/>
          <w:vertAlign w:val="superscript"/>
        </w:rPr>
      </w:pPr>
      <w:r w:rsidRPr="00AC0E2A">
        <w:rPr>
          <w:bCs/>
          <w:iCs/>
        </w:rPr>
        <w:t>ITC revealed indinavir, nelfinavir and saquinavir binding to the WT protease, V</w:t>
      </w:r>
      <w:r w:rsidR="00C1735F">
        <w:rPr>
          <w:bCs/>
          <w:iCs/>
        </w:rPr>
        <w:t>al</w:t>
      </w:r>
      <w:r w:rsidRPr="00AC0E2A">
        <w:rPr>
          <w:bCs/>
          <w:iCs/>
        </w:rPr>
        <w:t>82T</w:t>
      </w:r>
      <w:r w:rsidR="00C1735F">
        <w:rPr>
          <w:bCs/>
          <w:iCs/>
        </w:rPr>
        <w:t>yr</w:t>
      </w:r>
      <w:r w:rsidRPr="00AC0E2A">
        <w:rPr>
          <w:bCs/>
          <w:iCs/>
        </w:rPr>
        <w:t>/I</w:t>
      </w:r>
      <w:r w:rsidR="00BD3157">
        <w:rPr>
          <w:bCs/>
          <w:iCs/>
        </w:rPr>
        <w:t>le</w:t>
      </w:r>
      <w:r w:rsidRPr="00AC0E2A">
        <w:rPr>
          <w:bCs/>
          <w:iCs/>
        </w:rPr>
        <w:t>84V</w:t>
      </w:r>
      <w:r w:rsidR="00C1735F">
        <w:rPr>
          <w:bCs/>
          <w:iCs/>
        </w:rPr>
        <w:t>al</w:t>
      </w:r>
      <w:r w:rsidRPr="00AC0E2A">
        <w:rPr>
          <w:bCs/>
          <w:iCs/>
        </w:rPr>
        <w:t xml:space="preserve"> and L</w:t>
      </w:r>
      <w:r w:rsidR="00C1735F">
        <w:rPr>
          <w:bCs/>
          <w:iCs/>
        </w:rPr>
        <w:t>eu</w:t>
      </w:r>
      <w:r w:rsidRPr="00AC0E2A">
        <w:rPr>
          <w:bCs/>
          <w:iCs/>
        </w:rPr>
        <w:t>101</w:t>
      </w:r>
      <w:r w:rsidR="009A464D">
        <w:rPr>
          <w:bCs/>
          <w:iCs/>
        </w:rPr>
        <w:t>Ile</w:t>
      </w:r>
      <w:r w:rsidRPr="00AC0E2A">
        <w:rPr>
          <w:bCs/>
          <w:iCs/>
        </w:rPr>
        <w:t>/G</w:t>
      </w:r>
      <w:r w:rsidR="00C1735F">
        <w:rPr>
          <w:bCs/>
          <w:iCs/>
        </w:rPr>
        <w:t>ly</w:t>
      </w:r>
      <w:r w:rsidRPr="00AC0E2A">
        <w:rPr>
          <w:bCs/>
          <w:iCs/>
        </w:rPr>
        <w:t>48V</w:t>
      </w:r>
      <w:r w:rsidR="00C1735F">
        <w:rPr>
          <w:bCs/>
          <w:iCs/>
        </w:rPr>
        <w:t>al</w:t>
      </w:r>
      <w:r w:rsidRPr="00AC0E2A">
        <w:rPr>
          <w:bCs/>
          <w:iCs/>
        </w:rPr>
        <w:t>/I</w:t>
      </w:r>
      <w:r w:rsidR="00BD3157">
        <w:rPr>
          <w:bCs/>
          <w:iCs/>
        </w:rPr>
        <w:t>le</w:t>
      </w:r>
      <w:r w:rsidRPr="00AC0E2A">
        <w:rPr>
          <w:bCs/>
          <w:iCs/>
        </w:rPr>
        <w:t>54V</w:t>
      </w:r>
      <w:r w:rsidR="00C1735F">
        <w:rPr>
          <w:bCs/>
          <w:iCs/>
        </w:rPr>
        <w:t>al</w:t>
      </w:r>
      <w:r w:rsidRPr="00AC0E2A">
        <w:rPr>
          <w:bCs/>
          <w:iCs/>
        </w:rPr>
        <w:t>/V</w:t>
      </w:r>
      <w:r w:rsidR="00C1735F">
        <w:rPr>
          <w:bCs/>
          <w:iCs/>
        </w:rPr>
        <w:t>al</w:t>
      </w:r>
      <w:r w:rsidRPr="00AC0E2A">
        <w:rPr>
          <w:bCs/>
          <w:iCs/>
        </w:rPr>
        <w:t>82A</w:t>
      </w:r>
      <w:r w:rsidR="00C1735F">
        <w:rPr>
          <w:bCs/>
          <w:iCs/>
        </w:rPr>
        <w:t>la</w:t>
      </w:r>
      <w:r w:rsidRPr="00AC0E2A">
        <w:rPr>
          <w:bCs/>
          <w:iCs/>
        </w:rPr>
        <w:t xml:space="preserve"> was entropically driven and enthalpically disfavoured. However, binding of amprenavir, atazanavir, and darunavir to WT and </w:t>
      </w:r>
      <w:r w:rsidR="00BD3157" w:rsidRPr="00373ECC">
        <w:rPr>
          <w:bCs/>
          <w:iCs/>
        </w:rPr>
        <w:t>Leu101</w:t>
      </w:r>
      <w:r w:rsidR="009A464D">
        <w:rPr>
          <w:bCs/>
          <w:iCs/>
        </w:rPr>
        <w:t>Ile</w:t>
      </w:r>
      <w:r w:rsidR="00BD3157" w:rsidRPr="00BD3157">
        <w:rPr>
          <w:bCs/>
          <w:iCs/>
        </w:rPr>
        <w:t xml:space="preserve">/Gly48Val/Ile54Val/Val82Ala </w:t>
      </w:r>
      <w:r w:rsidRPr="00AC0E2A">
        <w:rPr>
          <w:bCs/>
          <w:iCs/>
        </w:rPr>
        <w:t>is both enthalpically and entropically favoured. However, with the V</w:t>
      </w:r>
      <w:r w:rsidR="00BD3157">
        <w:rPr>
          <w:bCs/>
          <w:iCs/>
        </w:rPr>
        <w:t>al</w:t>
      </w:r>
      <w:r w:rsidRPr="00AC0E2A">
        <w:rPr>
          <w:bCs/>
          <w:iCs/>
        </w:rPr>
        <w:t>82T</w:t>
      </w:r>
      <w:r w:rsidR="00BD3157">
        <w:rPr>
          <w:bCs/>
          <w:iCs/>
        </w:rPr>
        <w:t>yr</w:t>
      </w:r>
      <w:r w:rsidRPr="00AC0E2A">
        <w:rPr>
          <w:bCs/>
          <w:iCs/>
        </w:rPr>
        <w:t>/I</w:t>
      </w:r>
      <w:r w:rsidR="00BD3157">
        <w:rPr>
          <w:bCs/>
          <w:iCs/>
        </w:rPr>
        <w:t>le</w:t>
      </w:r>
      <w:r w:rsidRPr="00AC0E2A">
        <w:rPr>
          <w:bCs/>
          <w:iCs/>
        </w:rPr>
        <w:t>84V</w:t>
      </w:r>
      <w:r w:rsidR="00BD3157">
        <w:rPr>
          <w:bCs/>
          <w:iCs/>
        </w:rPr>
        <w:t>al</w:t>
      </w:r>
      <w:r w:rsidRPr="00AC0E2A">
        <w:rPr>
          <w:bCs/>
          <w:iCs/>
        </w:rPr>
        <w:t xml:space="preserve"> variant, the binding becomes entropically driven. The large negative change in Δ</w:t>
      </w:r>
      <w:r w:rsidRPr="00AC0E2A">
        <w:rPr>
          <w:bCs/>
          <w:i/>
          <w:iCs/>
        </w:rPr>
        <w:t>C</w:t>
      </w:r>
      <w:r w:rsidRPr="00AC0E2A">
        <w:rPr>
          <w:bCs/>
          <w:iCs/>
          <w:vertAlign w:val="subscript"/>
        </w:rPr>
        <w:t xml:space="preserve">p </w:t>
      </w:r>
      <w:r w:rsidRPr="00AC0E2A">
        <w:rPr>
          <w:bCs/>
          <w:iCs/>
        </w:rPr>
        <w:t xml:space="preserve">shows the source of this favourable entropy could be </w:t>
      </w:r>
      <w:r w:rsidR="00373ECC">
        <w:rPr>
          <w:bCs/>
          <w:iCs/>
        </w:rPr>
        <w:t xml:space="preserve">due to </w:t>
      </w:r>
      <w:r w:rsidRPr="00AC0E2A">
        <w:rPr>
          <w:bCs/>
          <w:iCs/>
        </w:rPr>
        <w:t>desolvation effects rather than increased protein or ligand flexibility upon binding</w:t>
      </w:r>
      <w:r w:rsidR="00784261">
        <w:rPr>
          <w:bCs/>
          <w:iCs/>
        </w:rPr>
        <w:t>.</w:t>
      </w:r>
      <w:hyperlink w:anchor="_ENREF_37" w:tooltip="King, 2012 #18" w:history="1">
        <w:r w:rsidR="00512D09" w:rsidRPr="00AC0E2A">
          <w:rPr>
            <w:bCs/>
            <w:iCs/>
          </w:rPr>
          <w:fldChar w:fldCharType="begin">
            <w:fldData xml:space="preserve">PEVuZE5vdGU+PENpdGU+PEF1dGhvcj5LaW5nPC9BdXRob3I+PFllYXI+MjAxMjwvWWVhcj48UmVj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</w:fldData>
          </w:fldChar>
        </w:r>
        <w:r w:rsidR="00512D09">
          <w:rPr>
            <w:bCs/>
            <w:iCs/>
          </w:rPr>
          <w:instrText xml:space="preserve"> ADDIN EN.CITE </w:instrText>
        </w:r>
        <w:r w:rsidR="00512D09">
          <w:rPr>
            <w:bCs/>
            <w:iCs/>
          </w:rPr>
          <w:fldChar w:fldCharType="begin">
            <w:fldData xml:space="preserve">PEVuZE5vdGU+PENpdGU+PEF1dGhvcj5LaW5nPC9BdXRob3I+PFllYXI+MjAxMjwvWWVhcj48UmVj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</w:fldData>
          </w:fldChar>
        </w:r>
        <w:r w:rsidR="00512D09">
          <w:rPr>
            <w:bCs/>
            <w:iCs/>
          </w:rPr>
          <w:instrText xml:space="preserve"> ADDIN EN.CITE.DATA </w:instrText>
        </w:r>
        <w:r w:rsidR="00512D09">
          <w:rPr>
            <w:bCs/>
            <w:iCs/>
          </w:rPr>
        </w:r>
        <w:r w:rsidR="00512D09">
          <w:rPr>
            <w:bCs/>
            <w:iCs/>
          </w:rPr>
          <w:fldChar w:fldCharType="end"/>
        </w:r>
        <w:r w:rsidR="00512D09" w:rsidRPr="00AC0E2A">
          <w:rPr>
            <w:bCs/>
            <w:iCs/>
          </w:rPr>
        </w:r>
        <w:r w:rsidR="00512D09" w:rsidRPr="00AC0E2A">
          <w:rPr>
            <w:bCs/>
            <w:iCs/>
          </w:rPr>
          <w:fldChar w:fldCharType="separate"/>
        </w:r>
        <w:r w:rsidR="00512D09" w:rsidRPr="00F04E2C">
          <w:rPr>
            <w:bCs/>
            <w:iCs/>
            <w:noProof/>
            <w:vertAlign w:val="superscript"/>
          </w:rPr>
          <w:t>37</w:t>
        </w:r>
        <w:r w:rsidR="00512D09" w:rsidRPr="00AC0E2A">
          <w:fldChar w:fldCharType="end"/>
        </w:r>
      </w:hyperlink>
      <w:r w:rsidRPr="00AC0E2A">
        <w:rPr>
          <w:bCs/>
          <w:iCs/>
        </w:rPr>
        <w:t xml:space="preserve"> In many cases, ligand binding causes a decrease in both protein and ligand flexibility, so this supports the authors’ speculation. However, it must be </w:t>
      </w:r>
      <w:r w:rsidR="00373ECC">
        <w:rPr>
          <w:bCs/>
          <w:iCs/>
        </w:rPr>
        <w:t>stated that</w:t>
      </w:r>
      <w:r w:rsidRPr="00AC0E2A">
        <w:rPr>
          <w:bCs/>
          <w:iCs/>
        </w:rPr>
        <w:t xml:space="preserve"> drug binding thermodynamics varies between cases because of the differing nature of the </w:t>
      </w:r>
      <w:r w:rsidRPr="00AC0E2A">
        <w:rPr>
          <w:bCs/>
          <w:iCs/>
        </w:rPr>
        <w:lastRenderedPageBreak/>
        <w:t xml:space="preserve">interactions.  King </w:t>
      </w:r>
      <w:r w:rsidR="002D4FF8">
        <w:rPr>
          <w:bCs/>
          <w:i/>
          <w:iCs/>
        </w:rPr>
        <w:t xml:space="preserve">et al. </w:t>
      </w:r>
      <w:r w:rsidRPr="00AC0E2A">
        <w:rPr>
          <w:bCs/>
          <w:iCs/>
        </w:rPr>
        <w:t>felt they could not speculate on the source of the unfavourable enthalpy based on the crystal structure and so did not provide an explanation.</w:t>
      </w:r>
      <w:r w:rsidR="0057282F" w:rsidRPr="0057282F">
        <w:rPr>
          <w:bCs/>
          <w:iCs/>
          <w:vertAlign w:val="superscript"/>
        </w:rPr>
        <w:t>34</w:t>
      </w:r>
    </w:p>
    <w:p w:rsidR="00AC0E2A" w:rsidRPr="00AC0E2A" w:rsidRDefault="00AC0E2A" w:rsidP="004E7551">
      <w:pPr>
        <w:spacing w:line="480" w:lineRule="auto"/>
        <w:jc w:val="both"/>
        <w:rPr>
          <w:bCs/>
          <w:iCs/>
        </w:rPr>
      </w:pPr>
      <w:r w:rsidRPr="00AC0E2A">
        <w:rPr>
          <w:bCs/>
          <w:iCs/>
        </w:rPr>
        <w:t>Both KNI-10033 and KNI-10075 are HIV protease inhibitors both show favourable binding entropies and enthalpies</w:t>
      </w:r>
      <w:r w:rsidR="00784261">
        <w:rPr>
          <w:bCs/>
          <w:iCs/>
        </w:rPr>
        <w:t>.</w:t>
      </w:r>
      <w:r w:rsidRPr="00AC0E2A">
        <w:rPr>
          <w:bCs/>
          <w:iCs/>
        </w:rPr>
        <w:t xml:space="preserve"> </w:t>
      </w:r>
      <w:hyperlink w:anchor="_ENREF_28" w:tooltip="Lafont, 2007 #256" w:history="1">
        <w:r w:rsidR="00512D09" w:rsidRPr="00AC0E2A">
          <w:rPr>
            <w:bCs/>
            <w:iCs/>
          </w:rPr>
          <w:fldChar w:fldCharType="begin"/>
        </w:r>
        <w:r w:rsidR="00512D09">
          <w:rPr>
            <w:bCs/>
            <w:iCs/>
          </w:rPr>
          <w:instrText xml:space="preserve"> ADDIN EN.CITE &lt;EndNote&gt;&lt;Cite&gt;&lt;Author&gt;Lafont&lt;/Author&gt;&lt;Year&gt;2007&lt;/Year&gt;&lt;RecNum&gt;256&lt;/RecNum&gt;&lt;DisplayText&gt;&lt;style face="superscript"&gt;28&lt;/style&gt;&lt;/DisplayText&gt;&lt;record&gt;&lt;rec-number&gt;256&lt;/rec-number&gt;&lt;foreign-keys&gt;&lt;key app="EN" db-id="5trrespwzsdr07efd5tx2w96x22re9s0fsdt"&gt;256&lt;/key&gt;&lt;/foreign-keys&gt;&lt;ref-type name="Journal Article"&gt;17&lt;/ref-type&gt;&lt;contributors&gt;&lt;authors&gt;&lt;author&gt;Lafont, Virginie&lt;/author&gt;&lt;author&gt;Armstrong, Anthony A.&lt;/author&gt;&lt;author&gt;Ohtaka, Hiroyasu&lt;/author&gt;&lt;author&gt;Kiso, Yoshiaki&lt;/author&gt;&lt;author&gt;Mario Amzel, L.&lt;/author&gt;&lt;author&gt;Freire, Ernesto&lt;/author&gt;&lt;/authors&gt;&lt;/contributors&gt;&lt;titles&gt;&lt;title&gt;Compensating Enthalpic and Entropic Changes Hinder Binding Affinity Optimization&lt;/title&gt;&lt;secondary-title&gt;Chem Biol Drug Des&lt;/secondary-title&gt;&lt;/titles&gt;&lt;periodical&gt;&lt;full-title&gt;Chem Biol Drug Des&lt;/full-title&gt;&lt;abbr-1&gt;Chemical biology &amp;amp; drug design&lt;/abbr-1&gt;&lt;/periodical&gt;&lt;pages&gt;413-422&lt;/pages&gt;&lt;volume&gt;69&lt;/volume&gt;&lt;number&gt;6&lt;/number&gt;&lt;keywords&gt;&lt;keyword&gt;HIV protease&lt;/keyword&gt;&lt;keyword&gt;isothermal titration calorimetry&lt;/keyword&gt;&lt;keyword&gt;ITC&lt;/keyword&gt;&lt;keyword&gt;lead optimization&lt;/keyword&gt;&lt;keyword&gt;protease inhibitors&lt;/keyword&gt;&lt;keyword&gt;thermodynamics crystallography&lt;/keyword&gt;&lt;/keywords&gt;&lt;dates&gt;&lt;year&gt;2007&lt;/year&gt;&lt;/dates&gt;&lt;publisher&gt;Blackwell Publishing Ltd&lt;/publisher&gt;&lt;isbn&gt;1747-0285&lt;/isbn&gt;&lt;urls&gt;&lt;related-urls&gt;&lt;url&gt;http://dx.doi.org/10.1111/j.1747-0285.2007.00519.x&lt;/url&gt;&lt;/related-urls&gt;&lt;/urls&gt;&lt;electronic-resource-num&gt;10.1111/j.1747-0285.2007.00519.x&lt;/electronic-resource-num&gt;&lt;/record&gt;&lt;/Cite&gt;&lt;/EndNote&gt;</w:instrText>
        </w:r>
        <w:r w:rsidR="00512D09" w:rsidRPr="00AC0E2A">
          <w:rPr>
            <w:bCs/>
            <w:iCs/>
          </w:rPr>
          <w:fldChar w:fldCharType="separate"/>
        </w:r>
        <w:r w:rsidR="00512D09" w:rsidRPr="00F04E2C">
          <w:rPr>
            <w:bCs/>
            <w:iCs/>
            <w:noProof/>
            <w:vertAlign w:val="superscript"/>
          </w:rPr>
          <w:t>28</w:t>
        </w:r>
        <w:r w:rsidR="00512D09" w:rsidRPr="00AC0E2A">
          <w:fldChar w:fldCharType="end"/>
        </w:r>
      </w:hyperlink>
      <w:r w:rsidRPr="00AC0E2A">
        <w:rPr>
          <w:bCs/>
          <w:iCs/>
        </w:rPr>
        <w:t xml:space="preserve"> Both inhibitors are identical in structure apart from a single substitution; </w:t>
      </w:r>
      <w:r w:rsidR="00B85C83" w:rsidRPr="00AC0E2A">
        <w:rPr>
          <w:bCs/>
          <w:iCs/>
        </w:rPr>
        <w:t>a SO</w:t>
      </w:r>
      <w:r w:rsidR="00B85C83" w:rsidRPr="00B85C83">
        <w:rPr>
          <w:bCs/>
          <w:iCs/>
          <w:vertAlign w:val="subscript"/>
        </w:rPr>
        <w:t>2</w:t>
      </w:r>
      <w:r w:rsidR="00B85C83" w:rsidRPr="00AC0E2A">
        <w:rPr>
          <w:bCs/>
          <w:iCs/>
        </w:rPr>
        <w:t>CH</w:t>
      </w:r>
      <w:r w:rsidR="00B85C83" w:rsidRPr="00B85C83">
        <w:rPr>
          <w:bCs/>
          <w:iCs/>
          <w:vertAlign w:val="subscript"/>
        </w:rPr>
        <w:t>3</w:t>
      </w:r>
      <w:r w:rsidR="00B85C83" w:rsidRPr="00AC0E2A">
        <w:rPr>
          <w:bCs/>
          <w:iCs/>
        </w:rPr>
        <w:t xml:space="preserve"> group in KNI-10075 replaces the –S-CH</w:t>
      </w:r>
      <w:r w:rsidR="00B85C83" w:rsidRPr="00B85C83">
        <w:rPr>
          <w:bCs/>
          <w:iCs/>
          <w:vertAlign w:val="subscript"/>
        </w:rPr>
        <w:t>3</w:t>
      </w:r>
      <w:r w:rsidR="00B85C83" w:rsidRPr="00AC0E2A">
        <w:rPr>
          <w:bCs/>
          <w:iCs/>
        </w:rPr>
        <w:t xml:space="preserve"> group in KNI-10033</w:t>
      </w:r>
      <w:r w:rsidRPr="00AC0E2A">
        <w:rPr>
          <w:bCs/>
          <w:iCs/>
        </w:rPr>
        <w:t>.  Binding of KNI-10033 to WT protease buries a total of 985 Å</w:t>
      </w:r>
      <w:r w:rsidRPr="00AC0E2A">
        <w:rPr>
          <w:bCs/>
          <w:iCs/>
          <w:vertAlign w:val="superscript"/>
        </w:rPr>
        <w:t xml:space="preserve">2 </w:t>
      </w:r>
      <w:r w:rsidRPr="00AC0E2A">
        <w:rPr>
          <w:bCs/>
          <w:iCs/>
        </w:rPr>
        <w:t xml:space="preserve">of </w:t>
      </w:r>
      <w:r w:rsidR="00BA7E7A">
        <w:rPr>
          <w:bCs/>
          <w:iCs/>
        </w:rPr>
        <w:t>apolar</w:t>
      </w:r>
      <w:r w:rsidRPr="00AC0E2A">
        <w:rPr>
          <w:bCs/>
          <w:iCs/>
        </w:rPr>
        <w:t xml:space="preserve"> surface area and 682 Å</w:t>
      </w:r>
      <w:r w:rsidRPr="00AC0E2A">
        <w:rPr>
          <w:bCs/>
          <w:iCs/>
          <w:vertAlign w:val="superscript"/>
        </w:rPr>
        <w:t>2</w:t>
      </w:r>
      <w:r w:rsidRPr="00AC0E2A">
        <w:rPr>
          <w:bCs/>
          <w:iCs/>
        </w:rPr>
        <w:t xml:space="preserve"> of polar surface area with a Δ</w:t>
      </w:r>
      <w:r w:rsidRPr="00AC0E2A">
        <w:rPr>
          <w:bCs/>
          <w:i/>
          <w:iCs/>
        </w:rPr>
        <w:t>C</w:t>
      </w:r>
      <w:r w:rsidRPr="00AC0E2A">
        <w:rPr>
          <w:bCs/>
          <w:i/>
          <w:iCs/>
          <w:vertAlign w:val="subscript"/>
        </w:rPr>
        <w:t xml:space="preserve">p </w:t>
      </w:r>
      <w:r w:rsidRPr="00AC0E2A">
        <w:rPr>
          <w:bCs/>
          <w:iCs/>
        </w:rPr>
        <w:t xml:space="preserve">value of -1926.28 </w:t>
      </w:r>
      <w:r w:rsidR="0087008A" w:rsidRPr="0087008A">
        <w:rPr>
          <w:bCs/>
          <w:iCs/>
        </w:rPr>
        <w:t>J/</w:t>
      </w:r>
      <w:r w:rsidR="007979BA">
        <w:rPr>
          <w:bCs/>
          <w:iCs/>
        </w:rPr>
        <w:t>(</w:t>
      </w:r>
      <w:r w:rsidR="0087008A" w:rsidRPr="0087008A">
        <w:rPr>
          <w:bCs/>
          <w:iCs/>
        </w:rPr>
        <w:t>mol</w:t>
      </w:r>
      <w:r w:rsidR="0087008A">
        <w:rPr>
          <w:bCs/>
          <w:iCs/>
          <w:vertAlign w:val="superscript"/>
        </w:rPr>
        <w:t xml:space="preserve"> </w:t>
      </w:r>
      <w:r w:rsidR="0087008A">
        <w:rPr>
          <w:bCs/>
          <w:iCs/>
        </w:rPr>
        <w:t>∙</w:t>
      </w:r>
      <w:r w:rsidR="0087008A" w:rsidRPr="0087008A">
        <w:rPr>
          <w:bCs/>
          <w:iCs/>
        </w:rPr>
        <w:t>K</w:t>
      </w:r>
      <w:r w:rsidR="007979BA">
        <w:rPr>
          <w:bCs/>
          <w:iCs/>
        </w:rPr>
        <w:t>)</w:t>
      </w:r>
      <w:r w:rsidR="004144B1">
        <w:rPr>
          <w:bCs/>
          <w:iCs/>
        </w:rPr>
        <w:t>.</w:t>
      </w:r>
      <w:r w:rsidRPr="00AC0E2A">
        <w:rPr>
          <w:bCs/>
          <w:iCs/>
        </w:rPr>
        <w:t xml:space="preserve"> For KNI-10075 the amount of buried </w:t>
      </w:r>
      <w:r w:rsidR="00BA7E7A">
        <w:rPr>
          <w:bCs/>
          <w:iCs/>
        </w:rPr>
        <w:t>apolar</w:t>
      </w:r>
      <w:r w:rsidRPr="00AC0E2A">
        <w:rPr>
          <w:bCs/>
          <w:iCs/>
        </w:rPr>
        <w:t xml:space="preserve"> and polar surfaces are 953 Å</w:t>
      </w:r>
      <w:r w:rsidRPr="00AC0E2A">
        <w:rPr>
          <w:bCs/>
          <w:iCs/>
          <w:vertAlign w:val="superscript"/>
        </w:rPr>
        <w:t xml:space="preserve">2 </w:t>
      </w:r>
      <w:r w:rsidRPr="00AC0E2A">
        <w:rPr>
          <w:bCs/>
          <w:iCs/>
        </w:rPr>
        <w:t>and 704 Å</w:t>
      </w:r>
      <w:r w:rsidRPr="00AC0E2A">
        <w:rPr>
          <w:bCs/>
          <w:iCs/>
          <w:vertAlign w:val="superscript"/>
        </w:rPr>
        <w:t xml:space="preserve">2 </w:t>
      </w:r>
      <w:r w:rsidRPr="00AC0E2A">
        <w:rPr>
          <w:bCs/>
          <w:iCs/>
        </w:rPr>
        <w:t>respectively with a much more positive Δ</w:t>
      </w:r>
      <w:r w:rsidRPr="00AC0E2A">
        <w:rPr>
          <w:bCs/>
          <w:i/>
          <w:iCs/>
        </w:rPr>
        <w:t>C</w:t>
      </w:r>
      <w:r w:rsidRPr="00AC0E2A">
        <w:rPr>
          <w:bCs/>
          <w:i/>
          <w:iCs/>
          <w:vertAlign w:val="subscript"/>
        </w:rPr>
        <w:t xml:space="preserve">p </w:t>
      </w:r>
      <w:r w:rsidRPr="00AC0E2A">
        <w:rPr>
          <w:bCs/>
          <w:iCs/>
        </w:rPr>
        <w:t xml:space="preserve">value of -1274.9 </w:t>
      </w:r>
      <w:r w:rsidR="0087008A" w:rsidRPr="0087008A">
        <w:rPr>
          <w:bCs/>
          <w:iCs/>
        </w:rPr>
        <w:t>J/</w:t>
      </w:r>
      <w:r w:rsidR="007979BA">
        <w:rPr>
          <w:bCs/>
          <w:iCs/>
        </w:rPr>
        <w:t>(</w:t>
      </w:r>
      <w:r w:rsidR="0087008A" w:rsidRPr="0087008A">
        <w:rPr>
          <w:bCs/>
          <w:iCs/>
        </w:rPr>
        <w:t>mol</w:t>
      </w:r>
      <w:r w:rsidR="0087008A">
        <w:rPr>
          <w:bCs/>
          <w:iCs/>
          <w:vertAlign w:val="superscript"/>
        </w:rPr>
        <w:t xml:space="preserve"> </w:t>
      </w:r>
      <w:r w:rsidR="0087008A">
        <w:rPr>
          <w:bCs/>
          <w:iCs/>
        </w:rPr>
        <w:t>∙</w:t>
      </w:r>
      <w:r w:rsidR="0087008A" w:rsidRPr="0087008A">
        <w:rPr>
          <w:bCs/>
          <w:iCs/>
        </w:rPr>
        <w:t>K</w:t>
      </w:r>
      <w:r w:rsidR="007979BA">
        <w:rPr>
          <w:bCs/>
          <w:iCs/>
        </w:rPr>
        <w:t>)</w:t>
      </w:r>
      <w:r w:rsidR="0087008A" w:rsidRPr="00AC0E2A">
        <w:rPr>
          <w:bCs/>
          <w:iCs/>
        </w:rPr>
        <w:t xml:space="preserve"> </w:t>
      </w:r>
      <w:r w:rsidRPr="00AC0E2A">
        <w:rPr>
          <w:bCs/>
          <w:iCs/>
        </w:rPr>
        <w:t xml:space="preserve">reflecting the smaller </w:t>
      </w:r>
      <w:r w:rsidR="00BA7E7A">
        <w:rPr>
          <w:bCs/>
          <w:iCs/>
        </w:rPr>
        <w:t>apolar</w:t>
      </w:r>
      <w:r w:rsidRPr="00AC0E2A">
        <w:rPr>
          <w:bCs/>
          <w:iCs/>
        </w:rPr>
        <w:t xml:space="preserve"> surface burial than the previous inhibitor. From the crystallographic and thermodynamic data, Lafont </w:t>
      </w:r>
      <w:r w:rsidRPr="00AC0E2A">
        <w:rPr>
          <w:bCs/>
          <w:i/>
          <w:iCs/>
        </w:rPr>
        <w:t>et al</w:t>
      </w:r>
      <w:r w:rsidR="000975B7">
        <w:rPr>
          <w:bCs/>
          <w:i/>
          <w:iCs/>
        </w:rPr>
        <w:t>.</w:t>
      </w:r>
      <w:r w:rsidRPr="00AC0E2A">
        <w:rPr>
          <w:bCs/>
          <w:iCs/>
        </w:rPr>
        <w:t xml:space="preserve"> </w:t>
      </w:r>
      <w:r w:rsidR="00373ECC">
        <w:rPr>
          <w:bCs/>
          <w:iCs/>
        </w:rPr>
        <w:t>suggested</w:t>
      </w:r>
      <w:r w:rsidRPr="00AC0E2A">
        <w:rPr>
          <w:bCs/>
          <w:iCs/>
        </w:rPr>
        <w:t xml:space="preserve"> the desolvation accounts for only 35% of the total entropy compensation, while 65% originated from structuring both the drug and the protein</w:t>
      </w:r>
      <w:r w:rsidR="00373ECC">
        <w:rPr>
          <w:bCs/>
          <w:iCs/>
        </w:rPr>
        <w:t>,</w:t>
      </w:r>
      <w:r w:rsidRPr="00AC0E2A">
        <w:rPr>
          <w:bCs/>
          <w:iCs/>
        </w:rPr>
        <w:t xml:space="preserve"> caused by the SO</w:t>
      </w:r>
      <w:r w:rsidRPr="00AC0E2A">
        <w:rPr>
          <w:bCs/>
          <w:iCs/>
          <w:vertAlign w:val="subscript"/>
        </w:rPr>
        <w:t>2</w:t>
      </w:r>
      <w:r w:rsidRPr="00AC0E2A">
        <w:rPr>
          <w:bCs/>
          <w:iCs/>
        </w:rPr>
        <w:t>CH</w:t>
      </w:r>
      <w:r w:rsidRPr="00AC0E2A">
        <w:rPr>
          <w:bCs/>
          <w:iCs/>
          <w:vertAlign w:val="subscript"/>
        </w:rPr>
        <w:t xml:space="preserve">3 </w:t>
      </w:r>
      <w:r w:rsidRPr="00AC0E2A">
        <w:rPr>
          <w:bCs/>
          <w:iCs/>
        </w:rPr>
        <w:t>forming a hydrogen bond with Asp 30</w:t>
      </w:r>
      <w:r w:rsidR="00784261">
        <w:rPr>
          <w:bCs/>
          <w:iCs/>
        </w:rPr>
        <w:t>.</w:t>
      </w:r>
      <w:r w:rsidRPr="00AC0E2A">
        <w:rPr>
          <w:bCs/>
          <w:iCs/>
        </w:rPr>
        <w:t xml:space="preserve"> </w:t>
      </w:r>
      <w:hyperlink w:anchor="_ENREF_28" w:tooltip="Lafont, 2007 #256" w:history="1">
        <w:r w:rsidR="00512D09" w:rsidRPr="00AC0E2A">
          <w:rPr>
            <w:bCs/>
            <w:iCs/>
          </w:rPr>
          <w:fldChar w:fldCharType="begin"/>
        </w:r>
        <w:r w:rsidR="00512D09">
          <w:rPr>
            <w:bCs/>
            <w:iCs/>
          </w:rPr>
          <w:instrText xml:space="preserve"> ADDIN EN.CITE &lt;EndNote&gt;&lt;Cite&gt;&lt;Author&gt;Lafont&lt;/Author&gt;&lt;Year&gt;2007&lt;/Year&gt;&lt;RecNum&gt;256&lt;/RecNum&gt;&lt;DisplayText&gt;&lt;style face="superscript"&gt;28&lt;/style&gt;&lt;/DisplayText&gt;&lt;record&gt;&lt;rec-number&gt;256&lt;/rec-number&gt;&lt;foreign-keys&gt;&lt;key app="EN" db-id="5trrespwzsdr07efd5tx2w96x22re9s0fsdt"&gt;256&lt;/key&gt;&lt;/foreign-keys&gt;&lt;ref-type name="Journal Article"&gt;17&lt;/ref-type&gt;&lt;contributors&gt;&lt;authors&gt;&lt;author&gt;Lafont, Virginie&lt;/author&gt;&lt;author&gt;Armstrong, Anthony A.&lt;/author&gt;&lt;author&gt;Ohtaka, Hiroyasu&lt;/author&gt;&lt;author&gt;Kiso, Yoshiaki&lt;/author&gt;&lt;author&gt;Mario Amzel, L.&lt;/author&gt;&lt;author&gt;Freire, Ernesto&lt;/author&gt;&lt;/authors&gt;&lt;/contributors&gt;&lt;titles&gt;&lt;title&gt;Compensating Enthalpic and Entropic Changes Hinder Binding Affinity Optimization&lt;/title&gt;&lt;secondary-title&gt;Chem Biol Drug Des&lt;/secondary-title&gt;&lt;/titles&gt;&lt;periodical&gt;&lt;full-title&gt;Chem Biol Drug Des&lt;/full-title&gt;&lt;abbr-1&gt;Chemical biology &amp;amp; drug design&lt;/abbr-1&gt;&lt;/periodical&gt;&lt;pages&gt;413-422&lt;/pages&gt;&lt;volume&gt;69&lt;/volume&gt;&lt;number&gt;6&lt;/number&gt;&lt;keywords&gt;&lt;keyword&gt;HIV protease&lt;/keyword&gt;&lt;keyword&gt;isothermal titration calorimetry&lt;/keyword&gt;&lt;keyword&gt;ITC&lt;/keyword&gt;&lt;keyword&gt;lead optimization&lt;/keyword&gt;&lt;keyword&gt;protease inhibitors&lt;/keyword&gt;&lt;keyword&gt;thermodynamics crystallography&lt;/keyword&gt;&lt;/keywords&gt;&lt;dates&gt;&lt;year&gt;2007&lt;/year&gt;&lt;/dates&gt;&lt;publisher&gt;Blackwell Publishing Ltd&lt;/publisher&gt;&lt;isbn&gt;1747-0285&lt;/isbn&gt;&lt;urls&gt;&lt;related-urls&gt;&lt;url&gt;http://dx.doi.org/10.1111/j.1747-0285.2007.00519.x&lt;/url&gt;&lt;/related-urls&gt;&lt;/urls&gt;&lt;electronic-resource-num&gt;10.1111/j.1747-0285.2007.00519.x&lt;/electronic-resource-num&gt;&lt;/record&gt;&lt;/Cite&gt;&lt;/EndNote&gt;</w:instrText>
        </w:r>
        <w:r w:rsidR="00512D09" w:rsidRPr="00AC0E2A">
          <w:rPr>
            <w:bCs/>
            <w:iCs/>
          </w:rPr>
          <w:fldChar w:fldCharType="separate"/>
        </w:r>
        <w:r w:rsidR="00512D09" w:rsidRPr="00F04E2C">
          <w:rPr>
            <w:bCs/>
            <w:iCs/>
            <w:noProof/>
            <w:vertAlign w:val="superscript"/>
          </w:rPr>
          <w:t>28</w:t>
        </w:r>
        <w:r w:rsidR="00512D09" w:rsidRPr="00AC0E2A">
          <w:fldChar w:fldCharType="end"/>
        </w:r>
      </w:hyperlink>
      <w:r w:rsidRPr="00AC0E2A">
        <w:rPr>
          <w:bCs/>
          <w:iCs/>
        </w:rPr>
        <w:t xml:space="preserve"> The authors further speculated that </w:t>
      </w:r>
      <w:r w:rsidR="00373ECC">
        <w:rPr>
          <w:bCs/>
          <w:iCs/>
        </w:rPr>
        <w:t xml:space="preserve">the </w:t>
      </w:r>
      <w:r w:rsidRPr="00AC0E2A">
        <w:rPr>
          <w:bCs/>
          <w:iCs/>
        </w:rPr>
        <w:t xml:space="preserve">source of the apparent structuring could have occurred from the freezing of three bonds or the restriction of two amino acids.  </w:t>
      </w:r>
    </w:p>
    <w:p w:rsidR="00AC0E2A" w:rsidRPr="00AC0E2A" w:rsidRDefault="00D57C7F" w:rsidP="004E7551">
      <w:pPr>
        <w:spacing w:line="480" w:lineRule="auto"/>
        <w:jc w:val="both"/>
        <w:rPr>
          <w:bCs/>
          <w:i/>
          <w:iCs/>
          <w:vertAlign w:val="subscript"/>
        </w:rPr>
      </w:pPr>
      <w:r>
        <w:rPr>
          <w:bCs/>
          <w:iCs/>
        </w:rPr>
        <w:t xml:space="preserve">KNI-764 and KNI-577 have </w:t>
      </w:r>
      <w:r w:rsidR="00AA39DB" w:rsidRPr="0095721B">
        <w:rPr>
          <w:rFonts w:eastAsiaTheme="minorEastAsia"/>
          <w:i/>
        </w:rPr>
        <w:t>ΔG</w:t>
      </w:r>
      <w:r w:rsidR="00AA39DB">
        <w:rPr>
          <w:bCs/>
          <w:iCs/>
        </w:rPr>
        <w:t xml:space="preserve"> of </w:t>
      </w:r>
      <w:r w:rsidR="00EB16FC">
        <w:rPr>
          <w:bCs/>
          <w:iCs/>
        </w:rPr>
        <w:t>binding of -59.8 kJ</w:t>
      </w:r>
      <w:r w:rsidR="000576DA">
        <w:rPr>
          <w:bCs/>
          <w:iCs/>
        </w:rPr>
        <w:t>/</w:t>
      </w:r>
      <w:r w:rsidR="00AC0E2A" w:rsidRPr="00AC0E2A">
        <w:rPr>
          <w:bCs/>
          <w:iCs/>
        </w:rPr>
        <w:t>mol</w:t>
      </w:r>
      <w:r w:rsidR="000576DA">
        <w:rPr>
          <w:bCs/>
          <w:iCs/>
        </w:rPr>
        <w:t xml:space="preserve"> and -55.2 kJ/</w:t>
      </w:r>
      <w:r w:rsidR="00AC0E2A" w:rsidRPr="00AC0E2A">
        <w:rPr>
          <w:bCs/>
          <w:iCs/>
        </w:rPr>
        <w:t>mol</w:t>
      </w:r>
      <w:r w:rsidR="000576DA">
        <w:rPr>
          <w:bCs/>
          <w:iCs/>
          <w:vertAlign w:val="superscript"/>
        </w:rPr>
        <w:t xml:space="preserve"> </w:t>
      </w:r>
      <w:r w:rsidR="00AC0E2A" w:rsidRPr="00AC0E2A">
        <w:rPr>
          <w:bCs/>
          <w:iCs/>
        </w:rPr>
        <w:t>respectively</w:t>
      </w:r>
      <w:r w:rsidR="004E7551">
        <w:rPr>
          <w:bCs/>
          <w:iCs/>
        </w:rPr>
        <w:t>.</w:t>
      </w:r>
      <w:hyperlink w:anchor="_ENREF_36" w:tooltip="Vega, 2004 #20" w:history="1">
        <w:r w:rsidR="00512D09" w:rsidRPr="00AC0E2A">
          <w:rPr>
            <w:bCs/>
            <w:iCs/>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rPr>
          <w:instrText xml:space="preserve"> ADDIN EN.CITE </w:instrText>
        </w:r>
        <w:r w:rsidR="00512D09">
          <w:rPr>
            <w:bCs/>
            <w:iCs/>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rPr>
          <w:instrText xml:space="preserve"> ADDIN EN.CITE.DATA </w:instrText>
        </w:r>
        <w:r w:rsidR="00512D09">
          <w:rPr>
            <w:bCs/>
            <w:iCs/>
          </w:rPr>
        </w:r>
        <w:r w:rsidR="00512D09">
          <w:rPr>
            <w:bCs/>
            <w:iCs/>
          </w:rPr>
          <w:fldChar w:fldCharType="end"/>
        </w:r>
        <w:r w:rsidR="00512D09" w:rsidRPr="00AC0E2A">
          <w:rPr>
            <w:bCs/>
            <w:iCs/>
          </w:rPr>
        </w:r>
        <w:r w:rsidR="00512D09" w:rsidRPr="00AC0E2A">
          <w:rPr>
            <w:bCs/>
            <w:iCs/>
          </w:rPr>
          <w:fldChar w:fldCharType="separate"/>
        </w:r>
        <w:r w:rsidR="00512D09" w:rsidRPr="00F04E2C">
          <w:rPr>
            <w:bCs/>
            <w:iCs/>
            <w:noProof/>
            <w:vertAlign w:val="superscript"/>
          </w:rPr>
          <w:t>36</w:t>
        </w:r>
        <w:r w:rsidR="00512D09" w:rsidRPr="00AC0E2A">
          <w:fldChar w:fldCharType="end"/>
        </w:r>
      </w:hyperlink>
      <w:r w:rsidR="00AC0E2A" w:rsidRPr="00AC0E2A">
        <w:rPr>
          <w:bCs/>
          <w:iCs/>
        </w:rPr>
        <w:t xml:space="preserve"> The entropic and enthalpic components ca</w:t>
      </w:r>
      <w:r w:rsidR="000576DA">
        <w:rPr>
          <w:bCs/>
          <w:iCs/>
        </w:rPr>
        <w:t>lculated through ITC are -28 kJ/</w:t>
      </w:r>
      <w:r w:rsidR="00AC0E2A" w:rsidRPr="00AC0E2A">
        <w:rPr>
          <w:bCs/>
          <w:iCs/>
        </w:rPr>
        <w:t>mol</w:t>
      </w:r>
      <w:r w:rsidR="00AC0E2A" w:rsidRPr="00AC0E2A">
        <w:rPr>
          <w:b/>
          <w:bCs/>
          <w:iCs/>
        </w:rPr>
        <w:t xml:space="preserve"> </w:t>
      </w:r>
      <w:r w:rsidR="00AC0E2A" w:rsidRPr="00AC0E2A">
        <w:rPr>
          <w:bCs/>
          <w:iCs/>
        </w:rPr>
        <w:t>and</w:t>
      </w:r>
      <w:r w:rsidR="00EB16FC">
        <w:rPr>
          <w:bCs/>
          <w:iCs/>
        </w:rPr>
        <w:t xml:space="preserve"> -</w:t>
      </w:r>
      <w:r w:rsidR="000576DA">
        <w:rPr>
          <w:bCs/>
          <w:iCs/>
        </w:rPr>
        <w:t xml:space="preserve">31.8 kJ/ </w:t>
      </w:r>
      <w:r w:rsidR="00AC0E2A" w:rsidRPr="00AC0E2A">
        <w:rPr>
          <w:bCs/>
          <w:iCs/>
        </w:rPr>
        <w:t>mol</w:t>
      </w:r>
      <w:r w:rsidR="000576DA">
        <w:rPr>
          <w:bCs/>
          <w:iCs/>
        </w:rPr>
        <w:t xml:space="preserve"> </w:t>
      </w:r>
      <w:r w:rsidR="00AC0E2A" w:rsidRPr="00AC0E2A">
        <w:rPr>
          <w:bCs/>
          <w:iCs/>
        </w:rPr>
        <w:t>for KNI-764 respectively. Whilst for KNI-577 the entropic contribut</w:t>
      </w:r>
      <w:r w:rsidR="000576DA">
        <w:rPr>
          <w:bCs/>
          <w:iCs/>
        </w:rPr>
        <w:t>ion is slightly more at 35.5 kJ/</w:t>
      </w:r>
      <w:r w:rsidR="00AC0E2A" w:rsidRPr="00AC0E2A">
        <w:rPr>
          <w:bCs/>
          <w:iCs/>
        </w:rPr>
        <w:t>mol</w:t>
      </w:r>
      <w:r w:rsidR="00AC0E2A" w:rsidRPr="00AC0E2A">
        <w:rPr>
          <w:b/>
          <w:bCs/>
          <w:iCs/>
        </w:rPr>
        <w:t xml:space="preserve"> </w:t>
      </w:r>
      <w:r w:rsidR="00AC0E2A" w:rsidRPr="00AC0E2A">
        <w:rPr>
          <w:bCs/>
          <w:iCs/>
        </w:rPr>
        <w:t>and the enthalpic contrib</w:t>
      </w:r>
      <w:r w:rsidR="000576DA">
        <w:rPr>
          <w:bCs/>
          <w:iCs/>
        </w:rPr>
        <w:t>ution slightly less at -19.6 kJ/</w:t>
      </w:r>
      <w:r w:rsidR="00AC0E2A" w:rsidRPr="00AC0E2A">
        <w:rPr>
          <w:bCs/>
          <w:iCs/>
        </w:rPr>
        <w:t>mol. These contributions change for the V</w:t>
      </w:r>
      <w:r w:rsidR="00505AEC">
        <w:rPr>
          <w:bCs/>
          <w:iCs/>
        </w:rPr>
        <w:t>al82Phe</w:t>
      </w:r>
      <w:r w:rsidR="00AC0E2A" w:rsidRPr="00AC0E2A">
        <w:rPr>
          <w:bCs/>
          <w:iCs/>
        </w:rPr>
        <w:t>/I</w:t>
      </w:r>
      <w:r w:rsidR="00505AEC">
        <w:rPr>
          <w:bCs/>
          <w:iCs/>
        </w:rPr>
        <w:t>le</w:t>
      </w:r>
      <w:r w:rsidR="00AC0E2A" w:rsidRPr="00AC0E2A">
        <w:rPr>
          <w:bCs/>
          <w:iCs/>
        </w:rPr>
        <w:t>84V</w:t>
      </w:r>
      <w:r w:rsidR="00505AEC">
        <w:rPr>
          <w:bCs/>
          <w:iCs/>
        </w:rPr>
        <w:t>al</w:t>
      </w:r>
      <w:r w:rsidR="00AC0E2A" w:rsidRPr="00AC0E2A">
        <w:rPr>
          <w:bCs/>
          <w:iCs/>
        </w:rPr>
        <w:t xml:space="preserve"> mutant, with KNI-764 being</w:t>
      </w:r>
      <w:r w:rsidR="00EB16FC">
        <w:rPr>
          <w:bCs/>
          <w:iCs/>
        </w:rPr>
        <w:t xml:space="preserve"> -</w:t>
      </w:r>
      <w:r w:rsidR="000576DA">
        <w:rPr>
          <w:bCs/>
          <w:iCs/>
        </w:rPr>
        <w:t>22.2 kJ/</w:t>
      </w:r>
      <w:r w:rsidR="00AC0E2A" w:rsidRPr="00AC0E2A">
        <w:rPr>
          <w:bCs/>
          <w:iCs/>
        </w:rPr>
        <w:t>mol</w:t>
      </w:r>
      <w:r w:rsidR="000576DA">
        <w:rPr>
          <w:bCs/>
          <w:iCs/>
        </w:rPr>
        <w:t xml:space="preserve"> and 29.8 kJ/</w:t>
      </w:r>
      <w:r w:rsidR="00AC0E2A" w:rsidRPr="00AC0E2A">
        <w:rPr>
          <w:bCs/>
          <w:iCs/>
        </w:rPr>
        <w:t>mol</w:t>
      </w:r>
      <w:r w:rsidR="00AC0E2A" w:rsidRPr="00AC0E2A">
        <w:rPr>
          <w:b/>
          <w:bCs/>
          <w:iCs/>
        </w:rPr>
        <w:t xml:space="preserve"> </w:t>
      </w:r>
      <w:r w:rsidR="00EB16FC">
        <w:rPr>
          <w:bCs/>
          <w:iCs/>
        </w:rPr>
        <w:t>and for KNI-577 being -8.7 kJ</w:t>
      </w:r>
      <w:r w:rsidR="00784261">
        <w:rPr>
          <w:bCs/>
          <w:iCs/>
        </w:rPr>
        <w:t>/</w:t>
      </w:r>
      <w:r w:rsidR="00AC0E2A" w:rsidRPr="00AC0E2A">
        <w:rPr>
          <w:bCs/>
          <w:iCs/>
        </w:rPr>
        <w:t>mol and 32.6 kJ</w:t>
      </w:r>
      <w:r w:rsidR="00784261" w:rsidRPr="00784261">
        <w:rPr>
          <w:bCs/>
          <w:iCs/>
        </w:rPr>
        <w:t>/</w:t>
      </w:r>
      <w:r w:rsidR="00AC0E2A" w:rsidRPr="00AC0E2A">
        <w:rPr>
          <w:bCs/>
          <w:iCs/>
        </w:rPr>
        <w:t>mol</w:t>
      </w:r>
      <w:r w:rsidR="00AC0E2A" w:rsidRPr="00AC0E2A">
        <w:rPr>
          <w:b/>
          <w:bCs/>
          <w:iCs/>
        </w:rPr>
        <w:t xml:space="preserve"> </w:t>
      </w:r>
      <w:r w:rsidR="00AC0E2A" w:rsidRPr="00AC0E2A">
        <w:rPr>
          <w:bCs/>
          <w:iCs/>
        </w:rPr>
        <w:t>for the enthalpy and entropy values respectively. KNI</w:t>
      </w:r>
      <w:r w:rsidR="00347677">
        <w:rPr>
          <w:bCs/>
          <w:iCs/>
        </w:rPr>
        <w:t>-764 had a more favourable Gibb</w:t>
      </w:r>
      <w:r w:rsidR="00AC0E2A" w:rsidRPr="00AC0E2A">
        <w:rPr>
          <w:bCs/>
          <w:iCs/>
        </w:rPr>
        <w:t>s free energy of binding for the mutant in comparison to KNI-577. The Δ</w:t>
      </w:r>
      <w:r w:rsidR="00AC0E2A" w:rsidRPr="00AC0E2A">
        <w:rPr>
          <w:bCs/>
          <w:i/>
          <w:iCs/>
        </w:rPr>
        <w:t>C</w:t>
      </w:r>
      <w:r w:rsidR="00AC0E2A" w:rsidRPr="00AC0E2A">
        <w:rPr>
          <w:bCs/>
          <w:i/>
          <w:iCs/>
          <w:vertAlign w:val="subscript"/>
        </w:rPr>
        <w:t>p</w:t>
      </w:r>
      <w:r w:rsidR="00AC0E2A" w:rsidRPr="00AC0E2A">
        <w:rPr>
          <w:bCs/>
          <w:iCs/>
        </w:rPr>
        <w:t xml:space="preserve"> value for KNI-764 becomes more favourable while the Δ</w:t>
      </w:r>
      <w:r w:rsidR="00AC0E2A" w:rsidRPr="00AC0E2A">
        <w:rPr>
          <w:bCs/>
          <w:i/>
          <w:iCs/>
        </w:rPr>
        <w:t>C</w:t>
      </w:r>
      <w:r w:rsidR="00AC0E2A" w:rsidRPr="00AC0E2A">
        <w:rPr>
          <w:bCs/>
          <w:i/>
          <w:iCs/>
          <w:vertAlign w:val="subscript"/>
        </w:rPr>
        <w:t>p</w:t>
      </w:r>
      <w:r w:rsidR="00AC0E2A" w:rsidRPr="00AC0E2A">
        <w:rPr>
          <w:bCs/>
          <w:iCs/>
        </w:rPr>
        <w:t xml:space="preserve"> value for KNI-577 becomes less so for the mutant. This shows the malleability of KNI-764 being able to go deeper into the mutant binding pocket, which is </w:t>
      </w:r>
      <w:r w:rsidR="00AC0E2A" w:rsidRPr="00AC0E2A">
        <w:rPr>
          <w:bCs/>
          <w:iCs/>
        </w:rPr>
        <w:lastRenderedPageBreak/>
        <w:t xml:space="preserve">demonstrated by increase in </w:t>
      </w:r>
      <w:r w:rsidR="00BA7E7A">
        <w:rPr>
          <w:bCs/>
          <w:iCs/>
        </w:rPr>
        <w:t>apolar</w:t>
      </w:r>
      <w:r w:rsidR="00AC0E2A" w:rsidRPr="00AC0E2A">
        <w:rPr>
          <w:bCs/>
          <w:iCs/>
        </w:rPr>
        <w:t xml:space="preserve"> surface area burial reflected in the Δ</w:t>
      </w:r>
      <w:r w:rsidR="00AC0E2A" w:rsidRPr="00AC0E2A">
        <w:rPr>
          <w:bCs/>
          <w:i/>
          <w:iCs/>
        </w:rPr>
        <w:t>C</w:t>
      </w:r>
      <w:r w:rsidR="00AC0E2A" w:rsidRPr="00AC0E2A">
        <w:rPr>
          <w:bCs/>
          <w:i/>
          <w:iCs/>
          <w:vertAlign w:val="subscript"/>
        </w:rPr>
        <w:t xml:space="preserve">p </w:t>
      </w:r>
      <w:r w:rsidR="00AC0E2A" w:rsidRPr="00AC0E2A">
        <w:rPr>
          <w:bCs/>
          <w:iCs/>
        </w:rPr>
        <w:t>value</w:t>
      </w:r>
      <w:r w:rsidR="00784261">
        <w:rPr>
          <w:bCs/>
          <w:iCs/>
        </w:rPr>
        <w:t>.</w:t>
      </w:r>
      <w:r w:rsidR="00AC0E2A" w:rsidRPr="00AC0E2A">
        <w:rPr>
          <w:bCs/>
          <w:iCs/>
        </w:rPr>
        <w:t xml:space="preserve"> </w:t>
      </w:r>
      <w:hyperlink w:anchor="_ENREF_36" w:tooltip="Vega, 2004 #20" w:history="1">
        <w:r w:rsidR="00512D09" w:rsidRPr="00AC0E2A">
          <w:rPr>
            <w:bCs/>
            <w:iCs/>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rPr>
          <w:instrText xml:space="preserve"> ADDIN EN.CITE </w:instrText>
        </w:r>
        <w:r w:rsidR="00512D09">
          <w:rPr>
            <w:bCs/>
            <w:iCs/>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rPr>
          <w:instrText xml:space="preserve"> ADDIN EN.CITE.DATA </w:instrText>
        </w:r>
        <w:r w:rsidR="00512D09">
          <w:rPr>
            <w:bCs/>
            <w:iCs/>
          </w:rPr>
        </w:r>
        <w:r w:rsidR="00512D09">
          <w:rPr>
            <w:bCs/>
            <w:iCs/>
          </w:rPr>
          <w:fldChar w:fldCharType="end"/>
        </w:r>
        <w:r w:rsidR="00512D09" w:rsidRPr="00AC0E2A">
          <w:rPr>
            <w:bCs/>
            <w:iCs/>
          </w:rPr>
        </w:r>
        <w:r w:rsidR="00512D09" w:rsidRPr="00AC0E2A">
          <w:rPr>
            <w:bCs/>
            <w:iCs/>
          </w:rPr>
          <w:fldChar w:fldCharType="separate"/>
        </w:r>
        <w:r w:rsidR="00512D09" w:rsidRPr="00F04E2C">
          <w:rPr>
            <w:bCs/>
            <w:iCs/>
            <w:noProof/>
            <w:vertAlign w:val="superscript"/>
          </w:rPr>
          <w:t>36</w:t>
        </w:r>
        <w:r w:rsidR="00512D09" w:rsidRPr="00AC0E2A">
          <w:fldChar w:fldCharType="end"/>
        </w:r>
      </w:hyperlink>
      <w:r w:rsidR="00AC0E2A" w:rsidRPr="00AC0E2A">
        <w:rPr>
          <w:bCs/>
          <w:iCs/>
        </w:rPr>
        <w:t xml:space="preserve"> Both KNI-577 and KNI-764 have the same molecular structure with the exceptions of KNI-577 having a </w:t>
      </w:r>
      <w:r w:rsidR="00AC0E2A" w:rsidRPr="00AC0E2A">
        <w:rPr>
          <w:bCs/>
          <w:i/>
          <w:iCs/>
        </w:rPr>
        <w:t>t</w:t>
      </w:r>
      <w:r w:rsidR="00AC0E2A" w:rsidRPr="00AC0E2A">
        <w:rPr>
          <w:bCs/>
          <w:iCs/>
        </w:rPr>
        <w:t xml:space="preserve">-butylamide group, whereas in KNI-764 </w:t>
      </w:r>
      <w:r w:rsidR="009852E6" w:rsidRPr="00AC0E2A">
        <w:rPr>
          <w:bCs/>
          <w:iCs/>
        </w:rPr>
        <w:t>a larger methylbenzylamide group occupies the position</w:t>
      </w:r>
      <w:r w:rsidR="00AC0E2A" w:rsidRPr="00AC0E2A">
        <w:rPr>
          <w:bCs/>
          <w:iCs/>
        </w:rPr>
        <w:t xml:space="preserve">. </w:t>
      </w:r>
    </w:p>
    <w:p w:rsidR="009A464D" w:rsidRDefault="00AC0E2A" w:rsidP="0057282F">
      <w:pPr>
        <w:spacing w:after="0" w:line="480" w:lineRule="auto"/>
        <w:jc w:val="both"/>
        <w:rPr>
          <w:bCs/>
          <w:iCs/>
        </w:rPr>
      </w:pPr>
      <w:r w:rsidRPr="00AC0E2A">
        <w:rPr>
          <w:bCs/>
          <w:iCs/>
        </w:rPr>
        <w:t>Studies revealed tipranavir-WT HIV protease binding had a larg</w:t>
      </w:r>
      <w:r w:rsidR="000576DA">
        <w:rPr>
          <w:bCs/>
          <w:iCs/>
        </w:rPr>
        <w:t>e entropic component of 58.1 kJ/</w:t>
      </w:r>
      <w:r w:rsidRPr="00AC0E2A">
        <w:rPr>
          <w:bCs/>
          <w:iCs/>
        </w:rPr>
        <w:t>mol, and a small</w:t>
      </w:r>
      <w:r w:rsidR="000576DA">
        <w:rPr>
          <w:bCs/>
          <w:iCs/>
        </w:rPr>
        <w:t xml:space="preserve"> enthalpic component of -2.9 kJ/</w:t>
      </w:r>
      <w:r w:rsidRPr="00AC0E2A">
        <w:rPr>
          <w:bCs/>
          <w:iCs/>
        </w:rPr>
        <w:t>mol</w:t>
      </w:r>
      <w:r w:rsidR="00784261">
        <w:rPr>
          <w:bCs/>
          <w:iCs/>
        </w:rPr>
        <w:t>.</w:t>
      </w:r>
      <w:hyperlink w:anchor="_ENREF_38" w:tooltip="Muzammil, 2007 #22" w:history="1">
        <w:r w:rsidR="00512D09" w:rsidRPr="00AC0E2A">
          <w:rPr>
            <w:bCs/>
            <w:iCs/>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rPr>
          <w:instrText xml:space="preserve"> ADDIN EN.CITE </w:instrText>
        </w:r>
        <w:r w:rsidR="00512D09">
          <w:rPr>
            <w:bCs/>
            <w:iCs/>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rPr>
          <w:instrText xml:space="preserve"> ADDIN EN.CITE.DATA </w:instrText>
        </w:r>
        <w:r w:rsidR="00512D09">
          <w:rPr>
            <w:bCs/>
            <w:iCs/>
          </w:rPr>
        </w:r>
        <w:r w:rsidR="00512D09">
          <w:rPr>
            <w:bCs/>
            <w:iCs/>
          </w:rPr>
          <w:fldChar w:fldCharType="end"/>
        </w:r>
        <w:r w:rsidR="00512D09" w:rsidRPr="00AC0E2A">
          <w:rPr>
            <w:bCs/>
            <w:iCs/>
          </w:rPr>
        </w:r>
        <w:r w:rsidR="00512D09" w:rsidRPr="00AC0E2A">
          <w:rPr>
            <w:bCs/>
            <w:iCs/>
          </w:rPr>
          <w:fldChar w:fldCharType="separate"/>
        </w:r>
        <w:r w:rsidR="00512D09" w:rsidRPr="00F04E2C">
          <w:rPr>
            <w:bCs/>
            <w:iCs/>
            <w:noProof/>
            <w:vertAlign w:val="superscript"/>
          </w:rPr>
          <w:t>38</w:t>
        </w:r>
        <w:r w:rsidR="00512D09" w:rsidRPr="00AC0E2A">
          <w:fldChar w:fldCharType="end"/>
        </w:r>
      </w:hyperlink>
      <w:r w:rsidRPr="00AC0E2A">
        <w:rPr>
          <w:bCs/>
          <w:iCs/>
        </w:rPr>
        <w:t xml:space="preserve"> All inhibitors lost potency against the V</w:t>
      </w:r>
      <w:r w:rsidR="0057282F">
        <w:rPr>
          <w:bCs/>
          <w:iCs/>
        </w:rPr>
        <w:t>al</w:t>
      </w:r>
      <w:r w:rsidRPr="00AC0E2A">
        <w:rPr>
          <w:bCs/>
          <w:iCs/>
        </w:rPr>
        <w:t>82F</w:t>
      </w:r>
      <w:r w:rsidR="0057282F">
        <w:rPr>
          <w:bCs/>
          <w:iCs/>
        </w:rPr>
        <w:t>Phe</w:t>
      </w:r>
      <w:r w:rsidRPr="00AC0E2A">
        <w:rPr>
          <w:bCs/>
          <w:iCs/>
        </w:rPr>
        <w:t>/</w:t>
      </w:r>
      <w:r w:rsidR="0057282F">
        <w:rPr>
          <w:bCs/>
          <w:iCs/>
        </w:rPr>
        <w:t xml:space="preserve">lleI84Val </w:t>
      </w:r>
      <w:r w:rsidRPr="00AC0E2A">
        <w:rPr>
          <w:bCs/>
          <w:iCs/>
        </w:rPr>
        <w:t>protease variant show</w:t>
      </w:r>
      <w:r w:rsidR="000576DA">
        <w:rPr>
          <w:bCs/>
          <w:iCs/>
        </w:rPr>
        <w:t xml:space="preserve">ing </w:t>
      </w:r>
      <w:r w:rsidR="004144B1">
        <w:rPr>
          <w:bCs/>
          <w:iCs/>
        </w:rPr>
        <w:t>less favourable</w:t>
      </w:r>
      <w:r w:rsidR="000576DA">
        <w:rPr>
          <w:bCs/>
          <w:iCs/>
        </w:rPr>
        <w:t xml:space="preserve"> values </w:t>
      </w:r>
      <w:r w:rsidR="004144B1">
        <w:rPr>
          <w:bCs/>
          <w:iCs/>
        </w:rPr>
        <w:t>for the</w:t>
      </w:r>
      <w:r w:rsidR="000576DA">
        <w:rPr>
          <w:bCs/>
          <w:iCs/>
        </w:rPr>
        <w:t xml:space="preserve"> Gibb</w:t>
      </w:r>
      <w:r w:rsidRPr="00AC0E2A">
        <w:rPr>
          <w:bCs/>
          <w:iCs/>
        </w:rPr>
        <w:t>s free energy of binding. However</w:t>
      </w:r>
      <w:r w:rsidR="00373ECC">
        <w:rPr>
          <w:bCs/>
          <w:iCs/>
        </w:rPr>
        <w:t>,</w:t>
      </w:r>
      <w:r w:rsidRPr="00AC0E2A">
        <w:rPr>
          <w:bCs/>
          <w:iCs/>
        </w:rPr>
        <w:t xml:space="preserve"> tipranavir gained binding enthalpy when binding to </w:t>
      </w:r>
      <w:r w:rsidR="0057282F">
        <w:rPr>
          <w:bCs/>
          <w:iCs/>
        </w:rPr>
        <w:t xml:space="preserve">that mutant protease. Against </w:t>
      </w:r>
      <w:r w:rsidRPr="00AC0E2A">
        <w:rPr>
          <w:bCs/>
          <w:iCs/>
        </w:rPr>
        <w:t>the I</w:t>
      </w:r>
      <w:r w:rsidR="00BD3157">
        <w:rPr>
          <w:bCs/>
          <w:iCs/>
        </w:rPr>
        <w:t>le</w:t>
      </w:r>
      <w:r w:rsidRPr="00AC0E2A">
        <w:rPr>
          <w:bCs/>
          <w:iCs/>
        </w:rPr>
        <w:t>13V</w:t>
      </w:r>
      <w:r w:rsidR="00BD3157">
        <w:rPr>
          <w:bCs/>
          <w:iCs/>
        </w:rPr>
        <w:t>al</w:t>
      </w:r>
      <w:r w:rsidRPr="00AC0E2A">
        <w:rPr>
          <w:bCs/>
          <w:iCs/>
        </w:rPr>
        <w:t>/V</w:t>
      </w:r>
      <w:r w:rsidR="00BD3157">
        <w:rPr>
          <w:bCs/>
          <w:iCs/>
        </w:rPr>
        <w:t>al</w:t>
      </w:r>
      <w:r w:rsidRPr="00AC0E2A">
        <w:rPr>
          <w:bCs/>
          <w:iCs/>
        </w:rPr>
        <w:t>32I</w:t>
      </w:r>
      <w:r w:rsidR="00BD3157">
        <w:rPr>
          <w:bCs/>
          <w:iCs/>
        </w:rPr>
        <w:t>le</w:t>
      </w:r>
      <w:r w:rsidRPr="00AC0E2A">
        <w:rPr>
          <w:bCs/>
          <w:iCs/>
        </w:rPr>
        <w:t>/L</w:t>
      </w:r>
      <w:r w:rsidR="00BD3157">
        <w:rPr>
          <w:bCs/>
          <w:iCs/>
        </w:rPr>
        <w:t>eu</w:t>
      </w:r>
      <w:r w:rsidR="000379B9">
        <w:rPr>
          <w:bCs/>
          <w:iCs/>
        </w:rPr>
        <w:t>33Phe/Lys45Leu</w:t>
      </w:r>
      <w:r w:rsidRPr="00AC0E2A">
        <w:rPr>
          <w:bCs/>
          <w:iCs/>
        </w:rPr>
        <w:t>/V</w:t>
      </w:r>
      <w:r w:rsidR="000379B9">
        <w:rPr>
          <w:bCs/>
          <w:iCs/>
        </w:rPr>
        <w:t>al</w:t>
      </w:r>
      <w:r w:rsidRPr="00AC0E2A">
        <w:rPr>
          <w:bCs/>
          <w:iCs/>
        </w:rPr>
        <w:t>82L</w:t>
      </w:r>
      <w:r w:rsidR="000379B9">
        <w:rPr>
          <w:bCs/>
          <w:iCs/>
        </w:rPr>
        <w:t>eu</w:t>
      </w:r>
      <w:r w:rsidRPr="00AC0E2A">
        <w:rPr>
          <w:bCs/>
          <w:iCs/>
        </w:rPr>
        <w:t>/I</w:t>
      </w:r>
      <w:r w:rsidR="000379B9">
        <w:rPr>
          <w:bCs/>
          <w:iCs/>
        </w:rPr>
        <w:t>le</w:t>
      </w:r>
      <w:r w:rsidRPr="00AC0E2A">
        <w:rPr>
          <w:bCs/>
          <w:iCs/>
        </w:rPr>
        <w:t>84V</w:t>
      </w:r>
      <w:r w:rsidR="000379B9">
        <w:rPr>
          <w:bCs/>
          <w:iCs/>
        </w:rPr>
        <w:t>al</w:t>
      </w:r>
      <w:r w:rsidRPr="00AC0E2A">
        <w:rPr>
          <w:bCs/>
          <w:iCs/>
        </w:rPr>
        <w:t xml:space="preserve"> protease varia</w:t>
      </w:r>
      <w:r w:rsidR="000576DA">
        <w:rPr>
          <w:bCs/>
          <w:iCs/>
        </w:rPr>
        <w:t xml:space="preserve">nt, tipranavir showed a </w:t>
      </w:r>
      <w:r w:rsidR="00AA39DB">
        <w:rPr>
          <w:bCs/>
          <w:iCs/>
        </w:rPr>
        <w:t>favourable change in binding enthalpy</w:t>
      </w:r>
      <w:r w:rsidRPr="00AC0E2A">
        <w:rPr>
          <w:bCs/>
          <w:iCs/>
        </w:rPr>
        <w:t xml:space="preserve">, whilst </w:t>
      </w:r>
      <w:r w:rsidR="009A464D">
        <w:rPr>
          <w:bCs/>
          <w:iCs/>
        </w:rPr>
        <w:t>for all the other inhibitors, the binding enthalpy became less favourable</w:t>
      </w:r>
      <w:r w:rsidR="0057282F">
        <w:rPr>
          <w:bCs/>
          <w:iCs/>
        </w:rPr>
        <w:t>. Ho</w:t>
      </w:r>
      <w:r w:rsidR="009A464D">
        <w:rPr>
          <w:bCs/>
          <w:iCs/>
        </w:rPr>
        <w:t xml:space="preserve">wever, against the HIV protease variant </w:t>
      </w:r>
      <w:r w:rsidRPr="00AC0E2A">
        <w:rPr>
          <w:bCs/>
          <w:iCs/>
        </w:rPr>
        <w:t>L</w:t>
      </w:r>
      <w:r w:rsidR="000379B9">
        <w:rPr>
          <w:bCs/>
          <w:iCs/>
        </w:rPr>
        <w:t>eu</w:t>
      </w:r>
      <w:r w:rsidRPr="00AC0E2A">
        <w:rPr>
          <w:bCs/>
          <w:iCs/>
        </w:rPr>
        <w:t>10I</w:t>
      </w:r>
      <w:r w:rsidR="000379B9">
        <w:rPr>
          <w:bCs/>
          <w:iCs/>
        </w:rPr>
        <w:t>le</w:t>
      </w:r>
      <w:r w:rsidRPr="00AC0E2A">
        <w:rPr>
          <w:bCs/>
          <w:iCs/>
        </w:rPr>
        <w:t>/L</w:t>
      </w:r>
      <w:r w:rsidR="000379B9">
        <w:rPr>
          <w:bCs/>
          <w:iCs/>
        </w:rPr>
        <w:t>eu</w:t>
      </w:r>
      <w:r w:rsidRPr="00AC0E2A">
        <w:rPr>
          <w:bCs/>
          <w:iCs/>
        </w:rPr>
        <w:t>33I</w:t>
      </w:r>
      <w:r w:rsidR="000379B9">
        <w:rPr>
          <w:bCs/>
          <w:iCs/>
        </w:rPr>
        <w:t>le</w:t>
      </w:r>
      <w:r w:rsidRPr="00AC0E2A">
        <w:rPr>
          <w:bCs/>
          <w:iCs/>
        </w:rPr>
        <w:t>/M</w:t>
      </w:r>
      <w:r w:rsidR="000379B9">
        <w:rPr>
          <w:bCs/>
          <w:iCs/>
        </w:rPr>
        <w:t>et</w:t>
      </w:r>
      <w:r w:rsidRPr="00AC0E2A">
        <w:rPr>
          <w:bCs/>
          <w:iCs/>
        </w:rPr>
        <w:t>46I</w:t>
      </w:r>
      <w:r w:rsidR="000379B9">
        <w:rPr>
          <w:bCs/>
          <w:iCs/>
        </w:rPr>
        <w:t>eu</w:t>
      </w:r>
      <w:r w:rsidRPr="00AC0E2A">
        <w:rPr>
          <w:bCs/>
          <w:iCs/>
        </w:rPr>
        <w:t>/I</w:t>
      </w:r>
      <w:r w:rsidR="000379B9">
        <w:rPr>
          <w:bCs/>
          <w:iCs/>
        </w:rPr>
        <w:t>le</w:t>
      </w:r>
      <w:r w:rsidRPr="00AC0E2A">
        <w:rPr>
          <w:bCs/>
          <w:iCs/>
        </w:rPr>
        <w:t>54V</w:t>
      </w:r>
      <w:r w:rsidR="000379B9">
        <w:rPr>
          <w:bCs/>
          <w:iCs/>
        </w:rPr>
        <w:t>al</w:t>
      </w:r>
      <w:r w:rsidRPr="00AC0E2A">
        <w:rPr>
          <w:bCs/>
          <w:iCs/>
        </w:rPr>
        <w:t>/L</w:t>
      </w:r>
      <w:r w:rsidR="000379B9">
        <w:rPr>
          <w:bCs/>
          <w:iCs/>
        </w:rPr>
        <w:t>eu</w:t>
      </w:r>
      <w:r w:rsidRPr="00AC0E2A">
        <w:rPr>
          <w:bCs/>
          <w:iCs/>
        </w:rPr>
        <w:t>63I</w:t>
      </w:r>
      <w:r w:rsidR="000379B9">
        <w:rPr>
          <w:bCs/>
          <w:iCs/>
        </w:rPr>
        <w:t>le</w:t>
      </w:r>
      <w:r w:rsidRPr="00AC0E2A">
        <w:rPr>
          <w:bCs/>
          <w:iCs/>
        </w:rPr>
        <w:t>/V</w:t>
      </w:r>
      <w:r w:rsidR="000379B9">
        <w:rPr>
          <w:bCs/>
          <w:iCs/>
        </w:rPr>
        <w:t>al</w:t>
      </w:r>
      <w:r w:rsidRPr="00AC0E2A">
        <w:rPr>
          <w:bCs/>
          <w:iCs/>
        </w:rPr>
        <w:t>82A</w:t>
      </w:r>
      <w:r w:rsidR="000379B9">
        <w:rPr>
          <w:bCs/>
          <w:iCs/>
        </w:rPr>
        <w:t>la</w:t>
      </w:r>
      <w:r w:rsidRPr="00AC0E2A">
        <w:rPr>
          <w:bCs/>
          <w:iCs/>
        </w:rPr>
        <w:t>/I</w:t>
      </w:r>
      <w:r w:rsidR="000379B9">
        <w:rPr>
          <w:bCs/>
          <w:iCs/>
        </w:rPr>
        <w:t>le</w:t>
      </w:r>
      <w:r w:rsidRPr="00AC0E2A">
        <w:rPr>
          <w:bCs/>
          <w:iCs/>
        </w:rPr>
        <w:t>84V</w:t>
      </w:r>
      <w:r w:rsidR="000379B9">
        <w:rPr>
          <w:bCs/>
          <w:iCs/>
        </w:rPr>
        <w:t>al</w:t>
      </w:r>
      <w:r w:rsidRPr="00AC0E2A">
        <w:rPr>
          <w:bCs/>
          <w:iCs/>
        </w:rPr>
        <w:t>/</w:t>
      </w:r>
      <w:r w:rsidR="009A464D">
        <w:rPr>
          <w:bCs/>
          <w:iCs/>
        </w:rPr>
        <w:t>-</w:t>
      </w:r>
    </w:p>
    <w:p w:rsidR="0057282F" w:rsidRPr="00D96951" w:rsidRDefault="00AC0E2A" w:rsidP="0057282F">
      <w:pPr>
        <w:spacing w:after="0" w:line="480" w:lineRule="auto"/>
        <w:jc w:val="both"/>
        <w:rPr>
          <w:bCs/>
          <w:iCs/>
        </w:rPr>
      </w:pPr>
      <w:r w:rsidRPr="00AC0E2A">
        <w:rPr>
          <w:bCs/>
          <w:iCs/>
        </w:rPr>
        <w:t>L</w:t>
      </w:r>
      <w:r w:rsidR="000379B9">
        <w:rPr>
          <w:bCs/>
          <w:iCs/>
        </w:rPr>
        <w:t>eu</w:t>
      </w:r>
      <w:r w:rsidRPr="00AC0E2A">
        <w:rPr>
          <w:bCs/>
          <w:iCs/>
        </w:rPr>
        <w:t>90M</w:t>
      </w:r>
      <w:r w:rsidR="000379B9">
        <w:rPr>
          <w:bCs/>
          <w:iCs/>
        </w:rPr>
        <w:t>et</w:t>
      </w:r>
      <w:r w:rsidRPr="00AC0E2A">
        <w:rPr>
          <w:bCs/>
          <w:iCs/>
        </w:rPr>
        <w:t xml:space="preserve"> tipranavir lost binding enthalpy, </w:t>
      </w:r>
      <w:r w:rsidR="00E1017D">
        <w:rPr>
          <w:bCs/>
          <w:iCs/>
        </w:rPr>
        <w:t>although</w:t>
      </w:r>
      <w:r w:rsidRPr="00AC0E2A">
        <w:rPr>
          <w:bCs/>
          <w:iCs/>
        </w:rPr>
        <w:t xml:space="preserve"> it was by far the smallest </w:t>
      </w:r>
      <w:r w:rsidR="00373ECC">
        <w:rPr>
          <w:bCs/>
          <w:iCs/>
        </w:rPr>
        <w:t>decrease</w:t>
      </w:r>
      <w:r w:rsidRPr="00AC0E2A">
        <w:rPr>
          <w:bCs/>
          <w:iCs/>
        </w:rPr>
        <w:t xml:space="preserve"> in enthalpy compared to the other inhibitors. The authors speculated the favourable binding entropy came from burying less water molecules upon ligand binding compared to the other inhibitors. This was based on the entropy value of tipranavir binding being more favourable than based on hydrophobic burial upon binding alone. The favourable binding enthalpy also stems from this, as more favourable van der Waals’ contacts were made as </w:t>
      </w:r>
      <w:r w:rsidR="00373ECC">
        <w:rPr>
          <w:bCs/>
          <w:iCs/>
        </w:rPr>
        <w:t>due to</w:t>
      </w:r>
      <w:r w:rsidRPr="00AC0E2A">
        <w:rPr>
          <w:bCs/>
          <w:iCs/>
        </w:rPr>
        <w:t xml:space="preserve"> fewer water molecules </w:t>
      </w:r>
      <w:r w:rsidR="00373ECC">
        <w:rPr>
          <w:bCs/>
          <w:iCs/>
        </w:rPr>
        <w:t xml:space="preserve">being present </w:t>
      </w:r>
      <w:r w:rsidRPr="00AC0E2A">
        <w:rPr>
          <w:bCs/>
          <w:iCs/>
        </w:rPr>
        <w:t>in the binding site</w:t>
      </w:r>
      <w:r w:rsidR="00784261">
        <w:rPr>
          <w:bCs/>
          <w:iCs/>
        </w:rPr>
        <w:t>.</w:t>
      </w:r>
      <w:hyperlink w:anchor="_ENREF_38" w:tooltip="Muzammil, 2007 #22" w:history="1">
        <w:r w:rsidR="00512D09" w:rsidRPr="00AC0E2A">
          <w:rPr>
            <w:bCs/>
            <w:iCs/>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rPr>
          <w:instrText xml:space="preserve"> ADDIN EN.CITE </w:instrText>
        </w:r>
        <w:r w:rsidR="00512D09">
          <w:rPr>
            <w:bCs/>
            <w:iCs/>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rPr>
          <w:instrText xml:space="preserve"> ADDIN EN.CITE.DATA </w:instrText>
        </w:r>
        <w:r w:rsidR="00512D09">
          <w:rPr>
            <w:bCs/>
            <w:iCs/>
          </w:rPr>
        </w:r>
        <w:r w:rsidR="00512D09">
          <w:rPr>
            <w:bCs/>
            <w:iCs/>
          </w:rPr>
          <w:fldChar w:fldCharType="end"/>
        </w:r>
        <w:r w:rsidR="00512D09" w:rsidRPr="00AC0E2A">
          <w:rPr>
            <w:bCs/>
            <w:iCs/>
          </w:rPr>
        </w:r>
        <w:r w:rsidR="00512D09" w:rsidRPr="00AC0E2A">
          <w:rPr>
            <w:bCs/>
            <w:iCs/>
          </w:rPr>
          <w:fldChar w:fldCharType="separate"/>
        </w:r>
        <w:r w:rsidR="00512D09" w:rsidRPr="00F04E2C">
          <w:rPr>
            <w:bCs/>
            <w:iCs/>
            <w:noProof/>
            <w:vertAlign w:val="superscript"/>
          </w:rPr>
          <w:t>38</w:t>
        </w:r>
        <w:r w:rsidR="00512D09" w:rsidRPr="00AC0E2A">
          <w:fldChar w:fldCharType="end"/>
        </w:r>
      </w:hyperlink>
      <w:r w:rsidRPr="00AC0E2A">
        <w:rPr>
          <w:bCs/>
          <w:iCs/>
        </w:rPr>
        <w:t xml:space="preserve"> </w:t>
      </w:r>
      <w:r w:rsidR="00D96951">
        <w:rPr>
          <w:bCs/>
          <w:iCs/>
        </w:rPr>
        <w:t>All the inhibitors display a fo</w:t>
      </w:r>
      <w:r w:rsidR="000576DA">
        <w:rPr>
          <w:bCs/>
          <w:iCs/>
        </w:rPr>
        <w:t>rm of EEC phenomena as the Gibb</w:t>
      </w:r>
      <w:r w:rsidR="00D96951">
        <w:rPr>
          <w:bCs/>
          <w:iCs/>
        </w:rPr>
        <w:t>s free energy of binding changes little despite the large changes in entropy and enthalpy (</w:t>
      </w:r>
      <w:r w:rsidR="00040F10">
        <w:fldChar w:fldCharType="begin"/>
      </w:r>
      <w:r w:rsidR="00040F10">
        <w:instrText xml:space="preserve"> REF _Ref442862618 \h  \* MERGEFORMAT </w:instrText>
      </w:r>
      <w:r w:rsidR="00040F10">
        <w:fldChar w:fldCharType="separate"/>
      </w:r>
      <w:r w:rsidR="00CB4EDC" w:rsidRPr="00CB4EDC">
        <w:rPr>
          <w:bCs/>
        </w:rPr>
        <w:t xml:space="preserve">Table </w:t>
      </w:r>
      <w:r w:rsidR="00CB4EDC" w:rsidRPr="00CB4EDC">
        <w:rPr>
          <w:bCs/>
          <w:noProof/>
        </w:rPr>
        <w:t>1.4</w:t>
      </w:r>
      <w:r w:rsidR="00040F10">
        <w:fldChar w:fldCharType="end"/>
      </w:r>
      <w:r w:rsidR="00D96951">
        <w:rPr>
          <w:bCs/>
          <w:iCs/>
        </w:rPr>
        <w:t>).</w:t>
      </w:r>
    </w:p>
    <w:p w:rsidR="00AC0E2A" w:rsidRDefault="00AC0E2A" w:rsidP="004E7551">
      <w:pPr>
        <w:spacing w:line="480" w:lineRule="auto"/>
        <w:jc w:val="both"/>
        <w:rPr>
          <w:bCs/>
          <w:iCs/>
        </w:rPr>
      </w:pPr>
      <w:r w:rsidRPr="00AC0E2A">
        <w:rPr>
          <w:bCs/>
          <w:iCs/>
        </w:rPr>
        <w:t xml:space="preserve">The </w:t>
      </w:r>
      <w:r w:rsidR="00E1017D">
        <w:rPr>
          <w:bCs/>
          <w:iCs/>
        </w:rPr>
        <w:t>studies performed</w:t>
      </w:r>
      <w:r w:rsidRPr="00AC0E2A">
        <w:rPr>
          <w:bCs/>
          <w:iCs/>
        </w:rPr>
        <w:t xml:space="preserve"> by these authors’ shows that a drug </w:t>
      </w:r>
      <w:r w:rsidR="009852E6" w:rsidRPr="00AC0E2A">
        <w:rPr>
          <w:bCs/>
          <w:iCs/>
        </w:rPr>
        <w:t>could</w:t>
      </w:r>
      <w:r w:rsidRPr="00AC0E2A">
        <w:rPr>
          <w:bCs/>
          <w:iCs/>
        </w:rPr>
        <w:t xml:space="preserve"> overcome resistance mutations by means of a thermodynamic mechanism. Although the mechanism needs further elaboration, the idea that future drug resistance can be overcome through thermodynamic optimisation is an interesting one and should be further investigated. As </w:t>
      </w:r>
      <w:r w:rsidRPr="00AC0E2A">
        <w:rPr>
          <w:bCs/>
          <w:iCs/>
        </w:rPr>
        <w:lastRenderedPageBreak/>
        <w:t>can be seen from the previous studies, water plays a role in viruses and cancer becoming resistant to small molecules</w:t>
      </w:r>
      <w:r w:rsidR="00784261">
        <w:rPr>
          <w:bCs/>
          <w:iCs/>
        </w:rPr>
        <w:t>.</w:t>
      </w:r>
      <w:r w:rsidR="0075172E" w:rsidRPr="00AC0E2A">
        <w:rPr>
          <w:bCs/>
          <w:iCs/>
        </w:rPr>
        <w:fldChar w:fldCharType="begin">
          <w:fldData xml:space="preserve">PEVuZE5vdGU+PENpdGU+PEF1dGhvcj5IdWFuZzwvQXV0aG9yPjxZZWFyPjIwMTI8L1llYXI+PFJl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bG9neTwvYWJici0xPjwvYWx0LXBlcmlvZGljYWw+PHBhZ2VzPjUxNDQtNTQ8L3BhZ2VzPjx2b2x1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</w:fldData>
        </w:fldChar>
      </w:r>
      <w:r w:rsidR="00F04E2C">
        <w:rPr>
          <w:bCs/>
          <w:iCs/>
        </w:rPr>
        <w:instrText xml:space="preserve"> ADDIN EN.CITE </w:instrText>
      </w:r>
      <w:r w:rsidR="0075172E">
        <w:rPr>
          <w:bCs/>
          <w:iCs/>
        </w:rPr>
        <w:fldChar w:fldCharType="begin">
          <w:fldData xml:space="preserve">PEVuZE5vdGU+PENpdGU+PEF1dGhvcj5IdWFuZzwvQXV0aG9yPjxZZWFyPjIwMTI8L1llYXI+PFJl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bG9neTwvYWJici0xPjwvYWx0LXBlcmlvZGljYWw+PHBhZ2VzPjUxNDQtNTQ8L3BhZ2VzPjx2b2x1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</w:fldData>
        </w:fldChar>
      </w:r>
      <w:r w:rsidR="00F04E2C">
        <w:rPr>
          <w:bCs/>
          <w:iCs/>
        </w:rPr>
        <w:instrText xml:space="preserve"> ADDIN EN.CITE.DATA </w:instrText>
      </w:r>
      <w:r w:rsidR="0075172E">
        <w:rPr>
          <w:bCs/>
          <w:iCs/>
        </w:rPr>
      </w:r>
      <w:r w:rsidR="0075172E">
        <w:rPr>
          <w:bCs/>
          <w:iCs/>
        </w:rPr>
        <w:fldChar w:fldCharType="end"/>
      </w:r>
      <w:r w:rsidR="0075172E" w:rsidRPr="00AC0E2A">
        <w:rPr>
          <w:bCs/>
          <w:iCs/>
        </w:rPr>
      </w:r>
      <w:r w:rsidR="0075172E" w:rsidRPr="00AC0E2A">
        <w:rPr>
          <w:bCs/>
          <w:iCs/>
        </w:rPr>
        <w:fldChar w:fldCharType="separate"/>
      </w:r>
      <w:hyperlink w:anchor="_ENREF_35" w:tooltip="Huang, 2012 #29" w:history="1">
        <w:r w:rsidR="00512D09" w:rsidRPr="00F04E2C">
          <w:rPr>
            <w:bCs/>
            <w:iCs/>
            <w:noProof/>
            <w:vertAlign w:val="superscript"/>
          </w:rPr>
          <w:t>35</w:t>
        </w:r>
      </w:hyperlink>
      <w:r w:rsidR="00F04E2C" w:rsidRPr="00F04E2C">
        <w:rPr>
          <w:bCs/>
          <w:iCs/>
          <w:noProof/>
          <w:vertAlign w:val="superscript"/>
        </w:rPr>
        <w:t>,</w:t>
      </w:r>
      <w:hyperlink w:anchor="_ENREF_38" w:tooltip="Muzammil, 2007 #22" w:history="1">
        <w:r w:rsidR="00512D09" w:rsidRPr="00F04E2C">
          <w:rPr>
            <w:bCs/>
            <w:iCs/>
            <w:noProof/>
            <w:vertAlign w:val="superscript"/>
          </w:rPr>
          <w:t>38</w:t>
        </w:r>
      </w:hyperlink>
      <w:r w:rsidR="0075172E" w:rsidRPr="00AC0E2A">
        <w:fldChar w:fldCharType="end"/>
      </w:r>
      <w:r w:rsidRPr="00AC0E2A">
        <w:rPr>
          <w:bCs/>
          <w:iCs/>
        </w:rPr>
        <w:t xml:space="preserve">  </w:t>
      </w:r>
    </w:p>
    <w:p w:rsidR="0089197B" w:rsidRDefault="00AC0E2A" w:rsidP="004E7551">
      <w:pPr>
        <w:spacing w:line="480" w:lineRule="auto"/>
        <w:jc w:val="both"/>
        <w:rPr>
          <w:bCs/>
          <w:iCs/>
        </w:rPr>
      </w:pPr>
      <w:r w:rsidRPr="00AC0E2A">
        <w:rPr>
          <w:bCs/>
          <w:iCs/>
        </w:rPr>
        <w:t xml:space="preserve">Many proteins, including those involved in cell cycle and cancer such as the protein tyrosine kinases, have two binding pockets that have Src homology 2 (SH2). One pocket binds the phosphotyrosyl side chain of the ligand whilst the other more dynamic binding pocket binds the residue 3 residues down from the phosphotyrosyl side chain. Using a range of differing ligands containing the phosphotyrosyl head group, the Ladbury group observed a favourable increase in </w:t>
      </w:r>
      <w:r w:rsidR="008643BE">
        <w:rPr>
          <w:bCs/>
          <w:iCs/>
        </w:rPr>
        <w:t>entropy, which they suggested</w:t>
      </w:r>
      <w:r w:rsidRPr="00AC0E2A">
        <w:rPr>
          <w:bCs/>
          <w:iCs/>
        </w:rPr>
        <w:t xml:space="preserve"> reflected the release of water molecules upon binding</w:t>
      </w:r>
      <w:r w:rsidR="00784261">
        <w:rPr>
          <w:bCs/>
          <w:iCs/>
        </w:rPr>
        <w:t>.</w:t>
      </w:r>
      <w:r w:rsidRPr="00AC0E2A">
        <w:rPr>
          <w:bCs/>
          <w:iCs/>
        </w:rPr>
        <w:t xml:space="preserve"> </w:t>
      </w:r>
      <w:hyperlink w:anchor="_ENREF_39" w:tooltip="Taylor, 2008 #254" w:history="1">
        <w:r w:rsidR="00512D09" w:rsidRPr="00AC0E2A">
          <w:rPr>
            <w:bCs/>
            <w:iCs/>
          </w:rPr>
          <w:fldChar w:fldCharType="begin"/>
        </w:r>
        <w:r w:rsidR="00512D09">
          <w:rPr>
            <w:bCs/>
            <w:iCs/>
          </w:rPr>
          <w:instrText xml:space="preserve"> ADDIN EN.CITE &lt;EndNote&gt;&lt;Cite&gt;&lt;Author&gt;Taylor&lt;/Author&gt;&lt;Year&gt;2008&lt;/Year&gt;&lt;RecNum&gt;254&lt;/RecNum&gt;&lt;DisplayText&gt;&lt;style face="superscript"&gt;39&lt;/style&gt;&lt;/DisplayText&gt;&lt;record&gt;&lt;rec-number&gt;254&lt;/rec-number&gt;&lt;foreign-keys&gt;&lt;key app="EN" db-id="5trrespwzsdr07efd5tx2w96x22re9s0fsdt"&gt;254&lt;/key&gt;&lt;/foreign-keys&gt;&lt;ref-type name="Journal Article"&gt;17&lt;/ref-type&gt;&lt;contributors&gt;&lt;authors&gt;&lt;author&gt;Taylor, Jonathan D.&lt;/author&gt;&lt;author&gt;Ababou, Abdessamad&lt;/author&gt;&lt;author&gt;Fawaz, Radwan R.&lt;/author&gt;&lt;author&gt;Hobbs, Christopher J.&lt;/author&gt;&lt;author&gt;Williams, Mark A.&lt;/author&gt;&lt;author&gt;Ladbury, John E.&lt;/author&gt;&lt;/authors&gt;&lt;/contributors&gt;&lt;titles&gt;&lt;title&gt;Structure, dynamics, and binding thermodynamics of the v-Src SH2 domain: Implications for drug design&lt;/title&gt;&lt;secondary-title&gt;Proteins: Structure, Function, and Bioinformatics&lt;/secondary-title&gt;&lt;/titles&gt;&lt;periodical&gt;&lt;full-title&gt;Proteins: Structure, Function, and Bioinformatics&lt;/full-title&gt;&lt;/periodical&gt;&lt;pages&gt;929-940&lt;/pages&gt;&lt;volume&gt;73&lt;/volume&gt;&lt;number&gt;4&lt;/number&gt;&lt;keywords&gt;&lt;keyword&gt;NMR spectroscopy&lt;/keyword&gt;&lt;keyword&gt;protein-ligand recognition&lt;/keyword&gt;&lt;keyword&gt;solution structure&lt;/keyword&gt;&lt;keyword&gt;thermodynamics&lt;/keyword&gt;&lt;keyword&gt;Src homology 2&lt;/keyword&gt;&lt;keyword&gt;specificity&lt;/keyword&gt;&lt;/keywords&gt;&lt;dates&gt;&lt;year&gt;2008&lt;/year&gt;&lt;/dates&gt;&lt;publisher&gt;Wiley Subscription Services, Inc., A Wiley Company&lt;/publisher&gt;&lt;isbn&gt;1097-0134&lt;/isbn&gt;&lt;urls&gt;&lt;related-urls&gt;&lt;url&gt;http://dx.doi.org/10.1002/prot.22119&lt;/url&gt;&lt;/related-urls&gt;&lt;/urls&gt;&lt;electronic-resource-num&gt;10.1002/prot.22119&lt;/electronic-resource-num&gt;&lt;/record&gt;&lt;/Cite&gt;&lt;/EndNote&gt;</w:instrText>
        </w:r>
        <w:r w:rsidR="00512D09" w:rsidRPr="00AC0E2A">
          <w:rPr>
            <w:bCs/>
            <w:iCs/>
          </w:rPr>
          <w:fldChar w:fldCharType="separate"/>
        </w:r>
        <w:r w:rsidR="00512D09" w:rsidRPr="00F04E2C">
          <w:rPr>
            <w:bCs/>
            <w:iCs/>
            <w:noProof/>
            <w:vertAlign w:val="superscript"/>
          </w:rPr>
          <w:t>39</w:t>
        </w:r>
        <w:r w:rsidR="00512D09" w:rsidRPr="00AC0E2A">
          <w:fldChar w:fldCharType="end"/>
        </w:r>
      </w:hyperlink>
      <w:r w:rsidRPr="00AC0E2A">
        <w:rPr>
          <w:bCs/>
          <w:iCs/>
        </w:rPr>
        <w:t xml:space="preserve"> In the X-ray structure of a Src SH2 domain bound to a peptide, a network of water molecules was identified around the drug-protein complex which was held together due to the hydrogen bonding properties of the glutamate on the drug. The peptides used by </w:t>
      </w:r>
      <w:r w:rsidR="008643BE">
        <w:rPr>
          <w:bCs/>
          <w:iCs/>
        </w:rPr>
        <w:t>Lad</w:t>
      </w:r>
      <w:r w:rsidR="009852E6" w:rsidRPr="00AC0E2A">
        <w:rPr>
          <w:bCs/>
          <w:iCs/>
        </w:rPr>
        <w:t>bury</w:t>
      </w:r>
      <w:r w:rsidRPr="00AC0E2A">
        <w:rPr>
          <w:bCs/>
          <w:iCs/>
        </w:rPr>
        <w:t xml:space="preserve"> do not have this side chain and so do not interact with these water molecules. This also reduce</w:t>
      </w:r>
      <w:r w:rsidR="000576DA">
        <w:rPr>
          <w:bCs/>
          <w:iCs/>
        </w:rPr>
        <w:t>d the enthalpy term of the Gibb</w:t>
      </w:r>
      <w:r w:rsidRPr="00AC0E2A">
        <w:rPr>
          <w:bCs/>
          <w:iCs/>
        </w:rPr>
        <w:t>s free energy of binding due to the loss of hydrogen bonding contacts. The authors also speculated the favourable entropy may be also due to the lower flexibility of the ligands used to probe the effects of water during the binding reaction</w:t>
      </w:r>
      <w:r w:rsidR="00784261">
        <w:rPr>
          <w:bCs/>
          <w:iCs/>
        </w:rPr>
        <w:t>.</w:t>
      </w:r>
      <w:hyperlink w:anchor="_ENREF_39" w:tooltip="Taylor, 2008 #254" w:history="1">
        <w:r w:rsidR="00512D09" w:rsidRPr="00AC0E2A">
          <w:rPr>
            <w:bCs/>
            <w:iCs/>
          </w:rPr>
          <w:fldChar w:fldCharType="begin"/>
        </w:r>
        <w:r w:rsidR="00512D09">
          <w:rPr>
            <w:bCs/>
            <w:iCs/>
          </w:rPr>
          <w:instrText xml:space="preserve"> ADDIN EN.CITE &lt;EndNote&gt;&lt;Cite&gt;&lt;Author&gt;Taylor&lt;/Author&gt;&lt;Year&gt;2008&lt;/Year&gt;&lt;RecNum&gt;254&lt;/RecNum&gt;&lt;DisplayText&gt;&lt;style face="superscript"&gt;39&lt;/style&gt;&lt;/DisplayText&gt;&lt;record&gt;&lt;rec-number&gt;254&lt;/rec-number&gt;&lt;foreign-keys&gt;&lt;key app="EN" db-id="5trrespwzsdr07efd5tx2w96x22re9s0fsdt"&gt;254&lt;/key&gt;&lt;/foreign-keys&gt;&lt;ref-type name="Journal Article"&gt;17&lt;/ref-type&gt;&lt;contributors&gt;&lt;authors&gt;&lt;author&gt;Taylor, Jonathan D.&lt;/author&gt;&lt;author&gt;Ababou, Abdessamad&lt;/author&gt;&lt;author&gt;Fawaz, Radwan R.&lt;/author&gt;&lt;author&gt;Hobbs, Christopher J.&lt;/author&gt;&lt;author&gt;Williams, Mark A.&lt;/author&gt;&lt;author&gt;Ladbury, John E.&lt;/author&gt;&lt;/authors&gt;&lt;/contributors&gt;&lt;titles&gt;&lt;title&gt;Structure, dynamics, and binding thermodynamics of the v-Src SH2 domain: Implications for drug design&lt;/title&gt;&lt;secondary-title&gt;Proteins: Structure, Function, and Bioinformatics&lt;/secondary-title&gt;&lt;/titles&gt;&lt;periodical&gt;&lt;full-title&gt;Proteins: Structure, Function, and Bioinformatics&lt;/full-title&gt;&lt;/periodical&gt;&lt;pages&gt;929-940&lt;/pages&gt;&lt;volume&gt;73&lt;/volume&gt;&lt;number&gt;4&lt;/number&gt;&lt;keywords&gt;&lt;keyword&gt;NMR spectroscopy&lt;/keyword&gt;&lt;keyword&gt;protein-ligand recognition&lt;/keyword&gt;&lt;keyword&gt;solution structure&lt;/keyword&gt;&lt;keyword&gt;thermodynamics&lt;/keyword&gt;&lt;keyword&gt;Src homology 2&lt;/keyword&gt;&lt;keyword&gt;specificity&lt;/keyword&gt;&lt;/keywords&gt;&lt;dates&gt;&lt;year&gt;2008&lt;/year&gt;&lt;/dates&gt;&lt;publisher&gt;Wiley Subscription Services, Inc., A Wiley Company&lt;/publisher&gt;&lt;isbn&gt;1097-0134&lt;/isbn&gt;&lt;urls&gt;&lt;related-urls&gt;&lt;url&gt;http://dx.doi.org/10.1002/prot.22119&lt;/url&gt;&lt;/related-urls&gt;&lt;/urls&gt;&lt;electronic-resource-num&gt;10.1002/prot.22119&lt;/electronic-resource-num&gt;&lt;/record&gt;&lt;/Cite&gt;&lt;/EndNote&gt;</w:instrText>
        </w:r>
        <w:r w:rsidR="00512D09" w:rsidRPr="00AC0E2A">
          <w:rPr>
            <w:bCs/>
            <w:iCs/>
          </w:rPr>
          <w:fldChar w:fldCharType="separate"/>
        </w:r>
        <w:r w:rsidR="00512D09" w:rsidRPr="00F04E2C">
          <w:rPr>
            <w:bCs/>
            <w:iCs/>
            <w:noProof/>
            <w:vertAlign w:val="superscript"/>
          </w:rPr>
          <w:t>39</w:t>
        </w:r>
        <w:r w:rsidR="00512D09" w:rsidRPr="00AC0E2A">
          <w:fldChar w:fldCharType="end"/>
        </w:r>
      </w:hyperlink>
      <w:r w:rsidR="000576DA">
        <w:rPr>
          <w:bCs/>
          <w:iCs/>
        </w:rPr>
        <w:t xml:space="preserve"> </w:t>
      </w:r>
    </w:p>
    <w:p w:rsidR="0083333F" w:rsidRDefault="0083333F" w:rsidP="004E7551">
      <w:pPr>
        <w:spacing w:line="480" w:lineRule="auto"/>
        <w:jc w:val="both"/>
        <w:rPr>
          <w:bCs/>
          <w:iCs/>
        </w:rPr>
      </w:pPr>
    </w:p>
    <w:p w:rsidR="0083333F" w:rsidRDefault="0083333F" w:rsidP="004E7551">
      <w:pPr>
        <w:spacing w:line="480" w:lineRule="auto"/>
        <w:jc w:val="both"/>
        <w:rPr>
          <w:bCs/>
          <w:iCs/>
        </w:rPr>
      </w:pPr>
    </w:p>
    <w:p w:rsidR="0083333F" w:rsidRDefault="0083333F" w:rsidP="004E7551">
      <w:pPr>
        <w:spacing w:line="480" w:lineRule="auto"/>
        <w:jc w:val="both"/>
        <w:rPr>
          <w:bCs/>
          <w:iCs/>
        </w:rPr>
      </w:pPr>
    </w:p>
    <w:p w:rsidR="0083333F" w:rsidRDefault="0083333F" w:rsidP="004E7551">
      <w:pPr>
        <w:spacing w:line="480" w:lineRule="auto"/>
        <w:jc w:val="both"/>
        <w:rPr>
          <w:bCs/>
          <w:iCs/>
        </w:rPr>
      </w:pPr>
    </w:p>
    <w:p w:rsidR="0083333F" w:rsidRDefault="0083333F" w:rsidP="004E7551">
      <w:pPr>
        <w:spacing w:line="480" w:lineRule="auto"/>
        <w:jc w:val="both"/>
        <w:rPr>
          <w:bCs/>
          <w:iCs/>
        </w:rPr>
      </w:pPr>
    </w:p>
    <w:p w:rsidR="0083333F" w:rsidRPr="00AC0E2A" w:rsidRDefault="0083333F" w:rsidP="004E7551">
      <w:pPr>
        <w:spacing w:line="480" w:lineRule="auto"/>
        <w:jc w:val="both"/>
        <w:rPr>
          <w:bCs/>
          <w:iCs/>
        </w:rPr>
      </w:pPr>
    </w:p>
    <w:p w:rsidR="00AC0E2A" w:rsidRPr="005549BB" w:rsidRDefault="00AC0E2A" w:rsidP="0089197B">
      <w:pPr>
        <w:spacing w:line="480" w:lineRule="auto"/>
        <w:jc w:val="center"/>
        <w:rPr>
          <w:b/>
          <w:bCs/>
          <w:color w:val="548DD4" w:themeColor="text2" w:themeTint="99"/>
          <w:sz w:val="18"/>
          <w:szCs w:val="18"/>
        </w:rPr>
      </w:pPr>
      <w:bookmarkStart w:id="20" w:name="_Ref442801704"/>
      <w:r w:rsidRPr="005549BB">
        <w:rPr>
          <w:b/>
          <w:bCs/>
          <w:color w:val="548DD4" w:themeColor="text2" w:themeTint="99"/>
          <w:sz w:val="18"/>
          <w:szCs w:val="18"/>
        </w:rPr>
        <w:lastRenderedPageBreak/>
        <w:t xml:space="preserve">Table </w:t>
      </w:r>
      <w:r w:rsidR="0075172E">
        <w:rPr>
          <w:b/>
          <w:bCs/>
          <w:color w:val="548DD4" w:themeColor="text2" w:themeTint="99"/>
          <w:sz w:val="18"/>
          <w:szCs w:val="18"/>
        </w:rPr>
        <w:fldChar w:fldCharType="begin"/>
      </w:r>
      <w:r w:rsidR="00E71593">
        <w:rPr>
          <w:b/>
          <w:bCs/>
          <w:color w:val="548DD4" w:themeColor="text2" w:themeTint="99"/>
          <w:sz w:val="18"/>
          <w:szCs w:val="18"/>
        </w:rPr>
        <w:instrText xml:space="preserve"> STYLEREF 1 \s </w:instrText>
      </w:r>
      <w:r w:rsidR="0075172E">
        <w:rPr>
          <w:b/>
          <w:bCs/>
          <w:color w:val="548DD4" w:themeColor="text2" w:themeTint="99"/>
          <w:sz w:val="18"/>
          <w:szCs w:val="18"/>
        </w:rPr>
        <w:fldChar w:fldCharType="separate"/>
      </w:r>
      <w:r w:rsidR="00E71593">
        <w:rPr>
          <w:b/>
          <w:bCs/>
          <w:noProof/>
          <w:color w:val="548DD4" w:themeColor="text2" w:themeTint="99"/>
          <w:sz w:val="18"/>
          <w:szCs w:val="18"/>
        </w:rPr>
        <w:t>1</w:t>
      </w:r>
      <w:r w:rsidR="0075172E">
        <w:rPr>
          <w:b/>
          <w:bCs/>
          <w:color w:val="548DD4" w:themeColor="text2" w:themeTint="99"/>
          <w:sz w:val="18"/>
          <w:szCs w:val="18"/>
        </w:rPr>
        <w:fldChar w:fldCharType="end"/>
      </w:r>
      <w:r w:rsidR="00E71593">
        <w:rPr>
          <w:b/>
          <w:bCs/>
          <w:color w:val="548DD4" w:themeColor="text2" w:themeTint="99"/>
          <w:sz w:val="18"/>
          <w:szCs w:val="18"/>
        </w:rPr>
        <w:t>.</w:t>
      </w:r>
      <w:r w:rsidR="0075172E">
        <w:rPr>
          <w:b/>
          <w:bCs/>
          <w:color w:val="548DD4" w:themeColor="text2" w:themeTint="99"/>
          <w:sz w:val="18"/>
          <w:szCs w:val="18"/>
        </w:rPr>
        <w:fldChar w:fldCharType="begin"/>
      </w:r>
      <w:r w:rsidR="00E71593">
        <w:rPr>
          <w:b/>
          <w:bCs/>
          <w:color w:val="548DD4" w:themeColor="text2" w:themeTint="99"/>
          <w:sz w:val="18"/>
          <w:szCs w:val="18"/>
        </w:rPr>
        <w:instrText xml:space="preserve"> SEQ Table \* ARABIC \s 1 </w:instrText>
      </w:r>
      <w:r w:rsidR="0075172E">
        <w:rPr>
          <w:b/>
          <w:bCs/>
          <w:color w:val="548DD4" w:themeColor="text2" w:themeTint="99"/>
          <w:sz w:val="18"/>
          <w:szCs w:val="18"/>
        </w:rPr>
        <w:fldChar w:fldCharType="separate"/>
      </w:r>
      <w:r w:rsidR="00E71593">
        <w:rPr>
          <w:b/>
          <w:bCs/>
          <w:noProof/>
          <w:color w:val="548DD4" w:themeColor="text2" w:themeTint="99"/>
          <w:sz w:val="18"/>
          <w:szCs w:val="18"/>
        </w:rPr>
        <w:t>2</w:t>
      </w:r>
      <w:r w:rsidR="0075172E">
        <w:rPr>
          <w:b/>
          <w:bCs/>
          <w:color w:val="548DD4" w:themeColor="text2" w:themeTint="99"/>
          <w:sz w:val="18"/>
          <w:szCs w:val="18"/>
        </w:rPr>
        <w:fldChar w:fldCharType="end"/>
      </w:r>
      <w:bookmarkEnd w:id="20"/>
      <w:r w:rsidRPr="005549BB">
        <w:rPr>
          <w:b/>
          <w:bCs/>
          <w:color w:val="548DD4" w:themeColor="text2" w:themeTint="99"/>
          <w:sz w:val="18"/>
          <w:szCs w:val="18"/>
        </w:rPr>
        <w:t>. Drug, protein, the number of water molecules in the crystallographic complex, t</w:t>
      </w:r>
      <w:r w:rsidR="00373ECC" w:rsidRPr="005549BB">
        <w:rPr>
          <w:b/>
          <w:bCs/>
          <w:color w:val="548DD4" w:themeColor="text2" w:themeTint="99"/>
          <w:sz w:val="18"/>
          <w:szCs w:val="18"/>
        </w:rPr>
        <w:t>he specific heat capacity, Gibb</w:t>
      </w:r>
      <w:r w:rsidRPr="005549BB">
        <w:rPr>
          <w:b/>
          <w:bCs/>
          <w:color w:val="548DD4" w:themeColor="text2" w:themeTint="99"/>
          <w:sz w:val="18"/>
          <w:szCs w:val="18"/>
        </w:rPr>
        <w:t xml:space="preserve">s Free Energy of Binding, enthalpy of binding, entropy of binding and the respective reference. With the </w:t>
      </w:r>
      <w:r w:rsidRPr="005549BB">
        <w:rPr>
          <w:b/>
          <w:bCs/>
          <w:iCs/>
          <w:color w:val="548DD4" w:themeColor="text2" w:themeTint="99"/>
          <w:sz w:val="18"/>
          <w:szCs w:val="18"/>
        </w:rPr>
        <w:t xml:space="preserve">benzenesulfonamides ligands these have been abbreviated to the number of repeating units of the polymer and if the element either being F or H where </w:t>
      </w:r>
      <w:r w:rsidRPr="005549BB">
        <w:rPr>
          <w:b/>
          <w:bCs/>
          <w:color w:val="548DD4" w:themeColor="text2" w:themeTint="99"/>
          <w:sz w:val="18"/>
          <w:szCs w:val="18"/>
        </w:rPr>
        <w:t>H</w:t>
      </w:r>
      <w:r w:rsidRPr="0075462A">
        <w:rPr>
          <w:b/>
          <w:bCs/>
          <w:color w:val="548DD4" w:themeColor="text2" w:themeTint="99"/>
          <w:sz w:val="18"/>
          <w:szCs w:val="18"/>
          <w:vertAlign w:val="subscript"/>
        </w:rPr>
        <w:t>2</w:t>
      </w:r>
      <w:r w:rsidRPr="005549BB">
        <w:rPr>
          <w:b/>
          <w:bCs/>
          <w:color w:val="548DD4" w:themeColor="text2" w:themeTint="99"/>
          <w:sz w:val="18"/>
          <w:szCs w:val="18"/>
        </w:rPr>
        <w:t>NSO</w:t>
      </w:r>
      <w:r w:rsidRPr="005549BB">
        <w:rPr>
          <w:b/>
          <w:bCs/>
          <w:color w:val="548DD4" w:themeColor="text2" w:themeTint="99"/>
          <w:sz w:val="18"/>
          <w:szCs w:val="18"/>
          <w:vertAlign w:val="subscript"/>
        </w:rPr>
        <w:t>2</w:t>
      </w:r>
      <w:r w:rsidRPr="005549BB">
        <w:rPr>
          <w:b/>
          <w:bCs/>
          <w:color w:val="548DD4" w:themeColor="text2" w:themeTint="99"/>
          <w:sz w:val="18"/>
          <w:szCs w:val="18"/>
        </w:rPr>
        <w:t>C</w:t>
      </w:r>
      <w:r w:rsidRPr="005549BB">
        <w:rPr>
          <w:b/>
          <w:bCs/>
          <w:color w:val="548DD4" w:themeColor="text2" w:themeTint="99"/>
          <w:sz w:val="18"/>
          <w:szCs w:val="18"/>
          <w:vertAlign w:val="subscript"/>
        </w:rPr>
        <w:t>6</w:t>
      </w:r>
      <w:r w:rsidRPr="005549BB">
        <w:rPr>
          <w:b/>
          <w:bCs/>
          <w:color w:val="548DD4" w:themeColor="text2" w:themeTint="99"/>
          <w:sz w:val="18"/>
          <w:szCs w:val="18"/>
        </w:rPr>
        <w:t>H</w:t>
      </w:r>
      <w:r w:rsidRPr="005549BB">
        <w:rPr>
          <w:b/>
          <w:bCs/>
          <w:color w:val="548DD4" w:themeColor="text2" w:themeTint="99"/>
          <w:sz w:val="18"/>
          <w:szCs w:val="18"/>
          <w:vertAlign w:val="subscript"/>
        </w:rPr>
        <w:t>4</w:t>
      </w:r>
      <w:r w:rsidRPr="005549BB">
        <w:rPr>
          <w:b/>
          <w:bCs/>
          <w:color w:val="548DD4" w:themeColor="text2" w:themeTint="99"/>
          <w:sz w:val="18"/>
          <w:szCs w:val="18"/>
        </w:rPr>
        <w:t>-CONHCH</w:t>
      </w:r>
      <w:r w:rsidRPr="005549BB">
        <w:rPr>
          <w:b/>
          <w:bCs/>
          <w:color w:val="548DD4" w:themeColor="text2" w:themeTint="99"/>
          <w:sz w:val="18"/>
          <w:szCs w:val="18"/>
          <w:vertAlign w:val="subscript"/>
        </w:rPr>
        <w:t>2</w:t>
      </w:r>
      <w:r w:rsidRPr="005549BB">
        <w:rPr>
          <w:b/>
          <w:bCs/>
          <w:color w:val="548DD4" w:themeColor="text2" w:themeTint="99"/>
          <w:sz w:val="18"/>
          <w:szCs w:val="18"/>
        </w:rPr>
        <w:t>(CX</w:t>
      </w:r>
      <w:r w:rsidRPr="005549BB">
        <w:rPr>
          <w:b/>
          <w:bCs/>
          <w:color w:val="548DD4" w:themeColor="text2" w:themeTint="99"/>
          <w:sz w:val="18"/>
          <w:szCs w:val="18"/>
          <w:vertAlign w:val="subscript"/>
        </w:rPr>
        <w:t>2</w:t>
      </w:r>
      <w:r w:rsidRPr="005549BB">
        <w:rPr>
          <w:b/>
          <w:bCs/>
          <w:color w:val="548DD4" w:themeColor="text2" w:themeTint="99"/>
          <w:sz w:val="18"/>
          <w:szCs w:val="18"/>
        </w:rPr>
        <w:t>)</w:t>
      </w:r>
      <w:r w:rsidRPr="005549BB">
        <w:rPr>
          <w:b/>
          <w:bCs/>
          <w:color w:val="548DD4" w:themeColor="text2" w:themeTint="99"/>
          <w:sz w:val="18"/>
          <w:szCs w:val="18"/>
          <w:vertAlign w:val="subscript"/>
        </w:rPr>
        <w:t>n</w:t>
      </w:r>
      <w:r w:rsidRPr="005549BB">
        <w:rPr>
          <w:b/>
          <w:bCs/>
          <w:color w:val="548DD4" w:themeColor="text2" w:themeTint="99"/>
          <w:sz w:val="18"/>
          <w:szCs w:val="18"/>
        </w:rPr>
        <w:t>CX</w:t>
      </w:r>
      <w:r w:rsidRPr="005549BB">
        <w:rPr>
          <w:b/>
          <w:bCs/>
          <w:color w:val="548DD4" w:themeColor="text2" w:themeTint="99"/>
          <w:sz w:val="18"/>
          <w:szCs w:val="18"/>
          <w:vertAlign w:val="subscript"/>
        </w:rPr>
        <w:t>3</w:t>
      </w:r>
      <w:r w:rsidRPr="005549BB">
        <w:rPr>
          <w:b/>
          <w:bCs/>
          <w:color w:val="548DD4" w:themeColor="text2" w:themeTint="99"/>
          <w:sz w:val="18"/>
          <w:szCs w:val="18"/>
        </w:rPr>
        <w:t>, n = 0–4, X = H, F). It has been noted where molecular modelling (MM) has been used to ascertain the number of water molecules within the binding site. NR = not reported</w:t>
      </w:r>
    </w:p>
    <w:tbl>
      <w:tblPr>
        <w:tblW w:w="0" w:type="auto"/>
        <w:tblInd w:w="250" w:type="dxa"/>
        <w:tblLook w:val="04A0" w:firstRow="1" w:lastRow="0" w:firstColumn="1" w:lastColumn="0" w:noHBand="0" w:noVBand="1"/>
      </w:tblPr>
      <w:tblGrid>
        <w:gridCol w:w="564"/>
        <w:gridCol w:w="1246"/>
        <w:gridCol w:w="1797"/>
        <w:gridCol w:w="1060"/>
        <w:gridCol w:w="1065"/>
        <w:gridCol w:w="920"/>
        <w:gridCol w:w="1016"/>
        <w:gridCol w:w="496"/>
      </w:tblGrid>
      <w:tr w:rsidR="00312304" w:rsidRPr="00AC0E2A" w:rsidTr="00C3135C">
        <w:trPr>
          <w:cantSplit/>
          <w:trHeight w:val="636"/>
        </w:trPr>
        <w:tc>
          <w:tcPr>
            <w:tcW w:w="421" w:type="dxa"/>
            <w:tcBorders>
              <w:top w:val="single" w:sz="4" w:space="0" w:color="auto"/>
              <w:bottom w:val="single" w:sz="4" w:space="0" w:color="auto"/>
            </w:tcBorders>
          </w:tcPr>
          <w:p w:rsidR="00AC0E2A" w:rsidRPr="0089197B" w:rsidRDefault="00AC0E2A" w:rsidP="0089197B">
            <w:pPr>
              <w:spacing w:line="240" w:lineRule="auto"/>
              <w:jc w:val="center"/>
              <w:rPr>
                <w:b/>
                <w:bCs/>
                <w:iCs/>
                <w:sz w:val="16"/>
                <w:szCs w:val="16"/>
              </w:rPr>
            </w:pPr>
            <w:r w:rsidRPr="0089197B">
              <w:rPr>
                <w:b/>
                <w:bCs/>
                <w:iCs/>
                <w:sz w:val="16"/>
                <w:szCs w:val="16"/>
              </w:rPr>
              <w:t>Drug</w:t>
            </w:r>
          </w:p>
        </w:tc>
        <w:tc>
          <w:tcPr>
            <w:tcW w:w="1417" w:type="dxa"/>
            <w:tcBorders>
              <w:top w:val="single" w:sz="4" w:space="0" w:color="auto"/>
              <w:bottom w:val="single" w:sz="4" w:space="0" w:color="auto"/>
            </w:tcBorders>
          </w:tcPr>
          <w:p w:rsidR="00AC0E2A" w:rsidRPr="0089197B" w:rsidRDefault="00AC0E2A" w:rsidP="0089197B">
            <w:pPr>
              <w:spacing w:line="240" w:lineRule="auto"/>
              <w:jc w:val="center"/>
              <w:rPr>
                <w:b/>
                <w:bCs/>
                <w:iCs/>
                <w:sz w:val="16"/>
                <w:szCs w:val="16"/>
              </w:rPr>
            </w:pPr>
            <w:r w:rsidRPr="0089197B">
              <w:rPr>
                <w:b/>
                <w:bCs/>
                <w:iCs/>
                <w:sz w:val="16"/>
                <w:szCs w:val="16"/>
              </w:rPr>
              <w:t>Protein</w:t>
            </w:r>
          </w:p>
        </w:tc>
        <w:tc>
          <w:tcPr>
            <w:tcW w:w="2052" w:type="dxa"/>
            <w:tcBorders>
              <w:top w:val="single" w:sz="4" w:space="0" w:color="auto"/>
              <w:bottom w:val="single" w:sz="4" w:space="0" w:color="auto"/>
            </w:tcBorders>
          </w:tcPr>
          <w:p w:rsidR="00AC0E2A" w:rsidRPr="0089197B" w:rsidRDefault="00AC0E2A" w:rsidP="0089197B">
            <w:pPr>
              <w:spacing w:line="240" w:lineRule="auto"/>
              <w:jc w:val="center"/>
              <w:rPr>
                <w:b/>
                <w:bCs/>
                <w:iCs/>
                <w:sz w:val="16"/>
                <w:szCs w:val="16"/>
              </w:rPr>
            </w:pPr>
            <w:r w:rsidRPr="0089197B">
              <w:rPr>
                <w:b/>
                <w:bCs/>
                <w:iCs/>
                <w:sz w:val="16"/>
                <w:szCs w:val="16"/>
              </w:rPr>
              <w:t>Solvation (Number of water molecules in the crystallographic complex)</w:t>
            </w:r>
          </w:p>
        </w:tc>
        <w:tc>
          <w:tcPr>
            <w:tcW w:w="1134" w:type="dxa"/>
            <w:tcBorders>
              <w:top w:val="single" w:sz="4" w:space="0" w:color="auto"/>
              <w:bottom w:val="single" w:sz="4" w:space="0" w:color="auto"/>
            </w:tcBorders>
          </w:tcPr>
          <w:p w:rsidR="00AC0E2A" w:rsidRPr="0089197B" w:rsidRDefault="002D3EFD" w:rsidP="0089197B">
            <w:pPr>
              <w:spacing w:line="240" w:lineRule="auto"/>
              <w:jc w:val="center"/>
              <w:rPr>
                <w:b/>
                <w:bCs/>
                <w:iCs/>
                <w:sz w:val="16"/>
                <w:szCs w:val="16"/>
              </w:rPr>
            </w:pPr>
            <w:r>
              <w:rPr>
                <w:b/>
                <w:bCs/>
                <w:iCs/>
                <w:sz w:val="16"/>
                <w:szCs w:val="16"/>
              </w:rPr>
              <w:t xml:space="preserve">- </w:t>
            </w:r>
            <w:r w:rsidR="00312304">
              <w:rPr>
                <w:b/>
                <w:bCs/>
                <w:iCs/>
                <w:sz w:val="16"/>
                <w:szCs w:val="16"/>
              </w:rPr>
              <w:t>∆C</w:t>
            </w:r>
            <w:r w:rsidR="00312304" w:rsidRPr="00312304">
              <w:rPr>
                <w:b/>
                <w:bCs/>
                <w:iCs/>
                <w:sz w:val="16"/>
                <w:szCs w:val="16"/>
                <w:vertAlign w:val="subscript"/>
              </w:rPr>
              <w:t>p</w:t>
            </w:r>
          </w:p>
          <w:p w:rsidR="00AC0E2A" w:rsidRPr="0089197B" w:rsidRDefault="0057282F" w:rsidP="0089197B">
            <w:pPr>
              <w:spacing w:line="240" w:lineRule="auto"/>
              <w:jc w:val="center"/>
              <w:rPr>
                <w:b/>
                <w:bCs/>
                <w:iCs/>
                <w:sz w:val="16"/>
                <w:szCs w:val="16"/>
              </w:rPr>
            </w:pPr>
            <w:r>
              <w:rPr>
                <w:b/>
                <w:bCs/>
                <w:iCs/>
                <w:sz w:val="16"/>
                <w:szCs w:val="16"/>
              </w:rPr>
              <w:t>(J/</w:t>
            </w:r>
            <w:r w:rsidR="007979BA">
              <w:rPr>
                <w:b/>
                <w:bCs/>
                <w:iCs/>
                <w:sz w:val="16"/>
                <w:szCs w:val="16"/>
              </w:rPr>
              <w:t>(</w:t>
            </w:r>
            <w:r w:rsidR="00AC0E2A" w:rsidRPr="0089197B">
              <w:rPr>
                <w:b/>
                <w:bCs/>
                <w:iCs/>
                <w:sz w:val="16"/>
                <w:szCs w:val="16"/>
              </w:rPr>
              <w:t>mol</w:t>
            </w:r>
            <w:r>
              <w:rPr>
                <w:b/>
                <w:bCs/>
                <w:iCs/>
                <w:sz w:val="16"/>
                <w:szCs w:val="16"/>
                <w:vertAlign w:val="superscript"/>
              </w:rPr>
              <w:t>∙</w:t>
            </w:r>
            <w:r w:rsidR="00AC0E2A" w:rsidRPr="0089197B">
              <w:rPr>
                <w:b/>
                <w:bCs/>
                <w:iCs/>
                <w:sz w:val="16"/>
                <w:szCs w:val="16"/>
              </w:rPr>
              <w:t>K</w:t>
            </w:r>
            <w:r w:rsidR="007979BA">
              <w:rPr>
                <w:b/>
                <w:bCs/>
                <w:iCs/>
                <w:sz w:val="16"/>
                <w:szCs w:val="16"/>
              </w:rPr>
              <w:t>)</w:t>
            </w:r>
            <w:r w:rsidR="00AC0E2A" w:rsidRPr="0089197B">
              <w:rPr>
                <w:b/>
                <w:bCs/>
                <w:iCs/>
                <w:sz w:val="16"/>
                <w:szCs w:val="16"/>
              </w:rPr>
              <w:t>)</w:t>
            </w:r>
          </w:p>
        </w:tc>
        <w:tc>
          <w:tcPr>
            <w:tcW w:w="1208" w:type="dxa"/>
            <w:tcBorders>
              <w:top w:val="single" w:sz="4" w:space="0" w:color="auto"/>
              <w:bottom w:val="single" w:sz="4" w:space="0" w:color="auto"/>
            </w:tcBorders>
          </w:tcPr>
          <w:p w:rsidR="00312304" w:rsidRDefault="00312304" w:rsidP="00312304">
            <w:pPr>
              <w:spacing w:line="240" w:lineRule="auto"/>
              <w:jc w:val="center"/>
              <w:rPr>
                <w:b/>
                <w:bCs/>
                <w:iCs/>
                <w:sz w:val="16"/>
                <w:szCs w:val="16"/>
              </w:rPr>
            </w:pPr>
            <w:r w:rsidRPr="00312304">
              <w:rPr>
                <w:b/>
                <w:bCs/>
                <w:iCs/>
                <w:sz w:val="16"/>
                <w:szCs w:val="16"/>
              </w:rPr>
              <w:t>-∆G</w:t>
            </w:r>
          </w:p>
          <w:p w:rsidR="00AC0E2A" w:rsidRPr="00312304" w:rsidRDefault="000576DA" w:rsidP="00312304">
            <w:pPr>
              <w:spacing w:line="240" w:lineRule="auto"/>
              <w:jc w:val="center"/>
              <w:rPr>
                <w:b/>
                <w:bCs/>
                <w:iCs/>
                <w:sz w:val="16"/>
                <w:szCs w:val="16"/>
              </w:rPr>
            </w:pPr>
            <w:r w:rsidRPr="00312304">
              <w:rPr>
                <w:b/>
                <w:bCs/>
                <w:iCs/>
                <w:sz w:val="16"/>
                <w:szCs w:val="16"/>
              </w:rPr>
              <w:t>(kJ/</w:t>
            </w:r>
            <w:r w:rsidR="00AC0E2A" w:rsidRPr="00312304">
              <w:rPr>
                <w:b/>
                <w:bCs/>
                <w:iCs/>
                <w:sz w:val="16"/>
                <w:szCs w:val="16"/>
              </w:rPr>
              <w:t>mol)</w:t>
            </w:r>
          </w:p>
        </w:tc>
        <w:tc>
          <w:tcPr>
            <w:tcW w:w="993" w:type="dxa"/>
            <w:tcBorders>
              <w:top w:val="single" w:sz="4" w:space="0" w:color="auto"/>
              <w:bottom w:val="single" w:sz="4" w:space="0" w:color="auto"/>
            </w:tcBorders>
          </w:tcPr>
          <w:p w:rsidR="00312304" w:rsidRDefault="00312304" w:rsidP="00312304">
            <w:pPr>
              <w:spacing w:line="240" w:lineRule="auto"/>
              <w:jc w:val="center"/>
              <w:rPr>
                <w:b/>
                <w:bCs/>
                <w:iCs/>
                <w:sz w:val="16"/>
                <w:szCs w:val="16"/>
              </w:rPr>
            </w:pPr>
            <w:r>
              <w:rPr>
                <w:b/>
                <w:bCs/>
                <w:iCs/>
                <w:sz w:val="16"/>
                <w:szCs w:val="16"/>
              </w:rPr>
              <w:t>-∆H</w:t>
            </w:r>
          </w:p>
          <w:p w:rsidR="00AC0E2A" w:rsidRPr="0089197B" w:rsidRDefault="000576DA" w:rsidP="00312304">
            <w:pPr>
              <w:spacing w:line="240" w:lineRule="auto"/>
              <w:jc w:val="center"/>
              <w:rPr>
                <w:b/>
                <w:bCs/>
                <w:iCs/>
                <w:sz w:val="16"/>
                <w:szCs w:val="16"/>
              </w:rPr>
            </w:pPr>
            <w:r w:rsidRPr="0089197B">
              <w:rPr>
                <w:b/>
                <w:bCs/>
                <w:iCs/>
                <w:sz w:val="16"/>
                <w:szCs w:val="16"/>
              </w:rPr>
              <w:t>(kJ/</w:t>
            </w:r>
            <w:r w:rsidR="00AC0E2A" w:rsidRPr="0089197B">
              <w:rPr>
                <w:b/>
                <w:bCs/>
                <w:iCs/>
                <w:sz w:val="16"/>
                <w:szCs w:val="16"/>
              </w:rPr>
              <w:t>mol)</w:t>
            </w:r>
          </w:p>
        </w:tc>
        <w:tc>
          <w:tcPr>
            <w:tcW w:w="1134" w:type="dxa"/>
            <w:tcBorders>
              <w:top w:val="single" w:sz="4" w:space="0" w:color="auto"/>
              <w:bottom w:val="single" w:sz="4" w:space="0" w:color="auto"/>
            </w:tcBorders>
          </w:tcPr>
          <w:p w:rsidR="00312304" w:rsidRDefault="00312304" w:rsidP="0089197B">
            <w:pPr>
              <w:spacing w:line="240" w:lineRule="auto"/>
              <w:jc w:val="center"/>
              <w:rPr>
                <w:b/>
                <w:bCs/>
                <w:iCs/>
                <w:sz w:val="16"/>
                <w:szCs w:val="16"/>
              </w:rPr>
            </w:pPr>
            <w:r>
              <w:rPr>
                <w:b/>
                <w:bCs/>
                <w:iCs/>
                <w:sz w:val="16"/>
                <w:szCs w:val="16"/>
              </w:rPr>
              <w:t>T∆S</w:t>
            </w:r>
          </w:p>
          <w:p w:rsidR="00AC0E2A" w:rsidRPr="0089197B" w:rsidRDefault="00AC0E2A" w:rsidP="0089197B">
            <w:pPr>
              <w:spacing w:line="240" w:lineRule="auto"/>
              <w:jc w:val="center"/>
              <w:rPr>
                <w:b/>
                <w:bCs/>
                <w:iCs/>
                <w:sz w:val="16"/>
                <w:szCs w:val="16"/>
              </w:rPr>
            </w:pPr>
            <w:r w:rsidRPr="0089197B">
              <w:rPr>
                <w:b/>
                <w:bCs/>
                <w:iCs/>
                <w:sz w:val="16"/>
                <w:szCs w:val="16"/>
              </w:rPr>
              <w:t>(kJ</w:t>
            </w:r>
            <w:r w:rsidR="000576DA" w:rsidRPr="0089197B">
              <w:rPr>
                <w:b/>
                <w:bCs/>
                <w:iCs/>
                <w:sz w:val="16"/>
                <w:szCs w:val="16"/>
              </w:rPr>
              <w:t>/</w:t>
            </w:r>
            <w:r w:rsidRPr="0089197B">
              <w:rPr>
                <w:b/>
                <w:bCs/>
                <w:iCs/>
                <w:sz w:val="16"/>
                <w:szCs w:val="16"/>
              </w:rPr>
              <w:t>mol)</w:t>
            </w:r>
          </w:p>
        </w:tc>
        <w:tc>
          <w:tcPr>
            <w:tcW w:w="524" w:type="dxa"/>
            <w:tcBorders>
              <w:top w:val="single" w:sz="4" w:space="0" w:color="auto"/>
              <w:bottom w:val="single" w:sz="4" w:space="0" w:color="auto"/>
            </w:tcBorders>
          </w:tcPr>
          <w:p w:rsidR="00AC0E2A" w:rsidRPr="0089197B" w:rsidRDefault="00AC0E2A" w:rsidP="0089197B">
            <w:pPr>
              <w:spacing w:line="240" w:lineRule="auto"/>
              <w:jc w:val="center"/>
              <w:rPr>
                <w:b/>
                <w:bCs/>
                <w:iCs/>
                <w:sz w:val="16"/>
                <w:szCs w:val="16"/>
              </w:rPr>
            </w:pPr>
            <w:r w:rsidRPr="0089197B">
              <w:rPr>
                <w:b/>
                <w:bCs/>
                <w:iCs/>
                <w:sz w:val="16"/>
                <w:szCs w:val="16"/>
              </w:rPr>
              <w:t>Ref</w:t>
            </w:r>
          </w:p>
        </w:tc>
      </w:tr>
      <w:tr w:rsidR="00312304" w:rsidRPr="00AC0E2A" w:rsidTr="00312304">
        <w:trPr>
          <w:cantSplit/>
          <w:trHeight w:val="546"/>
        </w:trPr>
        <w:tc>
          <w:tcPr>
            <w:tcW w:w="421"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n= 0 X=H</w:t>
            </w:r>
          </w:p>
        </w:tc>
        <w:tc>
          <w:tcPr>
            <w:tcW w:w="1417"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Human carbonic anhydrase 1</w:t>
            </w:r>
          </w:p>
        </w:tc>
        <w:tc>
          <w:tcPr>
            <w:tcW w:w="2052"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None found in the complex</w:t>
            </w:r>
          </w:p>
        </w:tc>
        <w:tc>
          <w:tcPr>
            <w:tcW w:w="1134"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292</w:t>
            </w:r>
          </w:p>
        </w:tc>
        <w:tc>
          <w:tcPr>
            <w:tcW w:w="1208" w:type="dxa"/>
            <w:tcBorders>
              <w:top w:val="single" w:sz="4" w:space="0" w:color="auto"/>
            </w:tcBorders>
          </w:tcPr>
          <w:p w:rsidR="00AC0E2A" w:rsidRPr="0089197B" w:rsidRDefault="00AC0E2A" w:rsidP="00312304">
            <w:pPr>
              <w:spacing w:line="240" w:lineRule="auto"/>
              <w:jc w:val="center"/>
              <w:rPr>
                <w:bCs/>
                <w:iCs/>
                <w:sz w:val="16"/>
                <w:szCs w:val="16"/>
              </w:rPr>
            </w:pPr>
            <w:r w:rsidRPr="0089197B">
              <w:rPr>
                <w:bCs/>
                <w:iCs/>
                <w:sz w:val="16"/>
                <w:szCs w:val="16"/>
              </w:rPr>
              <w:t>40.1</w:t>
            </w:r>
          </w:p>
        </w:tc>
        <w:tc>
          <w:tcPr>
            <w:tcW w:w="993"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38.5</w:t>
            </w:r>
          </w:p>
        </w:tc>
        <w:tc>
          <w:tcPr>
            <w:tcW w:w="1134"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1.7</w:t>
            </w:r>
          </w:p>
        </w:tc>
        <w:tc>
          <w:tcPr>
            <w:tcW w:w="524" w:type="dxa"/>
            <w:tcBorders>
              <w:top w:val="single" w:sz="4" w:space="0" w:color="auto"/>
            </w:tcBorders>
          </w:tcPr>
          <w:p w:rsidR="00AC0E2A" w:rsidRPr="0089197B" w:rsidRDefault="00040F10" w:rsidP="00512D09">
            <w:pPr>
              <w:spacing w:line="240" w:lineRule="auto"/>
              <w:jc w:val="center"/>
              <w:rPr>
                <w:bCs/>
                <w:iCs/>
                <w:sz w:val="16"/>
                <w:szCs w:val="16"/>
              </w:rPr>
            </w:pPr>
            <w:hyperlink w:anchor="_ENREF_30" w:tooltip="Mecinović, 2011 #262" w:history="1">
              <w:r w:rsidR="00512D09" w:rsidRPr="0089197B">
                <w:rPr>
                  <w:bCs/>
                  <w:iCs/>
                  <w:sz w:val="16"/>
                  <w:szCs w:val="16"/>
                </w:rPr>
                <w:fldChar w:fldCharType="begin"/>
              </w:r>
              <w:r w:rsidR="00512D09">
                <w:rPr>
                  <w:bCs/>
                  <w:iCs/>
                  <w:sz w:val="16"/>
                  <w:szCs w:val="16"/>
                </w:rPr>
                <w:instrText xml:space="preserve"> ADDIN EN.CITE &lt;EndNote&gt;&lt;Cite&gt;&lt;Author&gt;Mecinović&lt;/Author&gt;&lt;Year&gt;2011&lt;/Year&gt;&lt;RecNum&gt;262&lt;/RecNum&gt;&lt;DisplayText&gt;&lt;style face="superscript"&gt;30&lt;/style&gt;&lt;/DisplayText&gt;&lt;record&gt;&lt;rec-number&gt;262&lt;/rec-number&gt;&lt;foreign-keys&gt;&lt;key app="EN" db-id="5trrespwzsdr07efd5tx2w96x22re9s0fsdt"&gt;262&lt;/key&gt;&lt;/foreign-keys&gt;&lt;ref-type name="Journal Article"&gt;17&lt;/ref-type&gt;&lt;contributors&gt;&lt;authors&gt;&lt;author&gt;Mecinović, Jasmin&lt;/author&gt;&lt;author&gt;Snyder, Phillip W.&lt;/author&gt;&lt;author&gt;Mirica, Katherine A.&lt;/author&gt;&lt;author&gt;Bai, Serena&lt;/author&gt;&lt;author&gt;Mack, Eric T.&lt;/author&gt;&lt;author&gt;Kwant, Richard L.&lt;/author&gt;&lt;author&gt;Moustakas, Demetri T.&lt;/author&gt;&lt;author&gt;Héroux, Annie&lt;/author&gt;&lt;author&gt;Whitesides, George M.&lt;/author&gt;&lt;/authors&gt;&lt;/contributors&gt;&lt;titles&gt;&lt;title&gt;Fluoroalkyl and Alkyl Chains Have Similar Hydrophobicities in Binding to the “Hydrophobic Wall” of Carbonic Anhydrase&lt;/title&gt;&lt;secondary-title&gt;J Am Chem Soc&lt;/secondary-title&gt;&lt;/titles&gt;&lt;periodical&gt;&lt;full-title&gt;J Am Chem Soc&lt;/full-title&gt;&lt;abbr-1&gt;Journal of the American Chemical Society&lt;/abbr-1&gt;&lt;/periodical&gt;&lt;pages&gt;14017-14026&lt;/pages&gt;&lt;volume&gt;133&lt;/volume&gt;&lt;number&gt;35&lt;/number&gt;&lt;dates&gt;&lt;year&gt;2011&lt;/year&gt;&lt;pub-dates&gt;&lt;date&gt;2011/09/07&lt;/date&gt;&lt;/pub-dates&gt;&lt;/dates&gt;&lt;publisher&gt;American Chemical Society&lt;/publisher&gt;&lt;isbn&gt;0002-7863&lt;/isbn&gt;&lt;urls&gt;&lt;related-urls&gt;&lt;url&gt;http://dx.doi.org/10.1021/ja2045293&lt;/url&gt;&lt;/related-urls&gt;&lt;/urls&gt;&lt;electronic-resource-num&gt;10.1021/ja2045293&lt;/electronic-resource-num&gt;&lt;access-date&gt;2013/11/11&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30</w:t>
              </w:r>
              <w:r w:rsidR="00512D09" w:rsidRPr="0089197B">
                <w:rPr>
                  <w:sz w:val="16"/>
                  <w:szCs w:val="16"/>
                </w:rPr>
                <w:fldChar w:fldCharType="end"/>
              </w:r>
            </w:hyperlink>
          </w:p>
        </w:tc>
      </w:tr>
      <w:tr w:rsidR="00312304" w:rsidRPr="00AC0E2A" w:rsidTr="00DA1FF1">
        <w:trPr>
          <w:cantSplit/>
          <w:trHeight w:val="547"/>
        </w:trPr>
        <w:tc>
          <w:tcPr>
            <w:tcW w:w="421" w:type="dxa"/>
          </w:tcPr>
          <w:p w:rsidR="00AC0E2A" w:rsidRPr="0089197B" w:rsidRDefault="00AC0E2A" w:rsidP="0089197B">
            <w:pPr>
              <w:spacing w:line="240" w:lineRule="auto"/>
              <w:jc w:val="center"/>
              <w:rPr>
                <w:bCs/>
                <w:iCs/>
                <w:sz w:val="16"/>
                <w:szCs w:val="16"/>
              </w:rPr>
            </w:pPr>
            <w:r w:rsidRPr="0089197B">
              <w:rPr>
                <w:bCs/>
                <w:iCs/>
                <w:sz w:val="16"/>
                <w:szCs w:val="16"/>
              </w:rPr>
              <w:t>n=1</w:t>
            </w:r>
          </w:p>
          <w:p w:rsidR="00AC0E2A" w:rsidRPr="0089197B" w:rsidRDefault="00AC0E2A" w:rsidP="0089197B">
            <w:pPr>
              <w:spacing w:line="240" w:lineRule="auto"/>
              <w:jc w:val="center"/>
              <w:rPr>
                <w:bCs/>
                <w:iCs/>
                <w:sz w:val="16"/>
                <w:szCs w:val="16"/>
              </w:rPr>
            </w:pPr>
            <w:r w:rsidRPr="0089197B">
              <w:rPr>
                <w:bCs/>
                <w:iCs/>
                <w:sz w:val="16"/>
                <w:szCs w:val="16"/>
              </w:rPr>
              <w:t>X=H</w:t>
            </w:r>
          </w:p>
        </w:tc>
        <w:tc>
          <w:tcPr>
            <w:tcW w:w="1417" w:type="dxa"/>
          </w:tcPr>
          <w:p w:rsidR="00AC0E2A" w:rsidRPr="0089197B" w:rsidRDefault="00AC0E2A" w:rsidP="0089197B">
            <w:pPr>
              <w:spacing w:line="240" w:lineRule="auto"/>
              <w:jc w:val="center"/>
              <w:rPr>
                <w:sz w:val="16"/>
                <w:szCs w:val="16"/>
              </w:rPr>
            </w:pPr>
            <w:r w:rsidRPr="0089197B">
              <w:rPr>
                <w:bCs/>
                <w:iCs/>
                <w:sz w:val="16"/>
                <w:szCs w:val="16"/>
              </w:rPr>
              <w:t>Human carbonic anhydrase 1</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342.7</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42.6</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39.3</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3.3</w:t>
            </w:r>
          </w:p>
        </w:tc>
        <w:tc>
          <w:tcPr>
            <w:tcW w:w="524" w:type="dxa"/>
          </w:tcPr>
          <w:p w:rsidR="00AC0E2A" w:rsidRPr="0089197B" w:rsidRDefault="00040F10" w:rsidP="00512D09">
            <w:pPr>
              <w:spacing w:line="240" w:lineRule="auto"/>
              <w:jc w:val="center"/>
              <w:rPr>
                <w:bCs/>
                <w:iCs/>
                <w:sz w:val="16"/>
                <w:szCs w:val="16"/>
              </w:rPr>
            </w:pPr>
            <w:hyperlink w:anchor="_ENREF_30" w:tooltip="Mecinović, 2011 #262" w:history="1">
              <w:r w:rsidR="00512D09" w:rsidRPr="0089197B">
                <w:rPr>
                  <w:bCs/>
                  <w:iCs/>
                  <w:sz w:val="16"/>
                  <w:szCs w:val="16"/>
                </w:rPr>
                <w:fldChar w:fldCharType="begin"/>
              </w:r>
              <w:r w:rsidR="00512D09">
                <w:rPr>
                  <w:bCs/>
                  <w:iCs/>
                  <w:sz w:val="16"/>
                  <w:szCs w:val="16"/>
                </w:rPr>
                <w:instrText xml:space="preserve"> ADDIN EN.CITE &lt;EndNote&gt;&lt;Cite&gt;&lt;Author&gt;Mecinović&lt;/Author&gt;&lt;Year&gt;2011&lt;/Year&gt;&lt;RecNum&gt;262&lt;/RecNum&gt;&lt;DisplayText&gt;&lt;style face="superscript"&gt;30&lt;/style&gt;&lt;/DisplayText&gt;&lt;record&gt;&lt;rec-number&gt;262&lt;/rec-number&gt;&lt;foreign-keys&gt;&lt;key app="EN" db-id="5trrespwzsdr07efd5tx2w96x22re9s0fsdt"&gt;262&lt;/key&gt;&lt;/foreign-keys&gt;&lt;ref-type name="Journal Article"&gt;17&lt;/ref-type&gt;&lt;contributors&gt;&lt;authors&gt;&lt;author&gt;Mecinović, Jasmin&lt;/author&gt;&lt;author&gt;Snyder, Phillip W.&lt;/author&gt;&lt;author&gt;Mirica, Katherine A.&lt;/author&gt;&lt;author&gt;Bai, Serena&lt;/author&gt;&lt;author&gt;Mack, Eric T.&lt;/author&gt;&lt;author&gt;Kwant, Richard L.&lt;/author&gt;&lt;author&gt;Moustakas, Demetri T.&lt;/author&gt;&lt;author&gt;Héroux, Annie&lt;/author&gt;&lt;author&gt;Whitesides, George M.&lt;/author&gt;&lt;/authors&gt;&lt;/contributors&gt;&lt;titles&gt;&lt;title&gt;Fluoroalkyl and Alkyl Chains Have Similar Hydrophobicities in Binding to the “Hydrophobic Wall” of Carbonic Anhydrase&lt;/title&gt;&lt;secondary-title&gt;J Am Chem Soc&lt;/secondary-title&gt;&lt;/titles&gt;&lt;periodical&gt;&lt;full-title&gt;J Am Chem Soc&lt;/full-title&gt;&lt;abbr-1&gt;Journal of the American Chemical Society&lt;/abbr-1&gt;&lt;/periodical&gt;&lt;pages&gt;14017-14026&lt;/pages&gt;&lt;volume&gt;133&lt;/volume&gt;&lt;number&gt;35&lt;/number&gt;&lt;dates&gt;&lt;year&gt;2011&lt;/year&gt;&lt;pub-dates&gt;&lt;date&gt;2011/09/07&lt;/date&gt;&lt;/pub-dates&gt;&lt;/dates&gt;&lt;publisher&gt;American Chemical Society&lt;/publisher&gt;&lt;isbn&gt;0002-7863&lt;/isbn&gt;&lt;urls&gt;&lt;related-urls&gt;&lt;url&gt;http://dx.doi.org/10.1021/ja2045293&lt;/url&gt;&lt;/related-urls&gt;&lt;/urls&gt;&lt;electronic-resource-num&gt;10.1021/ja2045293&lt;/electronic-resource-num&gt;&lt;access-date&gt;2013/11/11&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30</w:t>
              </w:r>
              <w:r w:rsidR="00512D09" w:rsidRPr="0089197B">
                <w:rPr>
                  <w:sz w:val="16"/>
                  <w:szCs w:val="16"/>
                </w:rPr>
                <w:fldChar w:fldCharType="end"/>
              </w:r>
            </w:hyperlink>
          </w:p>
        </w:tc>
      </w:tr>
      <w:tr w:rsidR="00312304" w:rsidRPr="00AC0E2A" w:rsidTr="00DA1FF1">
        <w:trPr>
          <w:cantSplit/>
          <w:trHeight w:val="535"/>
        </w:trPr>
        <w:tc>
          <w:tcPr>
            <w:tcW w:w="421" w:type="dxa"/>
          </w:tcPr>
          <w:p w:rsidR="00AC0E2A" w:rsidRPr="0089197B" w:rsidRDefault="00AC0E2A" w:rsidP="0089197B">
            <w:pPr>
              <w:spacing w:line="240" w:lineRule="auto"/>
              <w:jc w:val="center"/>
              <w:rPr>
                <w:bCs/>
                <w:iCs/>
                <w:sz w:val="16"/>
                <w:szCs w:val="16"/>
              </w:rPr>
            </w:pPr>
            <w:r w:rsidRPr="0089197B">
              <w:rPr>
                <w:bCs/>
                <w:iCs/>
                <w:sz w:val="16"/>
                <w:szCs w:val="16"/>
              </w:rPr>
              <w:t>n=2</w:t>
            </w:r>
          </w:p>
          <w:p w:rsidR="00AC0E2A" w:rsidRPr="0089197B" w:rsidRDefault="00AC0E2A" w:rsidP="0089197B">
            <w:pPr>
              <w:spacing w:line="240" w:lineRule="auto"/>
              <w:jc w:val="center"/>
              <w:rPr>
                <w:bCs/>
                <w:iCs/>
                <w:sz w:val="16"/>
                <w:szCs w:val="16"/>
              </w:rPr>
            </w:pPr>
            <w:r w:rsidRPr="0089197B">
              <w:rPr>
                <w:bCs/>
                <w:iCs/>
                <w:sz w:val="16"/>
                <w:szCs w:val="16"/>
              </w:rPr>
              <w:t>X=H</w:t>
            </w:r>
          </w:p>
        </w:tc>
        <w:tc>
          <w:tcPr>
            <w:tcW w:w="1417" w:type="dxa"/>
          </w:tcPr>
          <w:p w:rsidR="00AC0E2A" w:rsidRPr="0089197B" w:rsidRDefault="00AC0E2A" w:rsidP="0089197B">
            <w:pPr>
              <w:spacing w:line="240" w:lineRule="auto"/>
              <w:jc w:val="center"/>
              <w:rPr>
                <w:sz w:val="16"/>
                <w:szCs w:val="16"/>
              </w:rPr>
            </w:pPr>
            <w:r w:rsidRPr="0089197B">
              <w:rPr>
                <w:bCs/>
                <w:iCs/>
                <w:sz w:val="16"/>
                <w:szCs w:val="16"/>
              </w:rPr>
              <w:t>Human carbonic anhydrase 1</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367.8</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43.5</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39.3</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4.18</w:t>
            </w:r>
          </w:p>
        </w:tc>
        <w:tc>
          <w:tcPr>
            <w:tcW w:w="524" w:type="dxa"/>
          </w:tcPr>
          <w:p w:rsidR="00AC0E2A" w:rsidRPr="0089197B" w:rsidRDefault="00040F10" w:rsidP="00512D09">
            <w:pPr>
              <w:spacing w:line="240" w:lineRule="auto"/>
              <w:jc w:val="center"/>
              <w:rPr>
                <w:bCs/>
                <w:iCs/>
                <w:sz w:val="16"/>
                <w:szCs w:val="16"/>
              </w:rPr>
            </w:pPr>
            <w:hyperlink w:anchor="_ENREF_30" w:tooltip="Mecinović, 2011 #262" w:history="1">
              <w:r w:rsidR="00512D09" w:rsidRPr="0089197B">
                <w:rPr>
                  <w:bCs/>
                  <w:iCs/>
                  <w:sz w:val="16"/>
                  <w:szCs w:val="16"/>
                </w:rPr>
                <w:fldChar w:fldCharType="begin"/>
              </w:r>
              <w:r w:rsidR="00512D09">
                <w:rPr>
                  <w:bCs/>
                  <w:iCs/>
                  <w:sz w:val="16"/>
                  <w:szCs w:val="16"/>
                </w:rPr>
                <w:instrText xml:space="preserve"> ADDIN EN.CITE &lt;EndNote&gt;&lt;Cite&gt;&lt;Author&gt;Mecinović&lt;/Author&gt;&lt;Year&gt;2011&lt;/Year&gt;&lt;RecNum&gt;262&lt;/RecNum&gt;&lt;DisplayText&gt;&lt;style face="superscript"&gt;30&lt;/style&gt;&lt;/DisplayText&gt;&lt;record&gt;&lt;rec-number&gt;262&lt;/rec-number&gt;&lt;foreign-keys&gt;&lt;key app="EN" db-id="5trrespwzsdr07efd5tx2w96x22re9s0fsdt"&gt;262&lt;/key&gt;&lt;/foreign-keys&gt;&lt;ref-type name="Journal Article"&gt;17&lt;/ref-type&gt;&lt;contributors&gt;&lt;authors&gt;&lt;author&gt;Mecinović, Jasmin&lt;/author&gt;&lt;author&gt;Snyder, Phillip W.&lt;/author&gt;&lt;author&gt;Mirica, Katherine A.&lt;/author&gt;&lt;author&gt;Bai, Serena&lt;/author&gt;&lt;author&gt;Mack, Eric T.&lt;/author&gt;&lt;author&gt;Kwant, Richard L.&lt;/author&gt;&lt;author&gt;Moustakas, Demetri T.&lt;/author&gt;&lt;author&gt;Héroux, Annie&lt;/author&gt;&lt;author&gt;Whitesides, George M.&lt;/author&gt;&lt;/authors&gt;&lt;/contributors&gt;&lt;titles&gt;&lt;title&gt;Fluoroalkyl and Alkyl Chains Have Similar Hydrophobicities in Binding to the “Hydrophobic Wall” of Carbonic Anhydrase&lt;/title&gt;&lt;secondary-title&gt;J Am Chem Soc&lt;/secondary-title&gt;&lt;/titles&gt;&lt;periodical&gt;&lt;full-title&gt;J Am Chem Soc&lt;/full-title&gt;&lt;abbr-1&gt;Journal of the American Chemical Society&lt;/abbr-1&gt;&lt;/periodical&gt;&lt;pages&gt;14017-14026&lt;/pages&gt;&lt;volume&gt;133&lt;/volume&gt;&lt;number&gt;35&lt;/number&gt;&lt;dates&gt;&lt;year&gt;2011&lt;/year&gt;&lt;pub-dates&gt;&lt;date&gt;2011/09/07&lt;/date&gt;&lt;/pub-dates&gt;&lt;/dates&gt;&lt;publisher&gt;American Chemical Society&lt;/publisher&gt;&lt;isbn&gt;0002-7863&lt;/isbn&gt;&lt;urls&gt;&lt;related-urls&gt;&lt;url&gt;http://dx.doi.org/10.1021/ja2045293&lt;/url&gt;&lt;/related-urls&gt;&lt;/urls&gt;&lt;electronic-resource-num&gt;10.1021/ja2045293&lt;/electronic-resource-num&gt;&lt;access-date&gt;2013/11/11&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30</w:t>
              </w:r>
              <w:r w:rsidR="00512D09" w:rsidRPr="0089197B">
                <w:rPr>
                  <w:sz w:val="16"/>
                  <w:szCs w:val="16"/>
                </w:rPr>
                <w:fldChar w:fldCharType="end"/>
              </w:r>
            </w:hyperlink>
          </w:p>
        </w:tc>
      </w:tr>
      <w:tr w:rsidR="00312304" w:rsidRPr="00AC0E2A" w:rsidTr="00DA1FF1">
        <w:trPr>
          <w:cantSplit/>
          <w:trHeight w:val="536"/>
        </w:trPr>
        <w:tc>
          <w:tcPr>
            <w:tcW w:w="421" w:type="dxa"/>
          </w:tcPr>
          <w:p w:rsidR="00AC0E2A" w:rsidRPr="0089197B" w:rsidRDefault="00AC0E2A" w:rsidP="0089197B">
            <w:pPr>
              <w:spacing w:line="240" w:lineRule="auto"/>
              <w:jc w:val="center"/>
              <w:rPr>
                <w:bCs/>
                <w:iCs/>
                <w:sz w:val="16"/>
                <w:szCs w:val="16"/>
              </w:rPr>
            </w:pPr>
            <w:r w:rsidRPr="0089197B">
              <w:rPr>
                <w:bCs/>
                <w:iCs/>
                <w:sz w:val="16"/>
                <w:szCs w:val="16"/>
              </w:rPr>
              <w:t>n=-0</w:t>
            </w:r>
          </w:p>
          <w:p w:rsidR="00AC0E2A" w:rsidRPr="0089197B" w:rsidRDefault="00AC0E2A" w:rsidP="0089197B">
            <w:pPr>
              <w:spacing w:line="240" w:lineRule="auto"/>
              <w:jc w:val="center"/>
              <w:rPr>
                <w:bCs/>
                <w:iCs/>
                <w:sz w:val="16"/>
                <w:szCs w:val="16"/>
              </w:rPr>
            </w:pPr>
            <w:r w:rsidRPr="0089197B">
              <w:rPr>
                <w:bCs/>
                <w:iCs/>
                <w:sz w:val="16"/>
                <w:szCs w:val="16"/>
              </w:rPr>
              <w:t>X=F</w:t>
            </w:r>
          </w:p>
        </w:tc>
        <w:tc>
          <w:tcPr>
            <w:tcW w:w="1417" w:type="dxa"/>
          </w:tcPr>
          <w:p w:rsidR="00AC0E2A" w:rsidRPr="0089197B" w:rsidRDefault="00AC0E2A" w:rsidP="0089197B">
            <w:pPr>
              <w:spacing w:line="240" w:lineRule="auto"/>
              <w:jc w:val="center"/>
              <w:rPr>
                <w:sz w:val="16"/>
                <w:szCs w:val="16"/>
              </w:rPr>
            </w:pPr>
            <w:r w:rsidRPr="0089197B">
              <w:rPr>
                <w:bCs/>
                <w:iCs/>
                <w:sz w:val="16"/>
                <w:szCs w:val="16"/>
              </w:rPr>
              <w:t>Human carbonic anhydrase 1</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301</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44.3</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40.5</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3.8</w:t>
            </w:r>
          </w:p>
        </w:tc>
        <w:tc>
          <w:tcPr>
            <w:tcW w:w="524" w:type="dxa"/>
          </w:tcPr>
          <w:p w:rsidR="00AC0E2A" w:rsidRPr="0089197B" w:rsidRDefault="00040F10" w:rsidP="00512D09">
            <w:pPr>
              <w:spacing w:line="240" w:lineRule="auto"/>
              <w:jc w:val="center"/>
              <w:rPr>
                <w:bCs/>
                <w:iCs/>
                <w:sz w:val="16"/>
                <w:szCs w:val="16"/>
              </w:rPr>
            </w:pPr>
            <w:hyperlink w:anchor="_ENREF_30" w:tooltip="Mecinović, 2011 #262" w:history="1">
              <w:r w:rsidR="00512D09" w:rsidRPr="0089197B">
                <w:rPr>
                  <w:bCs/>
                  <w:iCs/>
                  <w:sz w:val="16"/>
                  <w:szCs w:val="16"/>
                </w:rPr>
                <w:fldChar w:fldCharType="begin"/>
              </w:r>
              <w:r w:rsidR="00512D09">
                <w:rPr>
                  <w:bCs/>
                  <w:iCs/>
                  <w:sz w:val="16"/>
                  <w:szCs w:val="16"/>
                </w:rPr>
                <w:instrText xml:space="preserve"> ADDIN EN.CITE &lt;EndNote&gt;&lt;Cite&gt;&lt;Author&gt;Mecinović&lt;/Author&gt;&lt;Year&gt;2011&lt;/Year&gt;&lt;RecNum&gt;262&lt;/RecNum&gt;&lt;DisplayText&gt;&lt;style face="superscript"&gt;30&lt;/style&gt;&lt;/DisplayText&gt;&lt;record&gt;&lt;rec-number&gt;262&lt;/rec-number&gt;&lt;foreign-keys&gt;&lt;key app="EN" db-id="5trrespwzsdr07efd5tx2w96x22re9s0fsdt"&gt;262&lt;/key&gt;&lt;/foreign-keys&gt;&lt;ref-type name="Journal Article"&gt;17&lt;/ref-type&gt;&lt;contributors&gt;&lt;authors&gt;&lt;author&gt;Mecinović, Jasmin&lt;/author&gt;&lt;author&gt;Snyder, Phillip W.&lt;/author&gt;&lt;author&gt;Mirica, Katherine A.&lt;/author&gt;&lt;author&gt;Bai, Serena&lt;/author&gt;&lt;author&gt;Mack, Eric T.&lt;/author&gt;&lt;author&gt;Kwant, Richard L.&lt;/author&gt;&lt;author&gt;Moustakas, Demetri T.&lt;/author&gt;&lt;author&gt;Héroux, Annie&lt;/author&gt;&lt;author&gt;Whitesides, George M.&lt;/author&gt;&lt;/authors&gt;&lt;/contributors&gt;&lt;titles&gt;&lt;title&gt;Fluoroalkyl and Alkyl Chains Have Similar Hydrophobicities in Binding to the “Hydrophobic Wall” of Carbonic Anhydrase&lt;/title&gt;&lt;secondary-title&gt;J Am Chem Soc&lt;/secondary-title&gt;&lt;/titles&gt;&lt;periodical&gt;&lt;full-title&gt;J Am Chem Soc&lt;/full-title&gt;&lt;abbr-1&gt;Journal of the American Chemical Society&lt;/abbr-1&gt;&lt;/periodical&gt;&lt;pages&gt;14017-14026&lt;/pages&gt;&lt;volume&gt;133&lt;/volume&gt;&lt;number&gt;35&lt;/number&gt;&lt;dates&gt;&lt;year&gt;2011&lt;/year&gt;&lt;pub-dates&gt;&lt;date&gt;2011/09/07&lt;/date&gt;&lt;/pub-dates&gt;&lt;/dates&gt;&lt;publisher&gt;American Chemical Society&lt;/publisher&gt;&lt;isbn&gt;0002-7863&lt;/isbn&gt;&lt;urls&gt;&lt;related-urls&gt;&lt;url&gt;http://dx.doi.org/10.1021/ja2045293&lt;/url&gt;&lt;/related-urls&gt;&lt;/urls&gt;&lt;electronic-resource-num&gt;10.1021/ja2045293&lt;/electronic-resource-num&gt;&lt;access-date&gt;2013/11/11&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30</w:t>
              </w:r>
              <w:r w:rsidR="00512D09" w:rsidRPr="0089197B">
                <w:rPr>
                  <w:sz w:val="16"/>
                  <w:szCs w:val="16"/>
                </w:rPr>
                <w:fldChar w:fldCharType="end"/>
              </w:r>
            </w:hyperlink>
          </w:p>
        </w:tc>
      </w:tr>
      <w:tr w:rsidR="00312304" w:rsidRPr="00AC0E2A" w:rsidTr="00DA1FF1">
        <w:trPr>
          <w:cantSplit/>
          <w:trHeight w:val="511"/>
        </w:trPr>
        <w:tc>
          <w:tcPr>
            <w:tcW w:w="421" w:type="dxa"/>
          </w:tcPr>
          <w:p w:rsidR="00AC0E2A" w:rsidRPr="0089197B" w:rsidRDefault="00AC0E2A" w:rsidP="0089197B">
            <w:pPr>
              <w:spacing w:line="240" w:lineRule="auto"/>
              <w:jc w:val="center"/>
              <w:rPr>
                <w:bCs/>
                <w:iCs/>
                <w:sz w:val="16"/>
                <w:szCs w:val="16"/>
              </w:rPr>
            </w:pPr>
            <w:r w:rsidRPr="0089197B">
              <w:rPr>
                <w:bCs/>
                <w:iCs/>
                <w:sz w:val="16"/>
                <w:szCs w:val="16"/>
              </w:rPr>
              <w:t>n=1</w:t>
            </w:r>
          </w:p>
          <w:p w:rsidR="00AC0E2A" w:rsidRPr="0089197B" w:rsidRDefault="00AC0E2A" w:rsidP="0089197B">
            <w:pPr>
              <w:spacing w:line="240" w:lineRule="auto"/>
              <w:jc w:val="center"/>
              <w:rPr>
                <w:bCs/>
                <w:iCs/>
                <w:sz w:val="16"/>
                <w:szCs w:val="16"/>
              </w:rPr>
            </w:pPr>
            <w:r w:rsidRPr="0089197B">
              <w:rPr>
                <w:bCs/>
                <w:iCs/>
                <w:sz w:val="16"/>
                <w:szCs w:val="16"/>
              </w:rPr>
              <w:t>X=F</w:t>
            </w:r>
          </w:p>
        </w:tc>
        <w:tc>
          <w:tcPr>
            <w:tcW w:w="1417" w:type="dxa"/>
          </w:tcPr>
          <w:p w:rsidR="00AC0E2A" w:rsidRPr="0089197B" w:rsidRDefault="00AC0E2A" w:rsidP="0089197B">
            <w:pPr>
              <w:spacing w:line="240" w:lineRule="auto"/>
              <w:jc w:val="center"/>
              <w:rPr>
                <w:sz w:val="16"/>
                <w:szCs w:val="16"/>
              </w:rPr>
            </w:pPr>
            <w:r w:rsidRPr="0089197B">
              <w:rPr>
                <w:bCs/>
                <w:iCs/>
                <w:sz w:val="16"/>
                <w:szCs w:val="16"/>
              </w:rPr>
              <w:t>Human carbonic anhydrase 1</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334.4</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46.4</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41.8</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4.6</w:t>
            </w:r>
          </w:p>
        </w:tc>
        <w:tc>
          <w:tcPr>
            <w:tcW w:w="524" w:type="dxa"/>
          </w:tcPr>
          <w:p w:rsidR="00AC0E2A" w:rsidRPr="0089197B" w:rsidRDefault="00040F10" w:rsidP="00512D09">
            <w:pPr>
              <w:spacing w:line="240" w:lineRule="auto"/>
              <w:jc w:val="center"/>
              <w:rPr>
                <w:bCs/>
                <w:iCs/>
                <w:sz w:val="16"/>
                <w:szCs w:val="16"/>
              </w:rPr>
            </w:pPr>
            <w:hyperlink w:anchor="_ENREF_30" w:tooltip="Mecinović, 2011 #262" w:history="1">
              <w:r w:rsidR="00512D09" w:rsidRPr="0089197B">
                <w:rPr>
                  <w:bCs/>
                  <w:iCs/>
                  <w:sz w:val="16"/>
                  <w:szCs w:val="16"/>
                </w:rPr>
                <w:fldChar w:fldCharType="begin"/>
              </w:r>
              <w:r w:rsidR="00512D09">
                <w:rPr>
                  <w:bCs/>
                  <w:iCs/>
                  <w:sz w:val="16"/>
                  <w:szCs w:val="16"/>
                </w:rPr>
                <w:instrText xml:space="preserve"> ADDIN EN.CITE &lt;EndNote&gt;&lt;Cite&gt;&lt;Author&gt;Mecinović&lt;/Author&gt;&lt;Year&gt;2011&lt;/Year&gt;&lt;RecNum&gt;262&lt;/RecNum&gt;&lt;DisplayText&gt;&lt;style face="superscript"&gt;30&lt;/style&gt;&lt;/DisplayText&gt;&lt;record&gt;&lt;rec-number&gt;262&lt;/rec-number&gt;&lt;foreign-keys&gt;&lt;key app="EN" db-id="5trrespwzsdr07efd5tx2w96x22re9s0fsdt"&gt;262&lt;/key&gt;&lt;/foreign-keys&gt;&lt;ref-type name="Journal Article"&gt;17&lt;/ref-type&gt;&lt;contributors&gt;&lt;authors&gt;&lt;author&gt;Mecinović, Jasmin&lt;/author&gt;&lt;author&gt;Snyder, Phillip W.&lt;/author&gt;&lt;author&gt;Mirica, Katherine A.&lt;/author&gt;&lt;author&gt;Bai, Serena&lt;/author&gt;&lt;author&gt;Mack, Eric T.&lt;/author&gt;&lt;author&gt;Kwant, Richard L.&lt;/author&gt;&lt;author&gt;Moustakas, Demetri T.&lt;/author&gt;&lt;author&gt;Héroux, Annie&lt;/author&gt;&lt;author&gt;Whitesides, George M.&lt;/author&gt;&lt;/authors&gt;&lt;/contributors&gt;&lt;titles&gt;&lt;title&gt;Fluoroalkyl and Alkyl Chains Have Similar Hydrophobicities in Binding to the “Hydrophobic Wall” of Carbonic Anhydrase&lt;/title&gt;&lt;secondary-title&gt;J Am Chem Soc&lt;/secondary-title&gt;&lt;/titles&gt;&lt;periodical&gt;&lt;full-title&gt;J Am Chem Soc&lt;/full-title&gt;&lt;abbr-1&gt;Journal of the American Chemical Society&lt;/abbr-1&gt;&lt;/periodical&gt;&lt;pages&gt;14017-14026&lt;/pages&gt;&lt;volume&gt;133&lt;/volume&gt;&lt;number&gt;35&lt;/number&gt;&lt;dates&gt;&lt;year&gt;2011&lt;/year&gt;&lt;pub-dates&gt;&lt;date&gt;2011/09/07&lt;/date&gt;&lt;/pub-dates&gt;&lt;/dates&gt;&lt;publisher&gt;American Chemical Society&lt;/publisher&gt;&lt;isbn&gt;0002-7863&lt;/isbn&gt;&lt;urls&gt;&lt;related-urls&gt;&lt;url&gt;http://dx.doi.org/10.1021/ja2045293&lt;/url&gt;&lt;/related-urls&gt;&lt;/urls&gt;&lt;electronic-resource-num&gt;10.1021/ja2045293&lt;/electronic-resource-num&gt;&lt;access-date&gt;2013/11/11&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30</w:t>
              </w:r>
              <w:r w:rsidR="00512D09" w:rsidRPr="0089197B">
                <w:rPr>
                  <w:sz w:val="16"/>
                  <w:szCs w:val="16"/>
                </w:rPr>
                <w:fldChar w:fldCharType="end"/>
              </w:r>
            </w:hyperlink>
          </w:p>
        </w:tc>
      </w:tr>
      <w:tr w:rsidR="00312304" w:rsidRPr="00AC0E2A" w:rsidTr="00DA1FF1">
        <w:trPr>
          <w:cantSplit/>
          <w:trHeight w:val="512"/>
        </w:trPr>
        <w:tc>
          <w:tcPr>
            <w:tcW w:w="421" w:type="dxa"/>
          </w:tcPr>
          <w:p w:rsidR="00AC0E2A" w:rsidRPr="0089197B" w:rsidRDefault="00AC0E2A" w:rsidP="0089197B">
            <w:pPr>
              <w:spacing w:line="240" w:lineRule="auto"/>
              <w:jc w:val="center"/>
              <w:rPr>
                <w:bCs/>
                <w:iCs/>
                <w:sz w:val="16"/>
                <w:szCs w:val="16"/>
              </w:rPr>
            </w:pPr>
            <w:r w:rsidRPr="0089197B">
              <w:rPr>
                <w:bCs/>
                <w:iCs/>
                <w:sz w:val="16"/>
                <w:szCs w:val="16"/>
              </w:rPr>
              <w:t>n=2</w:t>
            </w:r>
          </w:p>
          <w:p w:rsidR="00AC0E2A" w:rsidRPr="0089197B" w:rsidRDefault="00AC0E2A" w:rsidP="0089197B">
            <w:pPr>
              <w:spacing w:line="240" w:lineRule="auto"/>
              <w:jc w:val="center"/>
              <w:rPr>
                <w:bCs/>
                <w:iCs/>
                <w:sz w:val="16"/>
                <w:szCs w:val="16"/>
              </w:rPr>
            </w:pPr>
            <w:r w:rsidRPr="0089197B">
              <w:rPr>
                <w:bCs/>
                <w:iCs/>
                <w:sz w:val="16"/>
                <w:szCs w:val="16"/>
              </w:rPr>
              <w:t>X=F</w:t>
            </w:r>
          </w:p>
        </w:tc>
        <w:tc>
          <w:tcPr>
            <w:tcW w:w="1417" w:type="dxa"/>
          </w:tcPr>
          <w:p w:rsidR="00AC0E2A" w:rsidRPr="0089197B" w:rsidRDefault="00AC0E2A" w:rsidP="0089197B">
            <w:pPr>
              <w:spacing w:line="240" w:lineRule="auto"/>
              <w:jc w:val="center"/>
              <w:rPr>
                <w:sz w:val="16"/>
                <w:szCs w:val="16"/>
              </w:rPr>
            </w:pPr>
            <w:r w:rsidRPr="0089197B">
              <w:rPr>
                <w:bCs/>
                <w:iCs/>
                <w:sz w:val="16"/>
                <w:szCs w:val="16"/>
              </w:rPr>
              <w:t>Human carbonic anhydrase 1</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380.4</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48.3</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43.0</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6.27</w:t>
            </w:r>
          </w:p>
        </w:tc>
        <w:tc>
          <w:tcPr>
            <w:tcW w:w="524" w:type="dxa"/>
          </w:tcPr>
          <w:p w:rsidR="00AC0E2A" w:rsidRPr="0089197B" w:rsidRDefault="00040F10" w:rsidP="00512D09">
            <w:pPr>
              <w:spacing w:line="240" w:lineRule="auto"/>
              <w:jc w:val="center"/>
              <w:rPr>
                <w:bCs/>
                <w:iCs/>
                <w:sz w:val="16"/>
                <w:szCs w:val="16"/>
              </w:rPr>
            </w:pPr>
            <w:hyperlink w:anchor="_ENREF_30" w:tooltip="Mecinović, 2011 #262" w:history="1">
              <w:r w:rsidR="00512D09" w:rsidRPr="0089197B">
                <w:rPr>
                  <w:bCs/>
                  <w:iCs/>
                  <w:sz w:val="16"/>
                  <w:szCs w:val="16"/>
                </w:rPr>
                <w:fldChar w:fldCharType="begin"/>
              </w:r>
              <w:r w:rsidR="00512D09">
                <w:rPr>
                  <w:bCs/>
                  <w:iCs/>
                  <w:sz w:val="16"/>
                  <w:szCs w:val="16"/>
                </w:rPr>
                <w:instrText xml:space="preserve"> ADDIN EN.CITE &lt;EndNote&gt;&lt;Cite&gt;&lt;Author&gt;Mecinović&lt;/Author&gt;&lt;Year&gt;2011&lt;/Year&gt;&lt;RecNum&gt;262&lt;/RecNum&gt;&lt;DisplayText&gt;&lt;style face="superscript"&gt;30&lt;/style&gt;&lt;/DisplayText&gt;&lt;record&gt;&lt;rec-number&gt;262&lt;/rec-number&gt;&lt;foreign-keys&gt;&lt;key app="EN" db-id="5trrespwzsdr07efd5tx2w96x22re9s0fsdt"&gt;262&lt;/key&gt;&lt;/foreign-keys&gt;&lt;ref-type name="Journal Article"&gt;17&lt;/ref-type&gt;&lt;contributors&gt;&lt;authors&gt;&lt;author&gt;Mecinović, Jasmin&lt;/author&gt;&lt;author&gt;Snyder, Phillip W.&lt;/author&gt;&lt;author&gt;Mirica, Katherine A.&lt;/author&gt;&lt;author&gt;Bai, Serena&lt;/author&gt;&lt;author&gt;Mack, Eric T.&lt;/author&gt;&lt;author&gt;Kwant, Richard L.&lt;/author&gt;&lt;author&gt;Moustakas, Demetri T.&lt;/author&gt;&lt;author&gt;Héroux, Annie&lt;/author&gt;&lt;author&gt;Whitesides, George M.&lt;/author&gt;&lt;/authors&gt;&lt;/contributors&gt;&lt;titles&gt;&lt;title&gt;Fluoroalkyl and Alkyl Chains Have Similar Hydrophobicities in Binding to the “Hydrophobic Wall” of Carbonic Anhydrase&lt;/title&gt;&lt;secondary-title&gt;J Am Chem Soc&lt;/secondary-title&gt;&lt;/titles&gt;&lt;periodical&gt;&lt;full-title&gt;J Am Chem Soc&lt;/full-title&gt;&lt;abbr-1&gt;Journal of the American Chemical Society&lt;/abbr-1&gt;&lt;/periodical&gt;&lt;pages&gt;14017-14026&lt;/pages&gt;&lt;volume&gt;133&lt;/volume&gt;&lt;number&gt;35&lt;/number&gt;&lt;dates&gt;&lt;year&gt;2011&lt;/year&gt;&lt;pub-dates&gt;&lt;date&gt;2011/09/07&lt;/date&gt;&lt;/pub-dates&gt;&lt;/dates&gt;&lt;publisher&gt;American Chemical Society&lt;/publisher&gt;&lt;isbn&gt;0002-7863&lt;/isbn&gt;&lt;urls&gt;&lt;related-urls&gt;&lt;url&gt;http://dx.doi.org/10.1021/ja2045293&lt;/url&gt;&lt;/related-urls&gt;&lt;/urls&gt;&lt;electronic-resource-num&gt;10.1021/ja2045293&lt;/electronic-resource-num&gt;&lt;access-date&gt;2013/11/11&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30</w:t>
              </w:r>
              <w:r w:rsidR="00512D09" w:rsidRPr="0089197B">
                <w:rPr>
                  <w:sz w:val="16"/>
                  <w:szCs w:val="16"/>
                </w:rPr>
                <w:fldChar w:fldCharType="end"/>
              </w:r>
            </w:hyperlink>
          </w:p>
        </w:tc>
      </w:tr>
      <w:tr w:rsidR="00312304" w:rsidRPr="00AC0E2A" w:rsidTr="00DA1FF1">
        <w:trPr>
          <w:cantSplit/>
          <w:trHeight w:val="500"/>
        </w:trPr>
        <w:tc>
          <w:tcPr>
            <w:tcW w:w="421" w:type="dxa"/>
          </w:tcPr>
          <w:p w:rsidR="00AC0E2A" w:rsidRPr="0089197B" w:rsidRDefault="00AC0E2A" w:rsidP="0089197B">
            <w:pPr>
              <w:spacing w:line="240" w:lineRule="auto"/>
              <w:jc w:val="center"/>
              <w:rPr>
                <w:bCs/>
                <w:iCs/>
                <w:sz w:val="16"/>
                <w:szCs w:val="16"/>
              </w:rPr>
            </w:pPr>
            <w:r w:rsidRPr="0089197B">
              <w:rPr>
                <w:bCs/>
                <w:iCs/>
                <w:sz w:val="16"/>
                <w:szCs w:val="16"/>
              </w:rPr>
              <w:t>IPMP</w:t>
            </w:r>
          </w:p>
        </w:tc>
        <w:tc>
          <w:tcPr>
            <w:tcW w:w="1417" w:type="dxa"/>
          </w:tcPr>
          <w:p w:rsidR="00AC0E2A" w:rsidRPr="0089197B" w:rsidRDefault="00AC0E2A" w:rsidP="0089197B">
            <w:pPr>
              <w:spacing w:line="240" w:lineRule="auto"/>
              <w:jc w:val="center"/>
              <w:rPr>
                <w:bCs/>
                <w:iCs/>
                <w:sz w:val="16"/>
                <w:szCs w:val="16"/>
              </w:rPr>
            </w:pPr>
            <w:r w:rsidRPr="0089197B">
              <w:rPr>
                <w:bCs/>
                <w:iCs/>
                <w:sz w:val="16"/>
                <w:szCs w:val="16"/>
              </w:rPr>
              <w:t>MUP-I</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 – MM suggested 6</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NR</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33.9</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44.54</w:t>
            </w:r>
          </w:p>
        </w:tc>
        <w:tc>
          <w:tcPr>
            <w:tcW w:w="1134" w:type="dxa"/>
          </w:tcPr>
          <w:p w:rsidR="00AC0E2A" w:rsidRPr="0089197B" w:rsidRDefault="004144B1" w:rsidP="0089197B">
            <w:pPr>
              <w:spacing w:line="240" w:lineRule="auto"/>
              <w:jc w:val="center"/>
              <w:rPr>
                <w:bCs/>
                <w:iCs/>
                <w:sz w:val="16"/>
                <w:szCs w:val="16"/>
              </w:rPr>
            </w:pPr>
            <w:r>
              <w:rPr>
                <w:bCs/>
                <w:iCs/>
                <w:sz w:val="16"/>
                <w:szCs w:val="16"/>
              </w:rPr>
              <w:t>-</w:t>
            </w:r>
            <w:r w:rsidR="00AC0E2A" w:rsidRPr="0089197B">
              <w:rPr>
                <w:bCs/>
                <w:iCs/>
                <w:sz w:val="16"/>
                <w:szCs w:val="16"/>
              </w:rPr>
              <w:t>10.65</w:t>
            </w:r>
          </w:p>
        </w:tc>
        <w:tc>
          <w:tcPr>
            <w:tcW w:w="524" w:type="dxa"/>
          </w:tcPr>
          <w:p w:rsidR="00AC0E2A" w:rsidRPr="0089197B" w:rsidRDefault="00040F10" w:rsidP="00512D09">
            <w:pPr>
              <w:spacing w:line="240" w:lineRule="auto"/>
              <w:jc w:val="center"/>
              <w:rPr>
                <w:bCs/>
                <w:iCs/>
                <w:sz w:val="16"/>
                <w:szCs w:val="16"/>
              </w:rPr>
            </w:pPr>
            <w:hyperlink w:anchor="_ENREF_25" w:tooltip="Bingham, 2004 #277" w:history="1">
              <w:r w:rsidR="00512D09" w:rsidRPr="0089197B">
                <w:rPr>
                  <w:bCs/>
                  <w:iCs/>
                  <w:sz w:val="16"/>
                  <w:szCs w:val="16"/>
                </w:rPr>
                <w:fldChar w:fldCharType="begin"/>
              </w:r>
              <w:r w:rsidR="00512D09">
                <w:rPr>
                  <w:bCs/>
                  <w:iCs/>
                  <w:sz w:val="16"/>
                  <w:szCs w:val="16"/>
                </w:rPr>
                <w:instrText xml:space="preserve"> ADDIN EN.CITE &lt;EndNote&gt;&lt;Cite&gt;&lt;Author&gt;Bingham&lt;/Author&gt;&lt;Year&gt;2004&lt;/Year&gt;&lt;RecNum&gt;277&lt;/RecNum&gt;&lt;DisplayText&gt;&lt;style face="superscript"&gt;25&lt;/style&gt;&lt;/DisplayText&gt;&lt;record&gt;&lt;rec-number&gt;277&lt;/rec-number&gt;&lt;foreign-keys&gt;&lt;key app="EN" db-id="5trrespwzsdr07efd5tx2w96x22re9s0fsdt"&gt;277&lt;/key&gt;&lt;/foreign-keys&gt;&lt;ref-type name="Journal Article"&gt;17&lt;/ref-type&gt;&lt;contributors&gt;&lt;authors&gt;&lt;author&gt;Bingham, Richard J.&lt;/author&gt;&lt;author&gt;Findlay, John B. C.&lt;/author&gt;&lt;author&gt;Hsieh, Shih-Yang&lt;/author&gt;&lt;author&gt;Kalverda, Arnout P.&lt;/author&gt;&lt;author&gt;Kjellberg, Alexandra&lt;/author&gt;&lt;author&gt;Perazzolo, Chiara&lt;/author&gt;&lt;author&gt;Phillips, Simon E. V.&lt;/author&gt;&lt;author&gt;Seshadri, Kothandaraman&lt;/author&gt;&lt;author&gt;Trinh, Chi H.&lt;/author&gt;&lt;author&gt;Turnbull, W. Bruce&lt;/author&gt;&lt;author&gt;Bodenhausen, Geoffrey&lt;/author&gt;&lt;author&gt;Homans, Steve W.&lt;/author&gt;&lt;/authors&gt;&lt;/contributors&gt;&lt;titles&gt;&lt;title&gt;Thermodynamics of Binding of 2-Methoxy-3-isopropylpyrazine and 2-Methoxy-3-isobutylpyrazine to the Major Urinary Protein&lt;/title&gt;&lt;secondary-title&gt;J Am Chem Soc&lt;/secondary-title&gt;&lt;/titles&gt;&lt;periodical&gt;&lt;full-title&gt;J Am Chem Soc&lt;/full-title&gt;&lt;abbr-1&gt;Journal of the American Chemical Society&lt;/abbr-1&gt;&lt;/periodical&gt;&lt;pages&gt;1675-1681&lt;/pages&gt;&lt;volume&gt;126&lt;/volume&gt;&lt;number&gt;6&lt;/number&gt;&lt;dates&gt;&lt;year&gt;2004&lt;/year&gt;&lt;pub-dates&gt;&lt;date&gt;2004/02/01&lt;/date&gt;&lt;/pub-dates&gt;&lt;/dates&gt;&lt;publisher&gt;American Chemical Society&lt;/publisher&gt;&lt;isbn&gt;0002-7863&lt;/isbn&gt;&lt;urls&gt;&lt;related-urls&gt;&lt;url&gt;http://dx.doi.org/10.1021/ja038461i&lt;/url&gt;&lt;/related-urls&gt;&lt;/urls&gt;&lt;electronic-resource-num&gt;10.1021/ja038461i&lt;/electronic-resource-num&gt;&lt;access-date&gt;2013/11/22&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25</w:t>
              </w:r>
              <w:r w:rsidR="00512D09" w:rsidRPr="0089197B">
                <w:rPr>
                  <w:sz w:val="16"/>
                  <w:szCs w:val="16"/>
                </w:rPr>
                <w:fldChar w:fldCharType="end"/>
              </w:r>
            </w:hyperlink>
          </w:p>
        </w:tc>
      </w:tr>
      <w:tr w:rsidR="00312304" w:rsidRPr="00AC0E2A" w:rsidTr="00DA1FF1">
        <w:trPr>
          <w:cantSplit/>
          <w:trHeight w:val="630"/>
        </w:trPr>
        <w:tc>
          <w:tcPr>
            <w:tcW w:w="421" w:type="dxa"/>
          </w:tcPr>
          <w:p w:rsidR="00AC0E2A" w:rsidRPr="0089197B" w:rsidRDefault="00AC0E2A" w:rsidP="0089197B">
            <w:pPr>
              <w:spacing w:line="240" w:lineRule="auto"/>
              <w:jc w:val="center"/>
              <w:rPr>
                <w:bCs/>
                <w:iCs/>
                <w:sz w:val="16"/>
                <w:szCs w:val="16"/>
              </w:rPr>
            </w:pPr>
            <w:r w:rsidRPr="0089197B">
              <w:rPr>
                <w:bCs/>
                <w:iCs/>
                <w:sz w:val="16"/>
                <w:szCs w:val="16"/>
              </w:rPr>
              <w:t>IBMP</w:t>
            </w:r>
          </w:p>
        </w:tc>
        <w:tc>
          <w:tcPr>
            <w:tcW w:w="1417" w:type="dxa"/>
          </w:tcPr>
          <w:p w:rsidR="00AC0E2A" w:rsidRPr="0089197B" w:rsidRDefault="00AC0E2A" w:rsidP="0089197B">
            <w:pPr>
              <w:spacing w:line="240" w:lineRule="auto"/>
              <w:jc w:val="center"/>
              <w:rPr>
                <w:bCs/>
                <w:iCs/>
                <w:sz w:val="16"/>
                <w:szCs w:val="16"/>
              </w:rPr>
            </w:pPr>
            <w:r w:rsidRPr="0089197B">
              <w:rPr>
                <w:bCs/>
                <w:iCs/>
                <w:sz w:val="16"/>
                <w:szCs w:val="16"/>
              </w:rPr>
              <w:t>MUP-I</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 – MM suggested 6</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NR</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38.5</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47.89</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-9.39</w:t>
            </w:r>
          </w:p>
        </w:tc>
        <w:tc>
          <w:tcPr>
            <w:tcW w:w="524" w:type="dxa"/>
          </w:tcPr>
          <w:p w:rsidR="00AC0E2A" w:rsidRPr="0089197B" w:rsidRDefault="00040F10" w:rsidP="00512D09">
            <w:pPr>
              <w:spacing w:line="240" w:lineRule="auto"/>
              <w:jc w:val="center"/>
              <w:rPr>
                <w:bCs/>
                <w:iCs/>
                <w:sz w:val="16"/>
                <w:szCs w:val="16"/>
              </w:rPr>
            </w:pPr>
            <w:hyperlink w:anchor="_ENREF_25" w:tooltip="Bingham, 2004 #277" w:history="1">
              <w:r w:rsidR="00512D09" w:rsidRPr="0089197B">
                <w:rPr>
                  <w:bCs/>
                  <w:iCs/>
                  <w:sz w:val="16"/>
                  <w:szCs w:val="16"/>
                </w:rPr>
                <w:fldChar w:fldCharType="begin"/>
              </w:r>
              <w:r w:rsidR="00512D09">
                <w:rPr>
                  <w:bCs/>
                  <w:iCs/>
                  <w:sz w:val="16"/>
                  <w:szCs w:val="16"/>
                </w:rPr>
                <w:instrText xml:space="preserve"> ADDIN EN.CITE &lt;EndNote&gt;&lt;Cite&gt;&lt;Author&gt;Bingham&lt;/Author&gt;&lt;Year&gt;2004&lt;/Year&gt;&lt;RecNum&gt;277&lt;/RecNum&gt;&lt;DisplayText&gt;&lt;style face="superscript"&gt;25&lt;/style&gt;&lt;/DisplayText&gt;&lt;record&gt;&lt;rec-number&gt;277&lt;/rec-number&gt;&lt;foreign-keys&gt;&lt;key app="EN" db-id="5trrespwzsdr07efd5tx2w96x22re9s0fsdt"&gt;277&lt;/key&gt;&lt;/foreign-keys&gt;&lt;ref-type name="Journal Article"&gt;17&lt;/ref-type&gt;&lt;contributors&gt;&lt;authors&gt;&lt;author&gt;Bingham, Richard J.&lt;/author&gt;&lt;author&gt;Findlay, John B. C.&lt;/author&gt;&lt;author&gt;Hsieh, Shih-Yang&lt;/author&gt;&lt;author&gt;Kalverda, Arnout P.&lt;/author&gt;&lt;author&gt;Kjellberg, Alexandra&lt;/author&gt;&lt;author&gt;Perazzolo, Chiara&lt;/author&gt;&lt;author&gt;Phillips, Simon E. V.&lt;/author&gt;&lt;author&gt;Seshadri, Kothandaraman&lt;/author&gt;&lt;author&gt;Trinh, Chi H.&lt;/author&gt;&lt;author&gt;Turnbull, W. Bruce&lt;/author&gt;&lt;author&gt;Bodenhausen, Geoffrey&lt;/author&gt;&lt;author&gt;Homans, Steve W.&lt;/author&gt;&lt;/authors&gt;&lt;/contributors&gt;&lt;titles&gt;&lt;title&gt;Thermodynamics of Binding of 2-Methoxy-3-isopropylpyrazine and 2-Methoxy-3-isobutylpyrazine to the Major Urinary Protein&lt;/title&gt;&lt;secondary-title&gt;J Am Chem Soc&lt;/secondary-title&gt;&lt;/titles&gt;&lt;periodical&gt;&lt;full-title&gt;J Am Chem Soc&lt;/full-title&gt;&lt;abbr-1&gt;Journal of the American Chemical Society&lt;/abbr-1&gt;&lt;/periodical&gt;&lt;pages&gt;1675-1681&lt;/pages&gt;&lt;volume&gt;126&lt;/volume&gt;&lt;number&gt;6&lt;/number&gt;&lt;dates&gt;&lt;year&gt;2004&lt;/year&gt;&lt;pub-dates&gt;&lt;date&gt;2004/02/01&lt;/date&gt;&lt;/pub-dates&gt;&lt;/dates&gt;&lt;publisher&gt;American Chemical Society&lt;/publisher&gt;&lt;isbn&gt;0002-7863&lt;/isbn&gt;&lt;urls&gt;&lt;related-urls&gt;&lt;url&gt;http://dx.doi.org/10.1021/ja038461i&lt;/url&gt;&lt;/related-urls&gt;&lt;/urls&gt;&lt;electronic-resource-num&gt;10.1021/ja038461i&lt;/electronic-resource-num&gt;&lt;access-date&gt;2013/11/22&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25</w:t>
              </w:r>
              <w:r w:rsidR="00512D09" w:rsidRPr="0089197B">
                <w:rPr>
                  <w:sz w:val="16"/>
                  <w:szCs w:val="16"/>
                </w:rPr>
                <w:fldChar w:fldCharType="end"/>
              </w:r>
            </w:hyperlink>
          </w:p>
        </w:tc>
      </w:tr>
      <w:tr w:rsidR="00312304" w:rsidRPr="00AC0E2A" w:rsidTr="00DA1FF1">
        <w:trPr>
          <w:cantSplit/>
          <w:trHeight w:val="476"/>
        </w:trPr>
        <w:tc>
          <w:tcPr>
            <w:tcW w:w="421" w:type="dxa"/>
          </w:tcPr>
          <w:p w:rsidR="00AC0E2A" w:rsidRPr="0089197B" w:rsidRDefault="00AC0E2A" w:rsidP="0089197B">
            <w:pPr>
              <w:spacing w:line="240" w:lineRule="auto"/>
              <w:jc w:val="center"/>
              <w:rPr>
                <w:bCs/>
                <w:iCs/>
                <w:sz w:val="16"/>
                <w:szCs w:val="16"/>
              </w:rPr>
            </w:pPr>
            <w:r w:rsidRPr="0089197B">
              <w:rPr>
                <w:bCs/>
                <w:iCs/>
                <w:sz w:val="16"/>
                <w:szCs w:val="16"/>
              </w:rPr>
              <w:t>IBMP</w:t>
            </w:r>
          </w:p>
        </w:tc>
        <w:tc>
          <w:tcPr>
            <w:tcW w:w="1417" w:type="dxa"/>
          </w:tcPr>
          <w:p w:rsidR="00AC0E2A" w:rsidRPr="0089197B" w:rsidRDefault="00AC0E2A" w:rsidP="0089197B">
            <w:pPr>
              <w:spacing w:line="240" w:lineRule="auto"/>
              <w:jc w:val="center"/>
              <w:rPr>
                <w:bCs/>
                <w:iCs/>
                <w:sz w:val="16"/>
                <w:szCs w:val="16"/>
              </w:rPr>
            </w:pPr>
            <w:r w:rsidRPr="0089197B">
              <w:rPr>
                <w:bCs/>
                <w:iCs/>
                <w:sz w:val="16"/>
                <w:szCs w:val="16"/>
              </w:rPr>
              <w:t>MUP-I Y120F (288 K)</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 – MM suggested 3 to 4</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510</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34.89</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25.76</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9.12</w:t>
            </w:r>
          </w:p>
        </w:tc>
        <w:tc>
          <w:tcPr>
            <w:tcW w:w="524" w:type="dxa"/>
          </w:tcPr>
          <w:p w:rsidR="00AC0E2A" w:rsidRPr="0089197B" w:rsidRDefault="00040F10" w:rsidP="00512D09">
            <w:pPr>
              <w:spacing w:line="240" w:lineRule="auto"/>
              <w:jc w:val="center"/>
              <w:rPr>
                <w:bCs/>
                <w:iCs/>
                <w:sz w:val="16"/>
                <w:szCs w:val="16"/>
              </w:rPr>
            </w:pPr>
            <w:hyperlink w:anchor="_ENREF_26" w:tooltip="Barratt, 2005 #278" w:history="1">
              <w:r w:rsidR="00512D09" w:rsidRPr="0089197B">
                <w:rPr>
                  <w:bCs/>
                  <w:iCs/>
                  <w:sz w:val="16"/>
                  <w:szCs w:val="16"/>
                </w:rPr>
                <w:fldChar w:fldCharType="begin"/>
              </w:r>
              <w:r w:rsidR="00512D09">
                <w:rPr>
                  <w:bCs/>
                  <w:iCs/>
                  <w:sz w:val="16"/>
                  <w:szCs w:val="16"/>
                </w:rPr>
                <w:instrText xml:space="preserve"> ADDIN EN.CITE &lt;EndNote&gt;&lt;Cite&gt;&lt;Author&gt;Barratt&lt;/Author&gt;&lt;Year&gt;2005&lt;/Year&gt;&lt;RecNum&gt;278&lt;/RecNum&gt;&lt;DisplayText&gt;&lt;style face="superscript"&gt;26&lt;/style&gt;&lt;/DisplayText&gt;&lt;record&gt;&lt;rec-number&gt;278&lt;/rec-number&gt;&lt;foreign-keys&gt;&lt;key app="EN" db-id="5trrespwzsdr07efd5tx2w96x22re9s0fsdt"&gt;278&lt;/key&gt;&lt;/foreign-keys&gt;&lt;ref-type name="Journal Article"&gt;17&lt;/ref-type&gt;&lt;contributors&gt;&lt;authors&gt;&lt;author&gt;Barratt, Elizabeth&lt;/author&gt;&lt;author&gt;Bingham, Richard J.&lt;/author&gt;&lt;author&gt;Warner, Daniel J.&lt;/author&gt;&lt;author&gt;Laughton, Charles A.&lt;/author&gt;&lt;author&gt;Phillips, Simon E. V.&lt;/author&gt;&lt;author&gt;Homans, Steve W.&lt;/author&gt;&lt;/authors&gt;&lt;/contributors&gt;&lt;titles&gt;&lt;title&gt;Van der Waals Interactions Dominate Ligand−Protein Association in a Protein Binding Site Occluded from Solvent Water&lt;/title&gt;&lt;secondary-title&gt;J Am Chem Soc&lt;/secondary-title&gt;&lt;/titles&gt;&lt;periodical&gt;&lt;full-title&gt;J Am Chem Soc&lt;/full-title&gt;&lt;abbr-1&gt;Journal of the American Chemical Society&lt;/abbr-1&gt;&lt;/periodical&gt;&lt;pages&gt;11827-11834&lt;/pages&gt;&lt;volume&gt;127&lt;/volume&gt;&lt;number&gt;33&lt;/number&gt;&lt;dates&gt;&lt;year&gt;2005&lt;/year&gt;&lt;pub-dates&gt;&lt;date&gt;2005/08/01&lt;/date&gt;&lt;/pub-dates&gt;&lt;/dates&gt;&lt;publisher&gt;American Chemical Society&lt;/publisher&gt;&lt;isbn&gt;0002-7863&lt;/isbn&gt;&lt;urls&gt;&lt;related-urls&gt;&lt;url&gt;http://dx.doi.org/10.1021/ja0527525&lt;/url&gt;&lt;/related-urls&gt;&lt;/urls&gt;&lt;electronic-resource-num&gt;10.1021/ja0527525&lt;/electronic-resource-num&gt;&lt;access-date&gt;2013/11/22&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26</w:t>
              </w:r>
              <w:r w:rsidR="00512D09" w:rsidRPr="0089197B">
                <w:rPr>
                  <w:sz w:val="16"/>
                  <w:szCs w:val="16"/>
                </w:rPr>
                <w:fldChar w:fldCharType="end"/>
              </w:r>
            </w:hyperlink>
          </w:p>
        </w:tc>
      </w:tr>
      <w:tr w:rsidR="00312304" w:rsidRPr="00AC0E2A" w:rsidTr="00DA1FF1">
        <w:trPr>
          <w:cantSplit/>
          <w:trHeight w:val="464"/>
        </w:trPr>
        <w:tc>
          <w:tcPr>
            <w:tcW w:w="421" w:type="dxa"/>
          </w:tcPr>
          <w:p w:rsidR="00AC0E2A" w:rsidRPr="0089197B" w:rsidRDefault="00AC0E2A" w:rsidP="0089197B">
            <w:pPr>
              <w:spacing w:line="240" w:lineRule="auto"/>
              <w:jc w:val="center"/>
              <w:rPr>
                <w:sz w:val="16"/>
                <w:szCs w:val="16"/>
              </w:rPr>
            </w:pPr>
            <w:r w:rsidRPr="0089197B">
              <w:rPr>
                <w:bCs/>
                <w:iCs/>
                <w:sz w:val="16"/>
                <w:szCs w:val="16"/>
              </w:rPr>
              <w:t>IBMP</w:t>
            </w:r>
          </w:p>
        </w:tc>
        <w:tc>
          <w:tcPr>
            <w:tcW w:w="1417" w:type="dxa"/>
          </w:tcPr>
          <w:p w:rsidR="00AC0E2A" w:rsidRPr="0089197B" w:rsidRDefault="00AC0E2A" w:rsidP="0089197B">
            <w:pPr>
              <w:spacing w:line="240" w:lineRule="auto"/>
              <w:jc w:val="center"/>
              <w:rPr>
                <w:bCs/>
                <w:iCs/>
                <w:sz w:val="16"/>
                <w:szCs w:val="16"/>
              </w:rPr>
            </w:pPr>
            <w:r w:rsidRPr="0089197B">
              <w:rPr>
                <w:bCs/>
                <w:iCs/>
                <w:sz w:val="16"/>
                <w:szCs w:val="16"/>
              </w:rPr>
              <w:t>MUP-I Y120F (298 K)</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 – MM suggested 3 to 4</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510</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35.31</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31.44</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3.87 </w:t>
            </w:r>
          </w:p>
        </w:tc>
        <w:tc>
          <w:tcPr>
            <w:tcW w:w="524" w:type="dxa"/>
          </w:tcPr>
          <w:p w:rsidR="00AC0E2A" w:rsidRPr="0089197B" w:rsidRDefault="00040F10" w:rsidP="00512D09">
            <w:pPr>
              <w:spacing w:line="240" w:lineRule="auto"/>
              <w:jc w:val="center"/>
              <w:rPr>
                <w:bCs/>
                <w:iCs/>
                <w:sz w:val="16"/>
                <w:szCs w:val="16"/>
              </w:rPr>
            </w:pPr>
            <w:hyperlink w:anchor="_ENREF_26" w:tooltip="Barratt, 2005 #278" w:history="1">
              <w:r w:rsidR="00512D09" w:rsidRPr="0089197B">
                <w:rPr>
                  <w:bCs/>
                  <w:iCs/>
                  <w:sz w:val="16"/>
                  <w:szCs w:val="16"/>
                </w:rPr>
                <w:fldChar w:fldCharType="begin"/>
              </w:r>
              <w:r w:rsidR="00512D09">
                <w:rPr>
                  <w:bCs/>
                  <w:iCs/>
                  <w:sz w:val="16"/>
                  <w:szCs w:val="16"/>
                </w:rPr>
                <w:instrText xml:space="preserve"> ADDIN EN.CITE &lt;EndNote&gt;&lt;Cite&gt;&lt;Author&gt;Barratt&lt;/Author&gt;&lt;Year&gt;2005&lt;/Year&gt;&lt;RecNum&gt;278&lt;/RecNum&gt;&lt;DisplayText&gt;&lt;style face="superscript"&gt;26&lt;/style&gt;&lt;/DisplayText&gt;&lt;record&gt;&lt;rec-number&gt;278&lt;/rec-number&gt;&lt;foreign-keys&gt;&lt;key app="EN" db-id="5trrespwzsdr07efd5tx2w96x22re9s0fsdt"&gt;278&lt;/key&gt;&lt;/foreign-keys&gt;&lt;ref-type name="Journal Article"&gt;17&lt;/ref-type&gt;&lt;contributors&gt;&lt;authors&gt;&lt;author&gt;Barratt, Elizabeth&lt;/author&gt;&lt;author&gt;Bingham, Richard J.&lt;/author&gt;&lt;author&gt;Warner, Daniel J.&lt;/author&gt;&lt;author&gt;Laughton, Charles A.&lt;/author&gt;&lt;author&gt;Phillips, Simon E. V.&lt;/author&gt;&lt;author&gt;Homans, Steve W.&lt;/author&gt;&lt;/authors&gt;&lt;/contributors&gt;&lt;titles&gt;&lt;title&gt;Van der Waals Interactions Dominate Ligand−Protein Association in a Protein Binding Site Occluded from Solvent Water&lt;/title&gt;&lt;secondary-title&gt;J Am Chem Soc&lt;/secondary-title&gt;&lt;/titles&gt;&lt;periodical&gt;&lt;full-title&gt;J Am Chem Soc&lt;/full-title&gt;&lt;abbr-1&gt;Journal of the American Chemical Society&lt;/abbr-1&gt;&lt;/periodical&gt;&lt;pages&gt;11827-11834&lt;/pages&gt;&lt;volume&gt;127&lt;/volume&gt;&lt;number&gt;33&lt;/number&gt;&lt;dates&gt;&lt;year&gt;2005&lt;/year&gt;&lt;pub-dates&gt;&lt;date&gt;2005/08/01&lt;/date&gt;&lt;/pub-dates&gt;&lt;/dates&gt;&lt;publisher&gt;American Chemical Society&lt;/publisher&gt;&lt;isbn&gt;0002-7863&lt;/isbn&gt;&lt;urls&gt;&lt;related-urls&gt;&lt;url&gt;http://dx.doi.org/10.1021/ja0527525&lt;/url&gt;&lt;/related-urls&gt;&lt;/urls&gt;&lt;electronic-resource-num&gt;10.1021/ja0527525&lt;/electronic-resource-num&gt;&lt;access-date&gt;2013/11/22&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26</w:t>
              </w:r>
              <w:r w:rsidR="00512D09" w:rsidRPr="0089197B">
                <w:rPr>
                  <w:sz w:val="16"/>
                  <w:szCs w:val="16"/>
                </w:rPr>
                <w:fldChar w:fldCharType="end"/>
              </w:r>
            </w:hyperlink>
          </w:p>
        </w:tc>
      </w:tr>
      <w:tr w:rsidR="00312304" w:rsidRPr="00AC0E2A" w:rsidTr="00DA1FF1">
        <w:trPr>
          <w:cantSplit/>
          <w:trHeight w:val="608"/>
        </w:trPr>
        <w:tc>
          <w:tcPr>
            <w:tcW w:w="421" w:type="dxa"/>
          </w:tcPr>
          <w:p w:rsidR="00AC0E2A" w:rsidRPr="0089197B" w:rsidRDefault="00AC0E2A" w:rsidP="0089197B">
            <w:pPr>
              <w:spacing w:line="240" w:lineRule="auto"/>
              <w:jc w:val="center"/>
              <w:rPr>
                <w:sz w:val="16"/>
                <w:szCs w:val="16"/>
              </w:rPr>
            </w:pPr>
            <w:r w:rsidRPr="0089197B">
              <w:rPr>
                <w:bCs/>
                <w:iCs/>
                <w:sz w:val="16"/>
                <w:szCs w:val="16"/>
              </w:rPr>
              <w:t>IBMP</w:t>
            </w:r>
          </w:p>
        </w:tc>
        <w:tc>
          <w:tcPr>
            <w:tcW w:w="1417" w:type="dxa"/>
          </w:tcPr>
          <w:p w:rsidR="00AC0E2A" w:rsidRPr="0089197B" w:rsidRDefault="00AC0E2A" w:rsidP="0089197B">
            <w:pPr>
              <w:spacing w:line="240" w:lineRule="auto"/>
              <w:jc w:val="center"/>
              <w:rPr>
                <w:bCs/>
                <w:iCs/>
                <w:sz w:val="16"/>
                <w:szCs w:val="16"/>
              </w:rPr>
            </w:pPr>
            <w:r w:rsidRPr="0089197B">
              <w:rPr>
                <w:bCs/>
                <w:iCs/>
                <w:sz w:val="16"/>
                <w:szCs w:val="16"/>
              </w:rPr>
              <w:t>MUP-I Y120F (308K)</w:t>
            </w:r>
          </w:p>
        </w:tc>
        <w:tc>
          <w:tcPr>
            <w:tcW w:w="2052" w:type="dxa"/>
          </w:tcPr>
          <w:p w:rsidR="00AC0E2A" w:rsidRPr="0089197B" w:rsidRDefault="00AC0E2A" w:rsidP="0089197B">
            <w:pPr>
              <w:spacing w:line="240" w:lineRule="auto"/>
              <w:jc w:val="center"/>
              <w:rPr>
                <w:bCs/>
                <w:iCs/>
                <w:sz w:val="16"/>
                <w:szCs w:val="16"/>
              </w:rPr>
            </w:pPr>
            <w:r w:rsidRPr="0089197B">
              <w:rPr>
                <w:bCs/>
                <w:iCs/>
                <w:sz w:val="16"/>
                <w:szCs w:val="16"/>
              </w:rPr>
              <w:t>None found in the complex – MM suggested 3 to 4</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510</w:t>
            </w:r>
          </w:p>
        </w:tc>
        <w:tc>
          <w:tcPr>
            <w:tcW w:w="1208" w:type="dxa"/>
          </w:tcPr>
          <w:p w:rsidR="00AC0E2A" w:rsidRPr="0089197B" w:rsidRDefault="00AC0E2A" w:rsidP="00312304">
            <w:pPr>
              <w:spacing w:line="240" w:lineRule="auto"/>
              <w:jc w:val="center"/>
              <w:rPr>
                <w:bCs/>
                <w:iCs/>
                <w:sz w:val="16"/>
                <w:szCs w:val="16"/>
              </w:rPr>
            </w:pPr>
            <w:r w:rsidRPr="0089197B">
              <w:rPr>
                <w:bCs/>
                <w:iCs/>
                <w:sz w:val="16"/>
                <w:szCs w:val="16"/>
              </w:rPr>
              <w:t>33.61</w:t>
            </w:r>
          </w:p>
        </w:tc>
        <w:tc>
          <w:tcPr>
            <w:tcW w:w="993" w:type="dxa"/>
          </w:tcPr>
          <w:p w:rsidR="00AC0E2A" w:rsidRPr="0089197B" w:rsidRDefault="00AC0E2A" w:rsidP="0089197B">
            <w:pPr>
              <w:spacing w:line="240" w:lineRule="auto"/>
              <w:jc w:val="center"/>
              <w:rPr>
                <w:bCs/>
                <w:iCs/>
                <w:sz w:val="16"/>
                <w:szCs w:val="16"/>
              </w:rPr>
            </w:pPr>
            <w:r w:rsidRPr="0089197B">
              <w:rPr>
                <w:bCs/>
                <w:iCs/>
                <w:sz w:val="16"/>
                <w:szCs w:val="16"/>
              </w:rPr>
              <w:t>35.90</w:t>
            </w:r>
          </w:p>
        </w:tc>
        <w:tc>
          <w:tcPr>
            <w:tcW w:w="1134" w:type="dxa"/>
          </w:tcPr>
          <w:p w:rsidR="00AC0E2A" w:rsidRPr="0089197B" w:rsidRDefault="00AC0E2A" w:rsidP="0089197B">
            <w:pPr>
              <w:spacing w:line="240" w:lineRule="auto"/>
              <w:jc w:val="center"/>
              <w:rPr>
                <w:bCs/>
                <w:iCs/>
                <w:sz w:val="16"/>
                <w:szCs w:val="16"/>
              </w:rPr>
            </w:pPr>
            <w:r w:rsidRPr="0089197B">
              <w:rPr>
                <w:bCs/>
                <w:iCs/>
                <w:sz w:val="16"/>
                <w:szCs w:val="16"/>
              </w:rPr>
              <w:t>-2.29</w:t>
            </w:r>
          </w:p>
        </w:tc>
        <w:tc>
          <w:tcPr>
            <w:tcW w:w="524" w:type="dxa"/>
          </w:tcPr>
          <w:p w:rsidR="00AC0E2A" w:rsidRPr="0089197B" w:rsidRDefault="00040F10" w:rsidP="00512D09">
            <w:pPr>
              <w:spacing w:line="240" w:lineRule="auto"/>
              <w:jc w:val="center"/>
              <w:rPr>
                <w:bCs/>
                <w:iCs/>
                <w:sz w:val="16"/>
                <w:szCs w:val="16"/>
              </w:rPr>
            </w:pPr>
            <w:hyperlink w:anchor="_ENREF_26" w:tooltip="Barratt, 2005 #278" w:history="1">
              <w:r w:rsidR="00512D09" w:rsidRPr="0089197B">
                <w:rPr>
                  <w:bCs/>
                  <w:iCs/>
                  <w:sz w:val="16"/>
                  <w:szCs w:val="16"/>
                </w:rPr>
                <w:fldChar w:fldCharType="begin"/>
              </w:r>
              <w:r w:rsidR="00512D09">
                <w:rPr>
                  <w:bCs/>
                  <w:iCs/>
                  <w:sz w:val="16"/>
                  <w:szCs w:val="16"/>
                </w:rPr>
                <w:instrText xml:space="preserve"> ADDIN EN.CITE &lt;EndNote&gt;&lt;Cite&gt;&lt;Author&gt;Barratt&lt;/Author&gt;&lt;Year&gt;2005&lt;/Year&gt;&lt;RecNum&gt;278&lt;/RecNum&gt;&lt;DisplayText&gt;&lt;style face="superscript"&gt;26&lt;/style&gt;&lt;/DisplayText&gt;&lt;record&gt;&lt;rec-number&gt;278&lt;/rec-number&gt;&lt;foreign-keys&gt;&lt;key app="EN" db-id="5trrespwzsdr07efd5tx2w96x22re9s0fsdt"&gt;278&lt;/key&gt;&lt;/foreign-keys&gt;&lt;ref-type name="Journal Article"&gt;17&lt;/ref-type&gt;&lt;contributors&gt;&lt;authors&gt;&lt;author&gt;Barratt, Elizabeth&lt;/author&gt;&lt;author&gt;Bingham, Richard J.&lt;/author&gt;&lt;author&gt;Warner, Daniel J.&lt;/author&gt;&lt;author&gt;Laughton, Charles A.&lt;/author&gt;&lt;author&gt;Phillips, Simon E. V.&lt;/author&gt;&lt;author&gt;Homans, Steve W.&lt;/author&gt;&lt;/authors&gt;&lt;/contributors&gt;&lt;titles&gt;&lt;title&gt;Van der Waals Interactions Dominate Ligand−Protein Association in a Protein Binding Site Occluded from Solvent Water&lt;/title&gt;&lt;secondary-title&gt;J Am Chem Soc&lt;/secondary-title&gt;&lt;/titles&gt;&lt;periodical&gt;&lt;full-title&gt;J Am Chem Soc&lt;/full-title&gt;&lt;abbr-1&gt;Journal of the American Chemical Society&lt;/abbr-1&gt;&lt;/periodical&gt;&lt;pages&gt;11827-11834&lt;/pages&gt;&lt;volume&gt;127&lt;/volume&gt;&lt;number&gt;33&lt;/number&gt;&lt;dates&gt;&lt;year&gt;2005&lt;/year&gt;&lt;pub-dates&gt;&lt;date&gt;2005/08/01&lt;/date&gt;&lt;/pub-dates&gt;&lt;/dates&gt;&lt;publisher&gt;American Chemical Society&lt;/publisher&gt;&lt;isbn&gt;0002-7863&lt;/isbn&gt;&lt;urls&gt;&lt;related-urls&gt;&lt;url&gt;http://dx.doi.org/10.1021/ja0527525&lt;/url&gt;&lt;/related-urls&gt;&lt;/urls&gt;&lt;electronic-resource-num&gt;10.1021/ja0527525&lt;/electronic-resource-num&gt;&lt;access-date&gt;2013/11/22&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26</w:t>
              </w:r>
              <w:r w:rsidR="00512D09" w:rsidRPr="0089197B">
                <w:rPr>
                  <w:sz w:val="16"/>
                  <w:szCs w:val="16"/>
                </w:rPr>
                <w:fldChar w:fldCharType="end"/>
              </w:r>
            </w:hyperlink>
          </w:p>
        </w:tc>
      </w:tr>
      <w:tr w:rsidR="00312304" w:rsidRPr="00AC0E2A" w:rsidTr="00DA1FF1">
        <w:trPr>
          <w:cantSplit/>
          <w:trHeight w:val="389"/>
        </w:trPr>
        <w:tc>
          <w:tcPr>
            <w:tcW w:w="421"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IBMP</w:t>
            </w:r>
          </w:p>
        </w:tc>
        <w:tc>
          <w:tcPr>
            <w:tcW w:w="1417"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MUP-I Y120F (298 K) D</w:t>
            </w:r>
            <w:r w:rsidRPr="0089197B">
              <w:rPr>
                <w:bCs/>
                <w:iCs/>
                <w:sz w:val="16"/>
                <w:szCs w:val="16"/>
                <w:vertAlign w:val="subscript"/>
              </w:rPr>
              <w:t>2</w:t>
            </w:r>
            <w:r w:rsidRPr="0089197B">
              <w:rPr>
                <w:bCs/>
                <w:iCs/>
                <w:sz w:val="16"/>
                <w:szCs w:val="16"/>
              </w:rPr>
              <w:t>O</w:t>
            </w:r>
          </w:p>
        </w:tc>
        <w:tc>
          <w:tcPr>
            <w:tcW w:w="2052"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NR</w:t>
            </w:r>
          </w:p>
        </w:tc>
        <w:tc>
          <w:tcPr>
            <w:tcW w:w="1134"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NR</w:t>
            </w:r>
          </w:p>
        </w:tc>
        <w:tc>
          <w:tcPr>
            <w:tcW w:w="1208" w:type="dxa"/>
            <w:tcBorders>
              <w:bottom w:val="single" w:sz="4" w:space="0" w:color="auto"/>
            </w:tcBorders>
          </w:tcPr>
          <w:p w:rsidR="00AC0E2A" w:rsidRPr="0089197B" w:rsidRDefault="00AC0E2A" w:rsidP="00312304">
            <w:pPr>
              <w:spacing w:line="240" w:lineRule="auto"/>
              <w:jc w:val="center"/>
              <w:rPr>
                <w:bCs/>
                <w:iCs/>
                <w:sz w:val="16"/>
                <w:szCs w:val="16"/>
              </w:rPr>
            </w:pPr>
            <w:r w:rsidRPr="0089197B">
              <w:rPr>
                <w:bCs/>
                <w:iCs/>
                <w:sz w:val="16"/>
                <w:szCs w:val="16"/>
              </w:rPr>
              <w:t>33.82</w:t>
            </w:r>
          </w:p>
        </w:tc>
        <w:tc>
          <w:tcPr>
            <w:tcW w:w="993"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34.21</w:t>
            </w:r>
          </w:p>
        </w:tc>
        <w:tc>
          <w:tcPr>
            <w:tcW w:w="1134"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-0.4</w:t>
            </w:r>
          </w:p>
        </w:tc>
        <w:tc>
          <w:tcPr>
            <w:tcW w:w="524" w:type="dxa"/>
            <w:tcBorders>
              <w:bottom w:val="single" w:sz="4" w:space="0" w:color="auto"/>
            </w:tcBorders>
          </w:tcPr>
          <w:p w:rsidR="00AC0E2A" w:rsidRPr="0089197B" w:rsidRDefault="00040F10" w:rsidP="00512D09">
            <w:pPr>
              <w:spacing w:line="240" w:lineRule="auto"/>
              <w:jc w:val="center"/>
              <w:rPr>
                <w:bCs/>
                <w:iCs/>
                <w:sz w:val="16"/>
                <w:szCs w:val="16"/>
              </w:rPr>
            </w:pPr>
            <w:hyperlink w:anchor="_ENREF_26" w:tooltip="Barratt, 2005 #278" w:history="1">
              <w:r w:rsidR="00512D09" w:rsidRPr="0089197B">
                <w:rPr>
                  <w:bCs/>
                  <w:iCs/>
                  <w:sz w:val="16"/>
                  <w:szCs w:val="16"/>
                </w:rPr>
                <w:fldChar w:fldCharType="begin"/>
              </w:r>
              <w:r w:rsidR="00512D09">
                <w:rPr>
                  <w:bCs/>
                  <w:iCs/>
                  <w:sz w:val="16"/>
                  <w:szCs w:val="16"/>
                </w:rPr>
                <w:instrText xml:space="preserve"> ADDIN EN.CITE &lt;EndNote&gt;&lt;Cite&gt;&lt;Author&gt;Barratt&lt;/Author&gt;&lt;Year&gt;2005&lt;/Year&gt;&lt;RecNum&gt;278&lt;/RecNum&gt;&lt;DisplayText&gt;&lt;style face="superscript"&gt;26&lt;/style&gt;&lt;/DisplayText&gt;&lt;record&gt;&lt;rec-number&gt;278&lt;/rec-number&gt;&lt;foreign-keys&gt;&lt;key app="EN" db-id="5trrespwzsdr07efd5tx2w96x22re9s0fsdt"&gt;278&lt;/key&gt;&lt;/foreign-keys&gt;&lt;ref-type name="Journal Article"&gt;17&lt;/ref-type&gt;&lt;contributors&gt;&lt;authors&gt;&lt;author&gt;Barratt, Elizabeth&lt;/author&gt;&lt;author&gt;Bingham, Richard J.&lt;/author&gt;&lt;author&gt;Warner, Daniel J.&lt;/author&gt;&lt;author&gt;Laughton, Charles A.&lt;/author&gt;&lt;author&gt;Phillips, Simon E. V.&lt;/author&gt;&lt;author&gt;Homans, Steve W.&lt;/author&gt;&lt;/authors&gt;&lt;/contributors&gt;&lt;titles&gt;&lt;title&gt;Van der Waals Interactions Dominate Ligand−Protein Association in a Protein Binding Site Occluded from Solvent Water&lt;/title&gt;&lt;secondary-title&gt;J Am Chem Soc&lt;/secondary-title&gt;&lt;/titles&gt;&lt;periodical&gt;&lt;full-title&gt;J Am Chem Soc&lt;/full-title&gt;&lt;abbr-1&gt;Journal of the American Chemical Society&lt;/abbr-1&gt;&lt;/periodical&gt;&lt;pages&gt;11827-11834&lt;/pages&gt;&lt;volume&gt;127&lt;/volume&gt;&lt;number&gt;33&lt;/number&gt;&lt;dates&gt;&lt;year&gt;2005&lt;/year&gt;&lt;pub-dates&gt;&lt;date&gt;2005/08/01&lt;/date&gt;&lt;/pub-dates&gt;&lt;/dates&gt;&lt;publisher&gt;American Chemical Society&lt;/publisher&gt;&lt;isbn&gt;0002-7863&lt;/isbn&gt;&lt;urls&gt;&lt;related-urls&gt;&lt;url&gt;http://dx.doi.org/10.1021/ja0527525&lt;/url&gt;&lt;/related-urls&gt;&lt;/urls&gt;&lt;electronic-resource-num&gt;10.1021/ja0527525&lt;/electronic-resource-num&gt;&lt;access-date&gt;2013/11/22&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26</w:t>
              </w:r>
              <w:r w:rsidR="00512D09" w:rsidRPr="0089197B">
                <w:rPr>
                  <w:sz w:val="16"/>
                  <w:szCs w:val="16"/>
                </w:rPr>
                <w:fldChar w:fldCharType="end"/>
              </w:r>
            </w:hyperlink>
          </w:p>
        </w:tc>
      </w:tr>
    </w:tbl>
    <w:p w:rsidR="0089197B" w:rsidRPr="00A626CE" w:rsidRDefault="0089197B" w:rsidP="0089197B">
      <w:pPr>
        <w:spacing w:line="240" w:lineRule="auto"/>
        <w:rPr>
          <w:sz w:val="16"/>
          <w:szCs w:val="16"/>
        </w:rPr>
      </w:pPr>
    </w:p>
    <w:tbl>
      <w:tblPr>
        <w:tblpPr w:leftFromText="180" w:rightFromText="180" w:vertAnchor="page" w:horzAnchor="margin" w:tblpY="2461"/>
        <w:tblW w:w="8215" w:type="dxa"/>
        <w:tblLayout w:type="fixed"/>
        <w:tblLook w:val="04A0" w:firstRow="1" w:lastRow="0" w:firstColumn="1" w:lastColumn="0" w:noHBand="0" w:noVBand="1"/>
      </w:tblPr>
      <w:tblGrid>
        <w:gridCol w:w="938"/>
        <w:gridCol w:w="1181"/>
        <w:gridCol w:w="1478"/>
        <w:gridCol w:w="268"/>
        <w:gridCol w:w="1345"/>
        <w:gridCol w:w="940"/>
        <w:gridCol w:w="807"/>
        <w:gridCol w:w="806"/>
        <w:gridCol w:w="452"/>
      </w:tblGrid>
      <w:tr w:rsidR="00312304" w:rsidRPr="0089197B" w:rsidTr="005549BB">
        <w:trPr>
          <w:trHeight w:val="1278"/>
        </w:trPr>
        <w:tc>
          <w:tcPr>
            <w:tcW w:w="938" w:type="dxa"/>
            <w:tcBorders>
              <w:top w:val="single" w:sz="4" w:space="0" w:color="auto"/>
              <w:bottom w:val="single" w:sz="4" w:space="0" w:color="auto"/>
            </w:tcBorders>
          </w:tcPr>
          <w:p w:rsidR="00312304" w:rsidRPr="0089197B" w:rsidRDefault="00312304" w:rsidP="005549BB">
            <w:pPr>
              <w:spacing w:line="240" w:lineRule="auto"/>
              <w:ind w:left="-534" w:firstLine="534"/>
              <w:jc w:val="center"/>
              <w:rPr>
                <w:bCs/>
                <w:iCs/>
                <w:sz w:val="16"/>
                <w:szCs w:val="16"/>
              </w:rPr>
            </w:pPr>
            <w:r w:rsidRPr="0089197B">
              <w:rPr>
                <w:b/>
                <w:bCs/>
                <w:iCs/>
                <w:sz w:val="16"/>
                <w:szCs w:val="16"/>
              </w:rPr>
              <w:lastRenderedPageBreak/>
              <w:t>Drug</w:t>
            </w:r>
          </w:p>
        </w:tc>
        <w:tc>
          <w:tcPr>
            <w:tcW w:w="1181" w:type="dxa"/>
            <w:tcBorders>
              <w:top w:val="single" w:sz="4" w:space="0" w:color="auto"/>
              <w:bottom w:val="single" w:sz="4" w:space="0" w:color="auto"/>
            </w:tcBorders>
          </w:tcPr>
          <w:p w:rsidR="00312304" w:rsidRPr="0089197B" w:rsidRDefault="00312304" w:rsidP="005549BB">
            <w:pPr>
              <w:spacing w:line="240" w:lineRule="auto"/>
              <w:jc w:val="center"/>
              <w:rPr>
                <w:bCs/>
                <w:iCs/>
                <w:sz w:val="16"/>
                <w:szCs w:val="16"/>
              </w:rPr>
            </w:pPr>
            <w:r w:rsidRPr="0089197B">
              <w:rPr>
                <w:b/>
                <w:bCs/>
                <w:iCs/>
                <w:sz w:val="16"/>
                <w:szCs w:val="16"/>
              </w:rPr>
              <w:t>Protein</w:t>
            </w:r>
          </w:p>
        </w:tc>
        <w:tc>
          <w:tcPr>
            <w:tcW w:w="1478" w:type="dxa"/>
            <w:tcBorders>
              <w:top w:val="single" w:sz="4" w:space="0" w:color="auto"/>
              <w:bottom w:val="single" w:sz="4" w:space="0" w:color="auto"/>
            </w:tcBorders>
          </w:tcPr>
          <w:p w:rsidR="00312304" w:rsidRPr="0089197B" w:rsidRDefault="00312304" w:rsidP="005549BB">
            <w:pPr>
              <w:spacing w:line="240" w:lineRule="auto"/>
              <w:jc w:val="center"/>
              <w:rPr>
                <w:b/>
                <w:bCs/>
                <w:iCs/>
                <w:sz w:val="16"/>
                <w:szCs w:val="16"/>
              </w:rPr>
            </w:pPr>
            <w:r w:rsidRPr="0089197B">
              <w:rPr>
                <w:b/>
                <w:bCs/>
                <w:iCs/>
                <w:sz w:val="16"/>
                <w:szCs w:val="16"/>
              </w:rPr>
              <w:t>Solvation (Number of water molecules in the crystallographic complex)</w:t>
            </w:r>
          </w:p>
        </w:tc>
        <w:tc>
          <w:tcPr>
            <w:tcW w:w="1613" w:type="dxa"/>
            <w:gridSpan w:val="2"/>
            <w:tcBorders>
              <w:top w:val="single" w:sz="4" w:space="0" w:color="auto"/>
              <w:bottom w:val="single" w:sz="4" w:space="0" w:color="auto"/>
            </w:tcBorders>
          </w:tcPr>
          <w:p w:rsidR="00312304" w:rsidRPr="0089197B" w:rsidRDefault="00312304" w:rsidP="006F2757">
            <w:pPr>
              <w:spacing w:line="240" w:lineRule="auto"/>
              <w:jc w:val="center"/>
              <w:rPr>
                <w:b/>
                <w:bCs/>
                <w:iCs/>
                <w:sz w:val="16"/>
                <w:szCs w:val="16"/>
              </w:rPr>
            </w:pPr>
            <w:r>
              <w:rPr>
                <w:b/>
                <w:bCs/>
                <w:iCs/>
                <w:sz w:val="16"/>
                <w:szCs w:val="16"/>
              </w:rPr>
              <w:t>- ∆C</w:t>
            </w:r>
            <w:r w:rsidRPr="00312304">
              <w:rPr>
                <w:b/>
                <w:bCs/>
                <w:iCs/>
                <w:sz w:val="16"/>
                <w:szCs w:val="16"/>
                <w:vertAlign w:val="subscript"/>
              </w:rPr>
              <w:t>p</w:t>
            </w:r>
          </w:p>
          <w:p w:rsidR="00312304" w:rsidRPr="0089197B" w:rsidRDefault="00312304" w:rsidP="006F2757">
            <w:pPr>
              <w:spacing w:line="240" w:lineRule="auto"/>
              <w:jc w:val="center"/>
              <w:rPr>
                <w:b/>
                <w:bCs/>
                <w:iCs/>
                <w:sz w:val="16"/>
                <w:szCs w:val="16"/>
              </w:rPr>
            </w:pPr>
            <w:r>
              <w:rPr>
                <w:b/>
                <w:bCs/>
                <w:iCs/>
                <w:sz w:val="16"/>
                <w:szCs w:val="16"/>
              </w:rPr>
              <w:t>(J/</w:t>
            </w:r>
            <w:r w:rsidR="007979BA">
              <w:rPr>
                <w:b/>
                <w:bCs/>
                <w:iCs/>
                <w:sz w:val="16"/>
                <w:szCs w:val="16"/>
              </w:rPr>
              <w:t>(</w:t>
            </w:r>
            <w:r w:rsidRPr="0089197B">
              <w:rPr>
                <w:b/>
                <w:bCs/>
                <w:iCs/>
                <w:sz w:val="16"/>
                <w:szCs w:val="16"/>
              </w:rPr>
              <w:t>mol</w:t>
            </w:r>
            <w:r>
              <w:rPr>
                <w:b/>
                <w:bCs/>
                <w:iCs/>
                <w:sz w:val="16"/>
                <w:szCs w:val="16"/>
                <w:vertAlign w:val="superscript"/>
              </w:rPr>
              <w:t>∙</w:t>
            </w:r>
            <w:r w:rsidRPr="0089197B">
              <w:rPr>
                <w:b/>
                <w:bCs/>
                <w:iCs/>
                <w:sz w:val="16"/>
                <w:szCs w:val="16"/>
              </w:rPr>
              <w:t>K</w:t>
            </w:r>
            <w:r w:rsidR="007979BA">
              <w:rPr>
                <w:b/>
                <w:bCs/>
                <w:iCs/>
                <w:sz w:val="16"/>
                <w:szCs w:val="16"/>
              </w:rPr>
              <w:t>)</w:t>
            </w:r>
            <w:r w:rsidRPr="0089197B">
              <w:rPr>
                <w:b/>
                <w:bCs/>
                <w:iCs/>
                <w:sz w:val="16"/>
                <w:szCs w:val="16"/>
              </w:rPr>
              <w:t>)</w:t>
            </w:r>
          </w:p>
        </w:tc>
        <w:tc>
          <w:tcPr>
            <w:tcW w:w="940" w:type="dxa"/>
            <w:tcBorders>
              <w:top w:val="single" w:sz="4" w:space="0" w:color="auto"/>
              <w:bottom w:val="single" w:sz="4" w:space="0" w:color="auto"/>
            </w:tcBorders>
          </w:tcPr>
          <w:p w:rsidR="00312304" w:rsidRDefault="00312304" w:rsidP="006F2757">
            <w:pPr>
              <w:spacing w:line="240" w:lineRule="auto"/>
              <w:jc w:val="center"/>
              <w:rPr>
                <w:b/>
                <w:bCs/>
                <w:iCs/>
                <w:sz w:val="16"/>
                <w:szCs w:val="16"/>
              </w:rPr>
            </w:pPr>
            <w:r w:rsidRPr="00312304">
              <w:rPr>
                <w:b/>
                <w:bCs/>
                <w:iCs/>
                <w:sz w:val="16"/>
                <w:szCs w:val="16"/>
              </w:rPr>
              <w:t>-∆G</w:t>
            </w:r>
          </w:p>
          <w:p w:rsidR="00312304" w:rsidRPr="00312304" w:rsidRDefault="00312304" w:rsidP="006F2757">
            <w:pPr>
              <w:spacing w:line="240" w:lineRule="auto"/>
              <w:jc w:val="center"/>
              <w:rPr>
                <w:b/>
                <w:bCs/>
                <w:iCs/>
                <w:sz w:val="16"/>
                <w:szCs w:val="16"/>
              </w:rPr>
            </w:pPr>
            <w:r w:rsidRPr="00312304">
              <w:rPr>
                <w:b/>
                <w:bCs/>
                <w:iCs/>
                <w:sz w:val="16"/>
                <w:szCs w:val="16"/>
              </w:rPr>
              <w:t>(kJ/mol)</w:t>
            </w:r>
          </w:p>
        </w:tc>
        <w:tc>
          <w:tcPr>
            <w:tcW w:w="807" w:type="dxa"/>
            <w:tcBorders>
              <w:top w:val="single" w:sz="4" w:space="0" w:color="auto"/>
              <w:bottom w:val="single" w:sz="4" w:space="0" w:color="auto"/>
            </w:tcBorders>
          </w:tcPr>
          <w:p w:rsidR="00312304" w:rsidRDefault="00312304" w:rsidP="006F2757">
            <w:pPr>
              <w:spacing w:line="240" w:lineRule="auto"/>
              <w:jc w:val="center"/>
              <w:rPr>
                <w:b/>
                <w:bCs/>
                <w:iCs/>
                <w:sz w:val="16"/>
                <w:szCs w:val="16"/>
              </w:rPr>
            </w:pPr>
            <w:r>
              <w:rPr>
                <w:b/>
                <w:bCs/>
                <w:iCs/>
                <w:sz w:val="16"/>
                <w:szCs w:val="16"/>
              </w:rPr>
              <w:t>-∆H</w:t>
            </w:r>
          </w:p>
          <w:p w:rsidR="00312304" w:rsidRPr="0089197B" w:rsidRDefault="00312304" w:rsidP="006F2757">
            <w:pPr>
              <w:spacing w:line="240" w:lineRule="auto"/>
              <w:jc w:val="center"/>
              <w:rPr>
                <w:b/>
                <w:bCs/>
                <w:iCs/>
                <w:sz w:val="16"/>
                <w:szCs w:val="16"/>
              </w:rPr>
            </w:pPr>
            <w:r w:rsidRPr="0089197B">
              <w:rPr>
                <w:b/>
                <w:bCs/>
                <w:iCs/>
                <w:sz w:val="16"/>
                <w:szCs w:val="16"/>
              </w:rPr>
              <w:t>(kJ/mol)</w:t>
            </w:r>
          </w:p>
        </w:tc>
        <w:tc>
          <w:tcPr>
            <w:tcW w:w="806" w:type="dxa"/>
            <w:tcBorders>
              <w:top w:val="single" w:sz="4" w:space="0" w:color="auto"/>
              <w:bottom w:val="single" w:sz="4" w:space="0" w:color="auto"/>
            </w:tcBorders>
          </w:tcPr>
          <w:p w:rsidR="00312304" w:rsidRDefault="00312304" w:rsidP="006F2757">
            <w:pPr>
              <w:spacing w:line="240" w:lineRule="auto"/>
              <w:jc w:val="center"/>
              <w:rPr>
                <w:b/>
                <w:bCs/>
                <w:iCs/>
                <w:sz w:val="16"/>
                <w:szCs w:val="16"/>
              </w:rPr>
            </w:pPr>
            <w:r>
              <w:rPr>
                <w:b/>
                <w:bCs/>
                <w:iCs/>
                <w:sz w:val="16"/>
                <w:szCs w:val="16"/>
              </w:rPr>
              <w:t>T∆S</w:t>
            </w:r>
          </w:p>
          <w:p w:rsidR="00312304" w:rsidRPr="0089197B" w:rsidRDefault="00312304" w:rsidP="006F2757">
            <w:pPr>
              <w:spacing w:line="240" w:lineRule="auto"/>
              <w:jc w:val="center"/>
              <w:rPr>
                <w:b/>
                <w:bCs/>
                <w:iCs/>
                <w:sz w:val="16"/>
                <w:szCs w:val="16"/>
              </w:rPr>
            </w:pPr>
            <w:r w:rsidRPr="0089197B">
              <w:rPr>
                <w:b/>
                <w:bCs/>
                <w:iCs/>
                <w:sz w:val="16"/>
                <w:szCs w:val="16"/>
              </w:rPr>
              <w:t>(kJ/mol)</w:t>
            </w:r>
          </w:p>
        </w:tc>
        <w:tc>
          <w:tcPr>
            <w:tcW w:w="452" w:type="dxa"/>
            <w:tcBorders>
              <w:top w:val="single" w:sz="4" w:space="0" w:color="auto"/>
              <w:bottom w:val="single" w:sz="4" w:space="0" w:color="auto"/>
            </w:tcBorders>
          </w:tcPr>
          <w:p w:rsidR="00312304" w:rsidRPr="0089197B" w:rsidRDefault="00312304" w:rsidP="005549BB">
            <w:pPr>
              <w:spacing w:line="240" w:lineRule="auto"/>
              <w:jc w:val="center"/>
              <w:rPr>
                <w:b/>
                <w:bCs/>
                <w:iCs/>
                <w:sz w:val="16"/>
                <w:szCs w:val="16"/>
              </w:rPr>
            </w:pPr>
            <w:r w:rsidRPr="0089197B">
              <w:rPr>
                <w:b/>
                <w:bCs/>
                <w:iCs/>
                <w:sz w:val="16"/>
                <w:szCs w:val="16"/>
              </w:rPr>
              <w:t>Ref</w:t>
            </w:r>
          </w:p>
        </w:tc>
      </w:tr>
      <w:tr w:rsidR="005549BB" w:rsidRPr="0089197B" w:rsidTr="005549BB">
        <w:trPr>
          <w:trHeight w:val="520"/>
        </w:trPr>
        <w:tc>
          <w:tcPr>
            <w:tcW w:w="938" w:type="dxa"/>
            <w:tcBorders>
              <w:top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Histamine</w:t>
            </w:r>
          </w:p>
        </w:tc>
        <w:tc>
          <w:tcPr>
            <w:tcW w:w="1181" w:type="dxa"/>
            <w:tcBorders>
              <w:top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rRaHBP2(D24R) (278K)</w:t>
            </w:r>
          </w:p>
        </w:tc>
        <w:tc>
          <w:tcPr>
            <w:tcW w:w="1746" w:type="dxa"/>
            <w:gridSpan w:val="2"/>
            <w:tcBorders>
              <w:top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3</w:t>
            </w:r>
          </w:p>
        </w:tc>
        <w:tc>
          <w:tcPr>
            <w:tcW w:w="1345" w:type="dxa"/>
            <w:tcBorders>
              <w:top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780</w:t>
            </w:r>
          </w:p>
        </w:tc>
        <w:tc>
          <w:tcPr>
            <w:tcW w:w="940" w:type="dxa"/>
            <w:tcBorders>
              <w:top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49.2 </w:t>
            </w:r>
          </w:p>
        </w:tc>
        <w:tc>
          <w:tcPr>
            <w:tcW w:w="807" w:type="dxa"/>
            <w:tcBorders>
              <w:top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42.7</w:t>
            </w:r>
          </w:p>
        </w:tc>
        <w:tc>
          <w:tcPr>
            <w:tcW w:w="806" w:type="dxa"/>
            <w:tcBorders>
              <w:top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6.5 </w:t>
            </w:r>
          </w:p>
        </w:tc>
        <w:tc>
          <w:tcPr>
            <w:tcW w:w="452" w:type="dxa"/>
            <w:tcBorders>
              <w:top w:val="single" w:sz="4" w:space="0" w:color="auto"/>
            </w:tcBorders>
          </w:tcPr>
          <w:p w:rsidR="005549BB" w:rsidRPr="0089197B" w:rsidRDefault="00040F10" w:rsidP="00512D09">
            <w:pPr>
              <w:spacing w:line="240" w:lineRule="auto"/>
              <w:jc w:val="center"/>
              <w:rPr>
                <w:bCs/>
                <w:iCs/>
                <w:sz w:val="16"/>
                <w:szCs w:val="16"/>
              </w:rPr>
            </w:pPr>
            <w:hyperlink w:anchor="_ENREF_27" w:tooltip="Syme, 2010 #276" w:history="1">
              <w:r w:rsidR="00512D09" w:rsidRPr="0089197B">
                <w:rPr>
                  <w:bCs/>
                  <w:iCs/>
                  <w:sz w:val="16"/>
                  <w:szCs w:val="16"/>
                </w:rPr>
                <w:fldChar w:fldCharType="begin"/>
              </w:r>
              <w:r w:rsidR="00512D09">
                <w:rPr>
                  <w:bCs/>
                  <w:iCs/>
                  <w:sz w:val="16"/>
                  <w:szCs w:val="16"/>
                </w:rPr>
                <w:instrText xml:space="preserve"> ADDIN EN.CITE &lt;EndNote&gt;&lt;Cite&gt;&lt;Author&gt;Syme&lt;/Author&gt;&lt;Year&gt;2010&lt;/Year&gt;&lt;RecNum&gt;276&lt;/RecNum&gt;&lt;DisplayText&gt;&lt;style face="superscript"&gt;27&lt;/style&gt;&lt;/DisplayText&gt;&lt;record&gt;&lt;rec-number&gt;276&lt;/rec-number&gt;&lt;foreign-keys&gt;&lt;key app="EN" db-id="5trrespwzsdr07efd5tx2w96x22re9s0fsdt"&gt;276&lt;/key&gt;&lt;/foreign-keys&gt;&lt;ref-type name="Journal Article"&gt;17&lt;/ref-type&gt;&lt;contributors&gt;&lt;authors&gt;&lt;author&gt;Syme, Neil R.&lt;/author&gt;&lt;author&gt;Dennis, Caitriona&lt;/author&gt;&lt;author&gt;Bronowska, Agnieszka&lt;/author&gt;&lt;author&gt;Paesen, Guido C.&lt;/author&gt;&lt;author&gt;Homans, Steve W.&lt;/author&gt;&lt;/authors&gt;&lt;/contributors&gt;&lt;titles&gt;&lt;title&gt;Comparison of Entropic Contributions to Binding in a “Hydrophilic” versus “Hydrophobic” Ligand−Protein Interaction&lt;/title&gt;&lt;secondary-title&gt;J Am Chem Soc&lt;/secondary-title&gt;&lt;/titles&gt;&lt;periodical&gt;&lt;full-title&gt;J Am Chem Soc&lt;/full-title&gt;&lt;abbr-1&gt;Journal of the American Chemical Society&lt;/abbr-1&gt;&lt;/periodical&gt;&lt;pages&gt;8682-8689&lt;/pages&gt;&lt;volume&gt;132&lt;/volume&gt;&lt;number&gt;25&lt;/number&gt;&lt;dates&gt;&lt;year&gt;2010&lt;/year&gt;&lt;pub-dates&gt;&lt;date&gt;2010/06/30&lt;/date&gt;&lt;/pub-dates&gt;&lt;/dates&gt;&lt;publisher&gt;American Chemical Society&lt;/publisher&gt;&lt;isbn&gt;0002-7863&lt;/isbn&gt;&lt;urls&gt;&lt;related-urls&gt;&lt;url&gt;http://dx.doi.org/10.1021/ja101362u&lt;/url&gt;&lt;/related-urls&gt;&lt;/urls&gt;&lt;electronic-resource-num&gt;10.1021/ja101362u&lt;/electronic-resource-num&gt;&lt;access-date&gt;2013/11/22&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27</w:t>
              </w:r>
              <w:r w:rsidR="00512D09" w:rsidRPr="0089197B">
                <w:rPr>
                  <w:sz w:val="16"/>
                  <w:szCs w:val="16"/>
                </w:rPr>
                <w:fldChar w:fldCharType="end"/>
              </w:r>
            </w:hyperlink>
          </w:p>
        </w:tc>
      </w:tr>
      <w:tr w:rsidR="005549BB" w:rsidRPr="0089197B" w:rsidTr="005549BB">
        <w:trPr>
          <w:trHeight w:val="520"/>
        </w:trPr>
        <w:tc>
          <w:tcPr>
            <w:tcW w:w="938" w:type="dxa"/>
          </w:tcPr>
          <w:p w:rsidR="005549BB" w:rsidRPr="0089197B" w:rsidRDefault="005549BB" w:rsidP="005549BB">
            <w:pPr>
              <w:spacing w:line="240" w:lineRule="auto"/>
              <w:jc w:val="center"/>
              <w:rPr>
                <w:bCs/>
                <w:iCs/>
                <w:sz w:val="16"/>
                <w:szCs w:val="16"/>
              </w:rPr>
            </w:pPr>
            <w:r w:rsidRPr="0089197B">
              <w:rPr>
                <w:bCs/>
                <w:iCs/>
                <w:sz w:val="16"/>
                <w:szCs w:val="16"/>
              </w:rPr>
              <w:t>Histamine</w:t>
            </w:r>
          </w:p>
        </w:tc>
        <w:tc>
          <w:tcPr>
            <w:tcW w:w="1181" w:type="dxa"/>
          </w:tcPr>
          <w:p w:rsidR="005549BB" w:rsidRPr="0089197B" w:rsidRDefault="005549BB" w:rsidP="005549BB">
            <w:pPr>
              <w:spacing w:line="240" w:lineRule="auto"/>
              <w:jc w:val="center"/>
              <w:rPr>
                <w:bCs/>
                <w:iCs/>
                <w:sz w:val="16"/>
                <w:szCs w:val="16"/>
              </w:rPr>
            </w:pPr>
            <w:r w:rsidRPr="0089197B">
              <w:rPr>
                <w:bCs/>
                <w:iCs/>
                <w:sz w:val="16"/>
                <w:szCs w:val="16"/>
              </w:rPr>
              <w:t>rRaHBP2(D24R) 288K</w:t>
            </w:r>
          </w:p>
        </w:tc>
        <w:tc>
          <w:tcPr>
            <w:tcW w:w="1746" w:type="dxa"/>
            <w:gridSpan w:val="2"/>
          </w:tcPr>
          <w:p w:rsidR="005549BB" w:rsidRPr="0089197B" w:rsidRDefault="005549BB" w:rsidP="005549BB">
            <w:pPr>
              <w:spacing w:line="240" w:lineRule="auto"/>
              <w:jc w:val="center"/>
              <w:rPr>
                <w:bCs/>
                <w:iCs/>
                <w:sz w:val="16"/>
                <w:szCs w:val="16"/>
              </w:rPr>
            </w:pPr>
            <w:r w:rsidRPr="0089197B">
              <w:rPr>
                <w:bCs/>
                <w:iCs/>
                <w:sz w:val="16"/>
                <w:szCs w:val="16"/>
              </w:rPr>
              <w:t>3</w:t>
            </w:r>
          </w:p>
        </w:tc>
        <w:tc>
          <w:tcPr>
            <w:tcW w:w="1345" w:type="dxa"/>
          </w:tcPr>
          <w:p w:rsidR="005549BB" w:rsidRPr="0089197B" w:rsidRDefault="005549BB" w:rsidP="005549BB">
            <w:pPr>
              <w:spacing w:line="240" w:lineRule="auto"/>
              <w:jc w:val="center"/>
              <w:rPr>
                <w:bCs/>
                <w:iCs/>
                <w:sz w:val="16"/>
                <w:szCs w:val="16"/>
              </w:rPr>
            </w:pPr>
            <w:r w:rsidRPr="0089197B">
              <w:rPr>
                <w:bCs/>
                <w:iCs/>
                <w:sz w:val="16"/>
                <w:szCs w:val="16"/>
              </w:rPr>
              <w:t>780</w:t>
            </w:r>
          </w:p>
        </w:tc>
        <w:tc>
          <w:tcPr>
            <w:tcW w:w="940" w:type="dxa"/>
          </w:tcPr>
          <w:p w:rsidR="005549BB" w:rsidRPr="0089197B" w:rsidRDefault="005549BB" w:rsidP="005549BB">
            <w:pPr>
              <w:spacing w:line="240" w:lineRule="auto"/>
              <w:jc w:val="center"/>
              <w:rPr>
                <w:bCs/>
                <w:iCs/>
                <w:sz w:val="16"/>
                <w:szCs w:val="16"/>
              </w:rPr>
            </w:pPr>
            <w:r w:rsidRPr="0089197B">
              <w:rPr>
                <w:bCs/>
                <w:iCs/>
                <w:sz w:val="16"/>
                <w:szCs w:val="16"/>
              </w:rPr>
              <w:t>48.8</w:t>
            </w:r>
          </w:p>
        </w:tc>
        <w:tc>
          <w:tcPr>
            <w:tcW w:w="807" w:type="dxa"/>
          </w:tcPr>
          <w:p w:rsidR="005549BB" w:rsidRPr="0089197B" w:rsidRDefault="005549BB" w:rsidP="005549BB">
            <w:pPr>
              <w:spacing w:line="240" w:lineRule="auto"/>
              <w:jc w:val="center"/>
              <w:rPr>
                <w:bCs/>
                <w:iCs/>
                <w:sz w:val="16"/>
                <w:szCs w:val="16"/>
              </w:rPr>
            </w:pPr>
            <w:r w:rsidRPr="0089197B">
              <w:rPr>
                <w:bCs/>
                <w:iCs/>
                <w:sz w:val="16"/>
                <w:szCs w:val="16"/>
              </w:rPr>
              <w:t>48.3</w:t>
            </w:r>
          </w:p>
        </w:tc>
        <w:tc>
          <w:tcPr>
            <w:tcW w:w="806" w:type="dxa"/>
          </w:tcPr>
          <w:p w:rsidR="005549BB" w:rsidRPr="0089197B" w:rsidRDefault="005549BB" w:rsidP="005549BB">
            <w:pPr>
              <w:spacing w:line="240" w:lineRule="auto"/>
              <w:jc w:val="center"/>
              <w:rPr>
                <w:bCs/>
                <w:iCs/>
                <w:sz w:val="16"/>
                <w:szCs w:val="16"/>
              </w:rPr>
            </w:pPr>
            <w:r w:rsidRPr="0089197B">
              <w:rPr>
                <w:bCs/>
                <w:iCs/>
                <w:sz w:val="16"/>
                <w:szCs w:val="16"/>
              </w:rPr>
              <w:t>0.4</w:t>
            </w:r>
          </w:p>
        </w:tc>
        <w:tc>
          <w:tcPr>
            <w:tcW w:w="452" w:type="dxa"/>
          </w:tcPr>
          <w:p w:rsidR="005549BB" w:rsidRPr="0089197B" w:rsidRDefault="00040F10" w:rsidP="00512D09">
            <w:pPr>
              <w:spacing w:line="240" w:lineRule="auto"/>
              <w:jc w:val="center"/>
              <w:rPr>
                <w:bCs/>
                <w:iCs/>
                <w:sz w:val="16"/>
                <w:szCs w:val="16"/>
              </w:rPr>
            </w:pPr>
            <w:hyperlink w:anchor="_ENREF_27" w:tooltip="Syme, 2010 #276" w:history="1">
              <w:r w:rsidR="00512D09" w:rsidRPr="0089197B">
                <w:rPr>
                  <w:bCs/>
                  <w:iCs/>
                  <w:sz w:val="16"/>
                  <w:szCs w:val="16"/>
                </w:rPr>
                <w:fldChar w:fldCharType="begin">
                  <w:fldData xml:space="preserve">PEVuZE5vdGU+PENpdGU+PEF1dGhvcj5TeW1lPC9BdXRob3I+PFllYXI+MjAxMDwvWWVhcj48UmVj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</w:fldData>
                </w:fldChar>
              </w:r>
              <w:r w:rsidR="00512D09">
                <w:rPr>
                  <w:bCs/>
                  <w:iCs/>
                  <w:sz w:val="16"/>
                  <w:szCs w:val="16"/>
                </w:rPr>
                <w:instrText xml:space="preserve"> ADDIN EN.CITE </w:instrText>
              </w:r>
              <w:r w:rsidR="00512D09">
                <w:rPr>
                  <w:bCs/>
                  <w:iCs/>
                  <w:sz w:val="16"/>
                  <w:szCs w:val="16"/>
                </w:rPr>
                <w:fldChar w:fldCharType="begin">
                  <w:fldData xml:space="preserve">PEVuZE5vdGU+PENpdGU+PEF1dGhvcj5TeW1lPC9BdXRob3I+PFllYXI+MjAxMDwvWWVhcj48UmVj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</w:fldData>
                </w:fldChar>
              </w:r>
              <w:r w:rsidR="00512D09">
                <w:rPr>
                  <w:bCs/>
                  <w:iCs/>
                  <w:sz w:val="16"/>
                  <w:szCs w:val="16"/>
                </w:rPr>
                <w:instrText xml:space="preserve"> ADDIN EN.CITE.DATA </w:instrText>
              </w:r>
              <w:r w:rsidR="00512D09">
                <w:rPr>
                  <w:bCs/>
                  <w:iCs/>
                  <w:sz w:val="16"/>
                  <w:szCs w:val="16"/>
                </w:rPr>
              </w:r>
              <w:r w:rsidR="00512D09">
                <w:rPr>
                  <w:bCs/>
                  <w:iCs/>
                  <w:sz w:val="16"/>
                  <w:szCs w:val="16"/>
                </w:rPr>
                <w:fldChar w:fldCharType="end"/>
              </w:r>
              <w:r w:rsidR="00512D09" w:rsidRPr="0089197B">
                <w:rPr>
                  <w:bCs/>
                  <w:iCs/>
                  <w:sz w:val="16"/>
                  <w:szCs w:val="16"/>
                </w:rPr>
              </w:r>
              <w:r w:rsidR="00512D09" w:rsidRPr="0089197B">
                <w:rPr>
                  <w:bCs/>
                  <w:iCs/>
                  <w:sz w:val="16"/>
                  <w:szCs w:val="16"/>
                </w:rPr>
                <w:fldChar w:fldCharType="separate"/>
              </w:r>
              <w:r w:rsidR="00512D09" w:rsidRPr="00F04E2C">
                <w:rPr>
                  <w:bCs/>
                  <w:iCs/>
                  <w:noProof/>
                  <w:sz w:val="16"/>
                  <w:szCs w:val="16"/>
                  <w:vertAlign w:val="superscript"/>
                </w:rPr>
                <w:t>27</w:t>
              </w:r>
              <w:r w:rsidR="00512D09" w:rsidRPr="0089197B">
                <w:rPr>
                  <w:sz w:val="16"/>
                  <w:szCs w:val="16"/>
                </w:rPr>
                <w:fldChar w:fldCharType="end"/>
              </w:r>
            </w:hyperlink>
          </w:p>
        </w:tc>
      </w:tr>
      <w:tr w:rsidR="005549BB" w:rsidRPr="0089197B" w:rsidTr="005549BB">
        <w:trPr>
          <w:trHeight w:val="536"/>
        </w:trPr>
        <w:tc>
          <w:tcPr>
            <w:tcW w:w="938" w:type="dxa"/>
            <w:tcBorders>
              <w:bottom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Histamine</w:t>
            </w:r>
          </w:p>
        </w:tc>
        <w:tc>
          <w:tcPr>
            <w:tcW w:w="1181" w:type="dxa"/>
            <w:tcBorders>
              <w:bottom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rRaHBP2(D24R) 298K</w:t>
            </w:r>
          </w:p>
        </w:tc>
        <w:tc>
          <w:tcPr>
            <w:tcW w:w="1746" w:type="dxa"/>
            <w:gridSpan w:val="2"/>
            <w:tcBorders>
              <w:bottom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3</w:t>
            </w:r>
          </w:p>
        </w:tc>
        <w:tc>
          <w:tcPr>
            <w:tcW w:w="1345" w:type="dxa"/>
            <w:tcBorders>
              <w:bottom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780</w:t>
            </w:r>
          </w:p>
        </w:tc>
        <w:tc>
          <w:tcPr>
            <w:tcW w:w="940" w:type="dxa"/>
            <w:tcBorders>
              <w:bottom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49.1</w:t>
            </w:r>
          </w:p>
        </w:tc>
        <w:tc>
          <w:tcPr>
            <w:tcW w:w="807" w:type="dxa"/>
            <w:tcBorders>
              <w:bottom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58.3</w:t>
            </w:r>
          </w:p>
        </w:tc>
        <w:tc>
          <w:tcPr>
            <w:tcW w:w="806" w:type="dxa"/>
            <w:tcBorders>
              <w:bottom w:val="single" w:sz="4" w:space="0" w:color="auto"/>
            </w:tcBorders>
          </w:tcPr>
          <w:p w:rsidR="005549BB" w:rsidRPr="0089197B" w:rsidRDefault="005549BB" w:rsidP="005549BB">
            <w:pPr>
              <w:spacing w:line="240" w:lineRule="auto"/>
              <w:jc w:val="center"/>
              <w:rPr>
                <w:bCs/>
                <w:iCs/>
                <w:sz w:val="16"/>
                <w:szCs w:val="16"/>
              </w:rPr>
            </w:pPr>
            <w:r w:rsidRPr="0089197B">
              <w:rPr>
                <w:bCs/>
                <w:iCs/>
                <w:sz w:val="16"/>
                <w:szCs w:val="16"/>
              </w:rPr>
              <w:t>9.3</w:t>
            </w:r>
          </w:p>
        </w:tc>
        <w:tc>
          <w:tcPr>
            <w:tcW w:w="452" w:type="dxa"/>
            <w:tcBorders>
              <w:bottom w:val="single" w:sz="4" w:space="0" w:color="auto"/>
            </w:tcBorders>
          </w:tcPr>
          <w:p w:rsidR="005549BB" w:rsidRPr="0089197B" w:rsidRDefault="00040F10" w:rsidP="00512D09">
            <w:pPr>
              <w:spacing w:line="240" w:lineRule="auto"/>
              <w:jc w:val="center"/>
              <w:rPr>
                <w:bCs/>
                <w:iCs/>
                <w:sz w:val="16"/>
                <w:szCs w:val="16"/>
              </w:rPr>
            </w:pPr>
            <w:hyperlink w:anchor="_ENREF_27" w:tooltip="Syme, 2010 #276" w:history="1">
              <w:r w:rsidR="00512D09" w:rsidRPr="0089197B">
                <w:rPr>
                  <w:bCs/>
                  <w:iCs/>
                  <w:sz w:val="16"/>
                  <w:szCs w:val="16"/>
                </w:rPr>
                <w:fldChar w:fldCharType="begin"/>
              </w:r>
              <w:r w:rsidR="00512D09">
                <w:rPr>
                  <w:bCs/>
                  <w:iCs/>
                  <w:sz w:val="16"/>
                  <w:szCs w:val="16"/>
                </w:rPr>
                <w:instrText xml:space="preserve"> ADDIN EN.CITE &lt;EndNote&gt;&lt;Cite&gt;&lt;Author&gt;Syme&lt;/Author&gt;&lt;Year&gt;2010&lt;/Year&gt;&lt;RecNum&gt;276&lt;/RecNum&gt;&lt;DisplayText&gt;&lt;style face="superscript"&gt;27&lt;/style&gt;&lt;/DisplayText&gt;&lt;record&gt;&lt;rec-number&gt;276&lt;/rec-number&gt;&lt;foreign-keys&gt;&lt;key app="EN" db-id="5trrespwzsdr07efd5tx2w96x22re9s0fsdt"&gt;276&lt;/key&gt;&lt;/foreign-keys&gt;&lt;ref-type name="Journal Article"&gt;17&lt;/ref-type&gt;&lt;contributors&gt;&lt;authors&gt;&lt;author&gt;Syme, Neil R.&lt;/author&gt;&lt;author&gt;Dennis, Caitriona&lt;/author&gt;&lt;author&gt;Bronowska, Agnieszka&lt;/author&gt;&lt;author&gt;Paesen, Guido C.&lt;/author&gt;&lt;author&gt;Homans, Steve W.&lt;/author&gt;&lt;/authors&gt;&lt;/contributors&gt;&lt;titles&gt;&lt;title&gt;Comparison of Entropic Contributions to Binding in a “Hydrophilic” versus “Hydrophobic” Ligand−Protein Interaction&lt;/title&gt;&lt;secondary-title&gt;J Am Chem Soc&lt;/secondary-title&gt;&lt;/titles&gt;&lt;periodical&gt;&lt;full-title&gt;J Am Chem Soc&lt;/full-title&gt;&lt;abbr-1&gt;Journal of the American Chemical Society&lt;/abbr-1&gt;&lt;/periodical&gt;&lt;pages&gt;8682-8689&lt;/pages&gt;&lt;volume&gt;132&lt;/volume&gt;&lt;number&gt;25&lt;/number&gt;&lt;dates&gt;&lt;year&gt;2010&lt;/year&gt;&lt;pub-dates&gt;&lt;date&gt;2010/06/30&lt;/date&gt;&lt;/pub-dates&gt;&lt;/dates&gt;&lt;publisher&gt;American Chemical Society&lt;/publisher&gt;&lt;isbn&gt;0002-7863&lt;/isbn&gt;&lt;urls&gt;&lt;related-urls&gt;&lt;url&gt;http://dx.doi.org/10.1021/ja101362u&lt;/url&gt;&lt;/related-urls&gt;&lt;/urls&gt;&lt;electronic-resource-num&gt;10.1021/ja101362u&lt;/electronic-resource-num&gt;&lt;access-date&gt;2013/11/22&lt;/access-date&gt;&lt;/record&gt;&lt;/Cite&gt;&lt;/EndNote&gt;</w:instrText>
              </w:r>
              <w:r w:rsidR="00512D09" w:rsidRPr="0089197B">
                <w:rPr>
                  <w:bCs/>
                  <w:iCs/>
                  <w:sz w:val="16"/>
                  <w:szCs w:val="16"/>
                </w:rPr>
                <w:fldChar w:fldCharType="separate"/>
              </w:r>
              <w:r w:rsidR="00512D09" w:rsidRPr="00F04E2C">
                <w:rPr>
                  <w:bCs/>
                  <w:iCs/>
                  <w:noProof/>
                  <w:sz w:val="16"/>
                  <w:szCs w:val="16"/>
                  <w:vertAlign w:val="superscript"/>
                </w:rPr>
                <w:t>27</w:t>
              </w:r>
              <w:r w:rsidR="00512D09" w:rsidRPr="0089197B">
                <w:rPr>
                  <w:sz w:val="16"/>
                  <w:szCs w:val="16"/>
                </w:rPr>
                <w:fldChar w:fldCharType="end"/>
              </w:r>
            </w:hyperlink>
          </w:p>
        </w:tc>
      </w:tr>
    </w:tbl>
    <w:p w:rsidR="00AC0E2A" w:rsidRPr="005549BB" w:rsidRDefault="005549BB" w:rsidP="005549BB">
      <w:pPr>
        <w:spacing w:line="480" w:lineRule="auto"/>
        <w:jc w:val="center"/>
        <w:rPr>
          <w:b/>
          <w:color w:val="548DD4" w:themeColor="text2" w:themeTint="99"/>
          <w:sz w:val="16"/>
          <w:szCs w:val="16"/>
        </w:rPr>
      </w:pPr>
      <w:r w:rsidRPr="005549BB">
        <w:rPr>
          <w:b/>
          <w:color w:val="548DD4" w:themeColor="text2" w:themeTint="99"/>
          <w:sz w:val="16"/>
          <w:szCs w:val="16"/>
        </w:rPr>
        <w:t xml:space="preserve"> </w:t>
      </w:r>
      <w:bookmarkStart w:id="21" w:name="_Ref442802740"/>
      <w:r w:rsidR="000C43B9" w:rsidRPr="005549BB">
        <w:rPr>
          <w:b/>
          <w:color w:val="548DD4" w:themeColor="text2" w:themeTint="99"/>
          <w:sz w:val="16"/>
          <w:szCs w:val="16"/>
        </w:rPr>
        <w:t xml:space="preserve">Table </w:t>
      </w:r>
      <w:r w:rsidR="0075172E">
        <w:rPr>
          <w:b/>
          <w:color w:val="548DD4" w:themeColor="text2" w:themeTint="99"/>
          <w:sz w:val="16"/>
          <w:szCs w:val="16"/>
        </w:rPr>
        <w:fldChar w:fldCharType="begin"/>
      </w:r>
      <w:r w:rsidR="00E71593">
        <w:rPr>
          <w:b/>
          <w:color w:val="548DD4" w:themeColor="text2" w:themeTint="99"/>
          <w:sz w:val="16"/>
          <w:szCs w:val="16"/>
        </w:rPr>
        <w:instrText xml:space="preserve"> STYLEREF 1 \s </w:instrText>
      </w:r>
      <w:r w:rsidR="0075172E">
        <w:rPr>
          <w:b/>
          <w:color w:val="548DD4" w:themeColor="text2" w:themeTint="99"/>
          <w:sz w:val="16"/>
          <w:szCs w:val="16"/>
        </w:rPr>
        <w:fldChar w:fldCharType="separate"/>
      </w:r>
      <w:r w:rsidR="00E71593">
        <w:rPr>
          <w:b/>
          <w:noProof/>
          <w:color w:val="548DD4" w:themeColor="text2" w:themeTint="99"/>
          <w:sz w:val="16"/>
          <w:szCs w:val="16"/>
        </w:rPr>
        <w:t>1</w:t>
      </w:r>
      <w:r w:rsidR="0075172E">
        <w:rPr>
          <w:b/>
          <w:color w:val="548DD4" w:themeColor="text2" w:themeTint="99"/>
          <w:sz w:val="16"/>
          <w:szCs w:val="16"/>
        </w:rPr>
        <w:fldChar w:fldCharType="end"/>
      </w:r>
      <w:r w:rsidR="00E71593">
        <w:rPr>
          <w:b/>
          <w:color w:val="548DD4" w:themeColor="text2" w:themeTint="99"/>
          <w:sz w:val="16"/>
          <w:szCs w:val="16"/>
        </w:rPr>
        <w:t>.</w:t>
      </w:r>
      <w:r w:rsidR="0075172E">
        <w:rPr>
          <w:b/>
          <w:color w:val="548DD4" w:themeColor="text2" w:themeTint="99"/>
          <w:sz w:val="16"/>
          <w:szCs w:val="16"/>
        </w:rPr>
        <w:fldChar w:fldCharType="begin"/>
      </w:r>
      <w:r w:rsidR="00E71593">
        <w:rPr>
          <w:b/>
          <w:color w:val="548DD4" w:themeColor="text2" w:themeTint="99"/>
          <w:sz w:val="16"/>
          <w:szCs w:val="16"/>
        </w:rPr>
        <w:instrText xml:space="preserve"> SEQ Table \* ARABIC \s 1 </w:instrText>
      </w:r>
      <w:r w:rsidR="0075172E">
        <w:rPr>
          <w:b/>
          <w:color w:val="548DD4" w:themeColor="text2" w:themeTint="99"/>
          <w:sz w:val="16"/>
          <w:szCs w:val="16"/>
        </w:rPr>
        <w:fldChar w:fldCharType="separate"/>
      </w:r>
      <w:r w:rsidR="00E71593">
        <w:rPr>
          <w:b/>
          <w:noProof/>
          <w:color w:val="548DD4" w:themeColor="text2" w:themeTint="99"/>
          <w:sz w:val="16"/>
          <w:szCs w:val="16"/>
        </w:rPr>
        <w:t>3</w:t>
      </w:r>
      <w:r w:rsidR="0075172E">
        <w:rPr>
          <w:b/>
          <w:color w:val="548DD4" w:themeColor="text2" w:themeTint="99"/>
          <w:sz w:val="16"/>
          <w:szCs w:val="16"/>
        </w:rPr>
        <w:fldChar w:fldCharType="end"/>
      </w:r>
      <w:bookmarkEnd w:id="21"/>
      <w:r w:rsidR="00A626CE" w:rsidRPr="005549BB">
        <w:rPr>
          <w:b/>
          <w:color w:val="548DD4" w:themeColor="text2" w:themeTint="99"/>
          <w:sz w:val="16"/>
          <w:szCs w:val="16"/>
        </w:rPr>
        <w:t>:</w:t>
      </w:r>
      <w:r w:rsidR="000C43B9" w:rsidRPr="005549BB">
        <w:rPr>
          <w:b/>
          <w:color w:val="548DD4" w:themeColor="text2" w:themeTint="99"/>
          <w:sz w:val="16"/>
          <w:szCs w:val="16"/>
        </w:rPr>
        <w:t xml:space="preserve"> Drug, protein, the number of water molecules in the crystallographic complex, the specific heat capacity, Gibbs Free Energy of Binding, enthalpy of binding, entropy of binding and the respective reference.</w:t>
      </w:r>
    </w:p>
    <w:p w:rsidR="00AC0E2A" w:rsidRPr="00AC0E2A" w:rsidRDefault="00AC0E2A" w:rsidP="001D0B51">
      <w:pPr>
        <w:spacing w:line="480" w:lineRule="auto"/>
      </w:pPr>
    </w:p>
    <w:p w:rsidR="00AC0E2A" w:rsidRPr="005549BB" w:rsidRDefault="00AC0E2A" w:rsidP="005549BB">
      <w:pPr>
        <w:spacing w:line="480" w:lineRule="auto"/>
        <w:jc w:val="center"/>
        <w:rPr>
          <w:b/>
          <w:iCs/>
          <w:color w:val="548DD4" w:themeColor="text2" w:themeTint="99"/>
          <w:sz w:val="16"/>
          <w:szCs w:val="16"/>
        </w:rPr>
      </w:pPr>
      <w:bookmarkStart w:id="22" w:name="_Ref442862618"/>
      <w:r w:rsidRPr="005549BB">
        <w:rPr>
          <w:b/>
          <w:bCs/>
          <w:color w:val="548DD4" w:themeColor="text2" w:themeTint="99"/>
          <w:sz w:val="16"/>
          <w:szCs w:val="16"/>
        </w:rPr>
        <w:t xml:space="preserve">Table </w:t>
      </w:r>
      <w:r w:rsidR="0075172E">
        <w:rPr>
          <w:b/>
          <w:bCs/>
          <w:color w:val="548DD4" w:themeColor="text2" w:themeTint="99"/>
          <w:sz w:val="16"/>
          <w:szCs w:val="16"/>
        </w:rPr>
        <w:fldChar w:fldCharType="begin"/>
      </w:r>
      <w:r w:rsidR="00E71593">
        <w:rPr>
          <w:b/>
          <w:bCs/>
          <w:color w:val="548DD4" w:themeColor="text2" w:themeTint="99"/>
          <w:sz w:val="16"/>
          <w:szCs w:val="16"/>
        </w:rPr>
        <w:instrText xml:space="preserve"> STYLEREF 1 \s </w:instrText>
      </w:r>
      <w:r w:rsidR="0075172E">
        <w:rPr>
          <w:b/>
          <w:bCs/>
          <w:color w:val="548DD4" w:themeColor="text2" w:themeTint="99"/>
          <w:sz w:val="16"/>
          <w:szCs w:val="16"/>
        </w:rPr>
        <w:fldChar w:fldCharType="separate"/>
      </w:r>
      <w:r w:rsidR="00E71593">
        <w:rPr>
          <w:b/>
          <w:bCs/>
          <w:noProof/>
          <w:color w:val="548DD4" w:themeColor="text2" w:themeTint="99"/>
          <w:sz w:val="16"/>
          <w:szCs w:val="16"/>
        </w:rPr>
        <w:t>1</w:t>
      </w:r>
      <w:r w:rsidR="0075172E">
        <w:rPr>
          <w:b/>
          <w:bCs/>
          <w:color w:val="548DD4" w:themeColor="text2" w:themeTint="99"/>
          <w:sz w:val="16"/>
          <w:szCs w:val="16"/>
        </w:rPr>
        <w:fldChar w:fldCharType="end"/>
      </w:r>
      <w:r w:rsidR="00E71593">
        <w:rPr>
          <w:b/>
          <w:bCs/>
          <w:color w:val="548DD4" w:themeColor="text2" w:themeTint="99"/>
          <w:sz w:val="16"/>
          <w:szCs w:val="16"/>
        </w:rPr>
        <w:t>.</w:t>
      </w:r>
      <w:r w:rsidR="0075172E">
        <w:rPr>
          <w:b/>
          <w:bCs/>
          <w:color w:val="548DD4" w:themeColor="text2" w:themeTint="99"/>
          <w:sz w:val="16"/>
          <w:szCs w:val="16"/>
        </w:rPr>
        <w:fldChar w:fldCharType="begin"/>
      </w:r>
      <w:r w:rsidR="00E71593">
        <w:rPr>
          <w:b/>
          <w:bCs/>
          <w:color w:val="548DD4" w:themeColor="text2" w:themeTint="99"/>
          <w:sz w:val="16"/>
          <w:szCs w:val="16"/>
        </w:rPr>
        <w:instrText xml:space="preserve"> SEQ Table \* ARABIC \s 1 </w:instrText>
      </w:r>
      <w:r w:rsidR="0075172E">
        <w:rPr>
          <w:b/>
          <w:bCs/>
          <w:color w:val="548DD4" w:themeColor="text2" w:themeTint="99"/>
          <w:sz w:val="16"/>
          <w:szCs w:val="16"/>
        </w:rPr>
        <w:fldChar w:fldCharType="separate"/>
      </w:r>
      <w:r w:rsidR="00E71593">
        <w:rPr>
          <w:b/>
          <w:bCs/>
          <w:noProof/>
          <w:color w:val="548DD4" w:themeColor="text2" w:themeTint="99"/>
          <w:sz w:val="16"/>
          <w:szCs w:val="16"/>
        </w:rPr>
        <w:t>4</w:t>
      </w:r>
      <w:r w:rsidR="0075172E">
        <w:rPr>
          <w:b/>
          <w:bCs/>
          <w:color w:val="548DD4" w:themeColor="text2" w:themeTint="99"/>
          <w:sz w:val="16"/>
          <w:szCs w:val="16"/>
        </w:rPr>
        <w:fldChar w:fldCharType="end"/>
      </w:r>
      <w:bookmarkEnd w:id="22"/>
      <w:r w:rsidR="00604275" w:rsidRPr="005549BB">
        <w:rPr>
          <w:b/>
          <w:bCs/>
          <w:color w:val="548DD4" w:themeColor="text2" w:themeTint="99"/>
          <w:sz w:val="16"/>
          <w:szCs w:val="16"/>
        </w:rPr>
        <w:t>:</w:t>
      </w:r>
      <w:r w:rsidRPr="005549BB">
        <w:rPr>
          <w:b/>
          <w:bCs/>
          <w:color w:val="548DD4" w:themeColor="text2" w:themeTint="99"/>
          <w:sz w:val="16"/>
          <w:szCs w:val="16"/>
        </w:rPr>
        <w:t xml:space="preserve"> Drug, protein, the number of water molecules in the crystallographic complex, the specific heat capacity, Gibb’s Free Energy of Binding, enthalpy of binding, entropy of binding and the respective reference. NR = not reported</w:t>
      </w:r>
    </w:p>
    <w:tbl>
      <w:tblPr>
        <w:tblW w:w="8243" w:type="dxa"/>
        <w:jc w:val="center"/>
        <w:tblLayout w:type="fixed"/>
        <w:tblLook w:val="04A0" w:firstRow="1" w:lastRow="0" w:firstColumn="1" w:lastColumn="0" w:noHBand="0" w:noVBand="1"/>
      </w:tblPr>
      <w:tblGrid>
        <w:gridCol w:w="653"/>
        <w:gridCol w:w="1178"/>
        <w:gridCol w:w="1570"/>
        <w:gridCol w:w="1047"/>
        <w:gridCol w:w="1178"/>
        <w:gridCol w:w="1047"/>
        <w:gridCol w:w="1047"/>
        <w:gridCol w:w="523"/>
      </w:tblGrid>
      <w:tr w:rsidR="00312304" w:rsidRPr="0089197B" w:rsidTr="005A6624">
        <w:trPr>
          <w:cantSplit/>
          <w:trHeight w:val="1000"/>
          <w:jc w:val="center"/>
        </w:trPr>
        <w:tc>
          <w:tcPr>
            <w:tcW w:w="653" w:type="dxa"/>
            <w:tcBorders>
              <w:top w:val="single" w:sz="4" w:space="0" w:color="auto"/>
              <w:bottom w:val="single" w:sz="4" w:space="0" w:color="auto"/>
            </w:tcBorders>
          </w:tcPr>
          <w:p w:rsidR="00312304" w:rsidRPr="0089197B" w:rsidRDefault="00312304" w:rsidP="0089197B">
            <w:pPr>
              <w:spacing w:line="240" w:lineRule="auto"/>
              <w:jc w:val="center"/>
              <w:rPr>
                <w:b/>
                <w:bCs/>
                <w:iCs/>
                <w:sz w:val="16"/>
                <w:szCs w:val="16"/>
              </w:rPr>
            </w:pPr>
            <w:r w:rsidRPr="0089197B">
              <w:rPr>
                <w:b/>
                <w:bCs/>
                <w:iCs/>
                <w:sz w:val="16"/>
                <w:szCs w:val="16"/>
              </w:rPr>
              <w:t>Drug</w:t>
            </w:r>
          </w:p>
        </w:tc>
        <w:tc>
          <w:tcPr>
            <w:tcW w:w="1178" w:type="dxa"/>
            <w:tcBorders>
              <w:top w:val="single" w:sz="4" w:space="0" w:color="auto"/>
              <w:bottom w:val="single" w:sz="4" w:space="0" w:color="auto"/>
            </w:tcBorders>
          </w:tcPr>
          <w:p w:rsidR="00312304" w:rsidRPr="0089197B" w:rsidRDefault="00312304" w:rsidP="0089197B">
            <w:pPr>
              <w:spacing w:line="240" w:lineRule="auto"/>
              <w:jc w:val="center"/>
              <w:rPr>
                <w:b/>
                <w:bCs/>
                <w:iCs/>
                <w:sz w:val="16"/>
                <w:szCs w:val="16"/>
              </w:rPr>
            </w:pPr>
            <w:r w:rsidRPr="0089197B">
              <w:rPr>
                <w:b/>
                <w:bCs/>
                <w:iCs/>
                <w:sz w:val="16"/>
                <w:szCs w:val="16"/>
              </w:rPr>
              <w:t>Protein</w:t>
            </w:r>
          </w:p>
        </w:tc>
        <w:tc>
          <w:tcPr>
            <w:tcW w:w="1570" w:type="dxa"/>
            <w:tcBorders>
              <w:top w:val="single" w:sz="4" w:space="0" w:color="auto"/>
              <w:bottom w:val="single" w:sz="4" w:space="0" w:color="auto"/>
            </w:tcBorders>
          </w:tcPr>
          <w:p w:rsidR="00312304" w:rsidRPr="0089197B" w:rsidRDefault="00312304" w:rsidP="0089197B">
            <w:pPr>
              <w:spacing w:line="240" w:lineRule="auto"/>
              <w:jc w:val="center"/>
              <w:rPr>
                <w:b/>
                <w:bCs/>
                <w:iCs/>
                <w:sz w:val="16"/>
                <w:szCs w:val="16"/>
              </w:rPr>
            </w:pPr>
            <w:r w:rsidRPr="0089197B">
              <w:rPr>
                <w:b/>
                <w:bCs/>
                <w:iCs/>
                <w:sz w:val="16"/>
                <w:szCs w:val="16"/>
              </w:rPr>
              <w:t>Solvation (Number of water molecules in the crystallographic complex)</w:t>
            </w:r>
          </w:p>
        </w:tc>
        <w:tc>
          <w:tcPr>
            <w:tcW w:w="1047" w:type="dxa"/>
            <w:tcBorders>
              <w:top w:val="single" w:sz="4" w:space="0" w:color="auto"/>
              <w:bottom w:val="single" w:sz="4" w:space="0" w:color="auto"/>
            </w:tcBorders>
          </w:tcPr>
          <w:p w:rsidR="00312304" w:rsidRPr="0089197B" w:rsidRDefault="00312304" w:rsidP="006F2757">
            <w:pPr>
              <w:spacing w:line="240" w:lineRule="auto"/>
              <w:jc w:val="center"/>
              <w:rPr>
                <w:b/>
                <w:bCs/>
                <w:iCs/>
                <w:sz w:val="16"/>
                <w:szCs w:val="16"/>
              </w:rPr>
            </w:pPr>
            <w:r>
              <w:rPr>
                <w:b/>
                <w:bCs/>
                <w:iCs/>
                <w:sz w:val="16"/>
                <w:szCs w:val="16"/>
              </w:rPr>
              <w:t>- ∆C</w:t>
            </w:r>
            <w:r w:rsidRPr="00312304">
              <w:rPr>
                <w:b/>
                <w:bCs/>
                <w:iCs/>
                <w:sz w:val="16"/>
                <w:szCs w:val="16"/>
                <w:vertAlign w:val="subscript"/>
              </w:rPr>
              <w:t>p</w:t>
            </w:r>
          </w:p>
          <w:p w:rsidR="00312304" w:rsidRPr="0089197B" w:rsidRDefault="00312304" w:rsidP="006F2757">
            <w:pPr>
              <w:spacing w:line="240" w:lineRule="auto"/>
              <w:jc w:val="center"/>
              <w:rPr>
                <w:b/>
                <w:bCs/>
                <w:iCs/>
                <w:sz w:val="16"/>
                <w:szCs w:val="16"/>
              </w:rPr>
            </w:pPr>
            <w:r>
              <w:rPr>
                <w:b/>
                <w:bCs/>
                <w:iCs/>
                <w:sz w:val="16"/>
                <w:szCs w:val="16"/>
              </w:rPr>
              <w:t>(J/</w:t>
            </w:r>
            <w:r w:rsidR="007979BA">
              <w:rPr>
                <w:b/>
                <w:bCs/>
                <w:iCs/>
                <w:sz w:val="16"/>
                <w:szCs w:val="16"/>
              </w:rPr>
              <w:t>(</w:t>
            </w:r>
            <w:r w:rsidRPr="0089197B">
              <w:rPr>
                <w:b/>
                <w:bCs/>
                <w:iCs/>
                <w:sz w:val="16"/>
                <w:szCs w:val="16"/>
              </w:rPr>
              <w:t>mol</w:t>
            </w:r>
            <w:r>
              <w:rPr>
                <w:b/>
                <w:bCs/>
                <w:iCs/>
                <w:sz w:val="16"/>
                <w:szCs w:val="16"/>
                <w:vertAlign w:val="superscript"/>
              </w:rPr>
              <w:t>∙</w:t>
            </w:r>
            <w:r w:rsidRPr="0089197B">
              <w:rPr>
                <w:b/>
                <w:bCs/>
                <w:iCs/>
                <w:sz w:val="16"/>
                <w:szCs w:val="16"/>
              </w:rPr>
              <w:t>K</w:t>
            </w:r>
            <w:r w:rsidR="007979BA">
              <w:rPr>
                <w:b/>
                <w:bCs/>
                <w:iCs/>
                <w:sz w:val="16"/>
                <w:szCs w:val="16"/>
              </w:rPr>
              <w:t>)</w:t>
            </w:r>
            <w:r w:rsidRPr="0089197B">
              <w:rPr>
                <w:b/>
                <w:bCs/>
                <w:iCs/>
                <w:sz w:val="16"/>
                <w:szCs w:val="16"/>
              </w:rPr>
              <w:t>)</w:t>
            </w:r>
          </w:p>
        </w:tc>
        <w:tc>
          <w:tcPr>
            <w:tcW w:w="1178" w:type="dxa"/>
            <w:tcBorders>
              <w:top w:val="single" w:sz="4" w:space="0" w:color="auto"/>
              <w:bottom w:val="single" w:sz="4" w:space="0" w:color="auto"/>
            </w:tcBorders>
          </w:tcPr>
          <w:p w:rsidR="00312304" w:rsidRDefault="00312304" w:rsidP="006F2757">
            <w:pPr>
              <w:spacing w:line="240" w:lineRule="auto"/>
              <w:jc w:val="center"/>
              <w:rPr>
                <w:b/>
                <w:bCs/>
                <w:iCs/>
                <w:sz w:val="16"/>
                <w:szCs w:val="16"/>
              </w:rPr>
            </w:pPr>
            <w:r w:rsidRPr="00312304">
              <w:rPr>
                <w:b/>
                <w:bCs/>
                <w:iCs/>
                <w:sz w:val="16"/>
                <w:szCs w:val="16"/>
              </w:rPr>
              <w:t>-∆G</w:t>
            </w:r>
          </w:p>
          <w:p w:rsidR="00312304" w:rsidRPr="00312304" w:rsidRDefault="00312304" w:rsidP="006F2757">
            <w:pPr>
              <w:spacing w:line="240" w:lineRule="auto"/>
              <w:jc w:val="center"/>
              <w:rPr>
                <w:b/>
                <w:bCs/>
                <w:iCs/>
                <w:sz w:val="16"/>
                <w:szCs w:val="16"/>
              </w:rPr>
            </w:pPr>
            <w:r w:rsidRPr="00312304">
              <w:rPr>
                <w:b/>
                <w:bCs/>
                <w:iCs/>
                <w:sz w:val="16"/>
                <w:szCs w:val="16"/>
              </w:rPr>
              <w:t>(kJ/mol)</w:t>
            </w:r>
          </w:p>
        </w:tc>
        <w:tc>
          <w:tcPr>
            <w:tcW w:w="1047" w:type="dxa"/>
            <w:tcBorders>
              <w:top w:val="single" w:sz="4" w:space="0" w:color="auto"/>
              <w:bottom w:val="single" w:sz="4" w:space="0" w:color="auto"/>
            </w:tcBorders>
          </w:tcPr>
          <w:p w:rsidR="00312304" w:rsidRDefault="00312304" w:rsidP="006F2757">
            <w:pPr>
              <w:spacing w:line="240" w:lineRule="auto"/>
              <w:jc w:val="center"/>
              <w:rPr>
                <w:b/>
                <w:bCs/>
                <w:iCs/>
                <w:sz w:val="16"/>
                <w:szCs w:val="16"/>
              </w:rPr>
            </w:pPr>
            <w:r>
              <w:rPr>
                <w:b/>
                <w:bCs/>
                <w:iCs/>
                <w:sz w:val="16"/>
                <w:szCs w:val="16"/>
              </w:rPr>
              <w:t>-∆H</w:t>
            </w:r>
          </w:p>
          <w:p w:rsidR="00312304" w:rsidRPr="0089197B" w:rsidRDefault="00312304" w:rsidP="006F2757">
            <w:pPr>
              <w:spacing w:line="240" w:lineRule="auto"/>
              <w:jc w:val="center"/>
              <w:rPr>
                <w:b/>
                <w:bCs/>
                <w:iCs/>
                <w:sz w:val="16"/>
                <w:szCs w:val="16"/>
              </w:rPr>
            </w:pPr>
            <w:r w:rsidRPr="0089197B">
              <w:rPr>
                <w:b/>
                <w:bCs/>
                <w:iCs/>
                <w:sz w:val="16"/>
                <w:szCs w:val="16"/>
              </w:rPr>
              <w:t>(kJ/mol)</w:t>
            </w:r>
          </w:p>
        </w:tc>
        <w:tc>
          <w:tcPr>
            <w:tcW w:w="1047" w:type="dxa"/>
            <w:tcBorders>
              <w:top w:val="single" w:sz="4" w:space="0" w:color="auto"/>
              <w:bottom w:val="single" w:sz="4" w:space="0" w:color="auto"/>
            </w:tcBorders>
          </w:tcPr>
          <w:p w:rsidR="00312304" w:rsidRDefault="00312304" w:rsidP="006F2757">
            <w:pPr>
              <w:spacing w:line="240" w:lineRule="auto"/>
              <w:jc w:val="center"/>
              <w:rPr>
                <w:b/>
                <w:bCs/>
                <w:iCs/>
                <w:sz w:val="16"/>
                <w:szCs w:val="16"/>
              </w:rPr>
            </w:pPr>
            <w:r>
              <w:rPr>
                <w:b/>
                <w:bCs/>
                <w:iCs/>
                <w:sz w:val="16"/>
                <w:szCs w:val="16"/>
              </w:rPr>
              <w:t>T∆S</w:t>
            </w:r>
          </w:p>
          <w:p w:rsidR="00312304" w:rsidRPr="0089197B" w:rsidRDefault="00312304" w:rsidP="006F2757">
            <w:pPr>
              <w:spacing w:line="240" w:lineRule="auto"/>
              <w:jc w:val="center"/>
              <w:rPr>
                <w:b/>
                <w:bCs/>
                <w:iCs/>
                <w:sz w:val="16"/>
                <w:szCs w:val="16"/>
              </w:rPr>
            </w:pPr>
            <w:r w:rsidRPr="0089197B">
              <w:rPr>
                <w:b/>
                <w:bCs/>
                <w:iCs/>
                <w:sz w:val="16"/>
                <w:szCs w:val="16"/>
              </w:rPr>
              <w:t>(kJ/mol)</w:t>
            </w:r>
          </w:p>
        </w:tc>
        <w:tc>
          <w:tcPr>
            <w:tcW w:w="523" w:type="dxa"/>
            <w:tcBorders>
              <w:top w:val="single" w:sz="4" w:space="0" w:color="auto"/>
              <w:bottom w:val="single" w:sz="4" w:space="0" w:color="auto"/>
            </w:tcBorders>
          </w:tcPr>
          <w:p w:rsidR="00312304" w:rsidRPr="0089197B" w:rsidRDefault="00312304" w:rsidP="0089197B">
            <w:pPr>
              <w:spacing w:line="240" w:lineRule="auto"/>
              <w:jc w:val="center"/>
              <w:rPr>
                <w:b/>
                <w:bCs/>
                <w:iCs/>
                <w:sz w:val="16"/>
                <w:szCs w:val="16"/>
              </w:rPr>
            </w:pPr>
            <w:r w:rsidRPr="0089197B">
              <w:rPr>
                <w:b/>
                <w:bCs/>
                <w:iCs/>
                <w:sz w:val="16"/>
                <w:szCs w:val="16"/>
              </w:rPr>
              <w:t>Ref</w:t>
            </w:r>
          </w:p>
        </w:tc>
      </w:tr>
      <w:tr w:rsidR="00AC0E2A" w:rsidRPr="0089197B" w:rsidTr="005A6624">
        <w:trPr>
          <w:cantSplit/>
          <w:trHeight w:val="445"/>
          <w:jc w:val="center"/>
        </w:trPr>
        <w:tc>
          <w:tcPr>
            <w:tcW w:w="653"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TPV</w:t>
            </w:r>
          </w:p>
        </w:tc>
        <w:tc>
          <w:tcPr>
            <w:tcW w:w="1178" w:type="dxa"/>
            <w:tcBorders>
              <w:top w:val="single" w:sz="4" w:space="0" w:color="auto"/>
            </w:tcBorders>
          </w:tcPr>
          <w:p w:rsidR="00AC0E2A" w:rsidRPr="0089197B" w:rsidRDefault="00AC0E2A" w:rsidP="0089197B">
            <w:pPr>
              <w:spacing w:line="240" w:lineRule="auto"/>
              <w:jc w:val="center"/>
              <w:rPr>
                <w:sz w:val="16"/>
                <w:szCs w:val="16"/>
              </w:rPr>
            </w:pPr>
            <w:r w:rsidRPr="0089197B">
              <w:rPr>
                <w:bCs/>
                <w:iCs/>
                <w:sz w:val="16"/>
                <w:szCs w:val="16"/>
              </w:rPr>
              <w:t>HIV-1 protease</w:t>
            </w:r>
          </w:p>
        </w:tc>
        <w:tc>
          <w:tcPr>
            <w:tcW w:w="1570"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17</w:t>
            </w:r>
          </w:p>
        </w:tc>
        <w:tc>
          <w:tcPr>
            <w:tcW w:w="1047"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NR</w:t>
            </w:r>
          </w:p>
        </w:tc>
        <w:tc>
          <w:tcPr>
            <w:tcW w:w="1178"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61.6</w:t>
            </w:r>
          </w:p>
        </w:tc>
        <w:tc>
          <w:tcPr>
            <w:tcW w:w="1047"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2.9</w:t>
            </w:r>
          </w:p>
        </w:tc>
        <w:tc>
          <w:tcPr>
            <w:tcW w:w="1047" w:type="dxa"/>
            <w:tcBorders>
              <w:top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58.1</w:t>
            </w:r>
          </w:p>
        </w:tc>
        <w:tc>
          <w:tcPr>
            <w:tcW w:w="523" w:type="dxa"/>
            <w:tcBorders>
              <w:top w:val="single" w:sz="4" w:space="0" w:color="auto"/>
            </w:tcBorders>
          </w:tcPr>
          <w:p w:rsidR="00AC0E2A" w:rsidRPr="0089197B" w:rsidRDefault="00040F10" w:rsidP="00512D09">
            <w:pPr>
              <w:spacing w:line="240" w:lineRule="auto"/>
              <w:jc w:val="center"/>
              <w:rPr>
                <w:bCs/>
                <w:iCs/>
                <w:sz w:val="16"/>
                <w:szCs w:val="16"/>
              </w:rPr>
            </w:pPr>
            <w:hyperlink w:anchor="_ENREF_38" w:tooltip="Muzammil, 2007 #22" w:history="1">
              <w:r w:rsidR="00512D09" w:rsidRPr="0089197B">
                <w:rPr>
                  <w:bCs/>
                  <w:iCs/>
                  <w:sz w:val="16"/>
                  <w:szCs w:val="16"/>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sz w:val="16"/>
                  <w:szCs w:val="16"/>
                </w:rPr>
                <w:instrText xml:space="preserve"> ADDIN EN.CITE </w:instrText>
              </w:r>
              <w:r w:rsidR="00512D09">
                <w:rPr>
                  <w:bCs/>
                  <w:iCs/>
                  <w:sz w:val="16"/>
                  <w:szCs w:val="16"/>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sz w:val="16"/>
                  <w:szCs w:val="16"/>
                </w:rPr>
                <w:instrText xml:space="preserve"> ADDIN EN.CITE.DATA </w:instrText>
              </w:r>
              <w:r w:rsidR="00512D09">
                <w:rPr>
                  <w:bCs/>
                  <w:iCs/>
                  <w:sz w:val="16"/>
                  <w:szCs w:val="16"/>
                </w:rPr>
              </w:r>
              <w:r w:rsidR="00512D09">
                <w:rPr>
                  <w:bCs/>
                  <w:iCs/>
                  <w:sz w:val="16"/>
                  <w:szCs w:val="16"/>
                </w:rPr>
                <w:fldChar w:fldCharType="end"/>
              </w:r>
              <w:r w:rsidR="00512D09" w:rsidRPr="0089197B">
                <w:rPr>
                  <w:bCs/>
                  <w:iCs/>
                  <w:sz w:val="16"/>
                  <w:szCs w:val="16"/>
                </w:rPr>
              </w:r>
              <w:r w:rsidR="00512D09" w:rsidRPr="0089197B">
                <w:rPr>
                  <w:bCs/>
                  <w:iCs/>
                  <w:sz w:val="16"/>
                  <w:szCs w:val="16"/>
                </w:rPr>
                <w:fldChar w:fldCharType="separate"/>
              </w:r>
              <w:r w:rsidR="00512D09" w:rsidRPr="00F04E2C">
                <w:rPr>
                  <w:bCs/>
                  <w:iCs/>
                  <w:noProof/>
                  <w:sz w:val="16"/>
                  <w:szCs w:val="16"/>
                  <w:vertAlign w:val="superscript"/>
                </w:rPr>
                <w:t>38</w:t>
              </w:r>
              <w:r w:rsidR="00512D09" w:rsidRPr="0089197B">
                <w:rPr>
                  <w:sz w:val="16"/>
                  <w:szCs w:val="16"/>
                </w:rPr>
                <w:fldChar w:fldCharType="end"/>
              </w:r>
            </w:hyperlink>
          </w:p>
        </w:tc>
      </w:tr>
      <w:tr w:rsidR="00AC0E2A" w:rsidRPr="0089197B" w:rsidTr="005A6624">
        <w:trPr>
          <w:cantSplit/>
          <w:trHeight w:val="436"/>
          <w:jc w:val="center"/>
        </w:trPr>
        <w:tc>
          <w:tcPr>
            <w:tcW w:w="653" w:type="dxa"/>
          </w:tcPr>
          <w:p w:rsidR="00AC0E2A" w:rsidRPr="0089197B" w:rsidRDefault="00AC0E2A" w:rsidP="0089197B">
            <w:pPr>
              <w:spacing w:line="240" w:lineRule="auto"/>
              <w:jc w:val="center"/>
              <w:rPr>
                <w:bCs/>
                <w:iCs/>
                <w:sz w:val="16"/>
                <w:szCs w:val="16"/>
              </w:rPr>
            </w:pPr>
            <w:r w:rsidRPr="0089197B">
              <w:rPr>
                <w:bCs/>
                <w:iCs/>
                <w:sz w:val="16"/>
                <w:szCs w:val="16"/>
              </w:rPr>
              <w:t>ATV</w:t>
            </w:r>
          </w:p>
        </w:tc>
        <w:tc>
          <w:tcPr>
            <w:tcW w:w="1178" w:type="dxa"/>
          </w:tcPr>
          <w:p w:rsidR="00AC0E2A" w:rsidRPr="0089197B" w:rsidRDefault="00AC0E2A" w:rsidP="0089197B">
            <w:pPr>
              <w:spacing w:line="240" w:lineRule="auto"/>
              <w:jc w:val="center"/>
              <w:rPr>
                <w:sz w:val="16"/>
                <w:szCs w:val="16"/>
              </w:rPr>
            </w:pPr>
            <w:r w:rsidRPr="0089197B">
              <w:rPr>
                <w:bCs/>
                <w:iCs/>
                <w:sz w:val="16"/>
                <w:szCs w:val="16"/>
              </w:rPr>
              <w:t>HIV-1 protease</w:t>
            </w:r>
          </w:p>
        </w:tc>
        <w:tc>
          <w:tcPr>
            <w:tcW w:w="1570" w:type="dxa"/>
          </w:tcPr>
          <w:p w:rsidR="00AC0E2A" w:rsidRPr="0089197B" w:rsidRDefault="00AC0E2A" w:rsidP="0089197B">
            <w:pPr>
              <w:spacing w:line="240" w:lineRule="auto"/>
              <w:jc w:val="center"/>
              <w:rPr>
                <w:bCs/>
                <w:iCs/>
                <w:sz w:val="16"/>
                <w:szCs w:val="16"/>
              </w:rPr>
            </w:pPr>
            <w:r w:rsidRPr="0089197B">
              <w:rPr>
                <w:bCs/>
                <w:iCs/>
                <w:sz w:val="16"/>
                <w:szCs w:val="16"/>
              </w:rPr>
              <w:t>29</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NR</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59.8</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17.6</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42.2</w:t>
            </w:r>
          </w:p>
        </w:tc>
        <w:tc>
          <w:tcPr>
            <w:tcW w:w="523" w:type="dxa"/>
          </w:tcPr>
          <w:p w:rsidR="00AC0E2A" w:rsidRPr="0089197B" w:rsidRDefault="00040F10" w:rsidP="00512D09">
            <w:pPr>
              <w:spacing w:line="240" w:lineRule="auto"/>
              <w:jc w:val="center"/>
              <w:rPr>
                <w:bCs/>
                <w:iCs/>
                <w:sz w:val="16"/>
                <w:szCs w:val="16"/>
              </w:rPr>
            </w:pPr>
            <w:hyperlink w:anchor="_ENREF_38" w:tooltip="Muzammil, 2007 #22" w:history="1">
              <w:r w:rsidR="00512D09" w:rsidRPr="0089197B">
                <w:rPr>
                  <w:bCs/>
                  <w:iCs/>
                  <w:sz w:val="16"/>
                  <w:szCs w:val="16"/>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sz w:val="16"/>
                  <w:szCs w:val="16"/>
                </w:rPr>
                <w:instrText xml:space="preserve"> ADDIN EN.CITE </w:instrText>
              </w:r>
              <w:r w:rsidR="00512D09">
                <w:rPr>
                  <w:bCs/>
                  <w:iCs/>
                  <w:sz w:val="16"/>
                  <w:szCs w:val="16"/>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sz w:val="16"/>
                  <w:szCs w:val="16"/>
                </w:rPr>
                <w:instrText xml:space="preserve"> ADDIN EN.CITE.DATA </w:instrText>
              </w:r>
              <w:r w:rsidR="00512D09">
                <w:rPr>
                  <w:bCs/>
                  <w:iCs/>
                  <w:sz w:val="16"/>
                  <w:szCs w:val="16"/>
                </w:rPr>
              </w:r>
              <w:r w:rsidR="00512D09">
                <w:rPr>
                  <w:bCs/>
                  <w:iCs/>
                  <w:sz w:val="16"/>
                  <w:szCs w:val="16"/>
                </w:rPr>
                <w:fldChar w:fldCharType="end"/>
              </w:r>
              <w:r w:rsidR="00512D09" w:rsidRPr="0089197B">
                <w:rPr>
                  <w:bCs/>
                  <w:iCs/>
                  <w:sz w:val="16"/>
                  <w:szCs w:val="16"/>
                </w:rPr>
              </w:r>
              <w:r w:rsidR="00512D09" w:rsidRPr="0089197B">
                <w:rPr>
                  <w:bCs/>
                  <w:iCs/>
                  <w:sz w:val="16"/>
                  <w:szCs w:val="16"/>
                </w:rPr>
                <w:fldChar w:fldCharType="separate"/>
              </w:r>
              <w:r w:rsidR="00512D09" w:rsidRPr="00F04E2C">
                <w:rPr>
                  <w:bCs/>
                  <w:iCs/>
                  <w:noProof/>
                  <w:sz w:val="16"/>
                  <w:szCs w:val="16"/>
                  <w:vertAlign w:val="superscript"/>
                </w:rPr>
                <w:t>38</w:t>
              </w:r>
              <w:r w:rsidR="00512D09" w:rsidRPr="0089197B">
                <w:rPr>
                  <w:sz w:val="16"/>
                  <w:szCs w:val="16"/>
                </w:rPr>
                <w:fldChar w:fldCharType="end"/>
              </w:r>
            </w:hyperlink>
          </w:p>
        </w:tc>
      </w:tr>
      <w:tr w:rsidR="00AC0E2A" w:rsidRPr="0089197B" w:rsidTr="005A6624">
        <w:trPr>
          <w:cantSplit/>
          <w:trHeight w:val="428"/>
          <w:jc w:val="center"/>
        </w:trPr>
        <w:tc>
          <w:tcPr>
            <w:tcW w:w="653" w:type="dxa"/>
          </w:tcPr>
          <w:p w:rsidR="00AC0E2A" w:rsidRPr="0089197B" w:rsidRDefault="00AC0E2A" w:rsidP="0089197B">
            <w:pPr>
              <w:spacing w:line="240" w:lineRule="auto"/>
              <w:jc w:val="center"/>
              <w:rPr>
                <w:bCs/>
                <w:iCs/>
                <w:sz w:val="16"/>
                <w:szCs w:val="16"/>
              </w:rPr>
            </w:pPr>
            <w:r w:rsidRPr="0089197B">
              <w:rPr>
                <w:bCs/>
                <w:iCs/>
                <w:sz w:val="16"/>
                <w:szCs w:val="16"/>
              </w:rPr>
              <w:t>LPV</w:t>
            </w:r>
          </w:p>
        </w:tc>
        <w:tc>
          <w:tcPr>
            <w:tcW w:w="1178" w:type="dxa"/>
          </w:tcPr>
          <w:p w:rsidR="00AC0E2A" w:rsidRPr="0089197B" w:rsidRDefault="00AC0E2A" w:rsidP="0089197B">
            <w:pPr>
              <w:spacing w:line="240" w:lineRule="auto"/>
              <w:jc w:val="center"/>
              <w:rPr>
                <w:sz w:val="16"/>
                <w:szCs w:val="16"/>
              </w:rPr>
            </w:pPr>
            <w:r w:rsidRPr="0089197B">
              <w:rPr>
                <w:bCs/>
                <w:iCs/>
                <w:sz w:val="16"/>
                <w:szCs w:val="16"/>
              </w:rPr>
              <w:t>HIV-1 protease</w:t>
            </w:r>
          </w:p>
        </w:tc>
        <w:tc>
          <w:tcPr>
            <w:tcW w:w="1570" w:type="dxa"/>
          </w:tcPr>
          <w:p w:rsidR="00AC0E2A" w:rsidRPr="0089197B" w:rsidRDefault="00AC0E2A" w:rsidP="0089197B">
            <w:pPr>
              <w:spacing w:line="240" w:lineRule="auto"/>
              <w:jc w:val="center"/>
              <w:rPr>
                <w:bCs/>
                <w:iCs/>
                <w:sz w:val="16"/>
                <w:szCs w:val="16"/>
              </w:rPr>
            </w:pPr>
            <w:r w:rsidRPr="0089197B">
              <w:rPr>
                <w:bCs/>
                <w:iCs/>
                <w:sz w:val="16"/>
                <w:szCs w:val="16"/>
              </w:rPr>
              <w:t>21</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NR</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59.8</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10.0</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49.7</w:t>
            </w:r>
          </w:p>
        </w:tc>
        <w:tc>
          <w:tcPr>
            <w:tcW w:w="523" w:type="dxa"/>
          </w:tcPr>
          <w:p w:rsidR="00AC0E2A" w:rsidRPr="0089197B" w:rsidRDefault="00040F10" w:rsidP="00512D09">
            <w:pPr>
              <w:spacing w:line="240" w:lineRule="auto"/>
              <w:jc w:val="center"/>
              <w:rPr>
                <w:bCs/>
                <w:iCs/>
                <w:sz w:val="16"/>
                <w:szCs w:val="16"/>
              </w:rPr>
            </w:pPr>
            <w:hyperlink w:anchor="_ENREF_38" w:tooltip="Muzammil, 2007 #22" w:history="1">
              <w:r w:rsidR="00512D09" w:rsidRPr="0089197B">
                <w:rPr>
                  <w:bCs/>
                  <w:iCs/>
                  <w:sz w:val="16"/>
                  <w:szCs w:val="16"/>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sz w:val="16"/>
                  <w:szCs w:val="16"/>
                </w:rPr>
                <w:instrText xml:space="preserve"> ADDIN EN.CITE </w:instrText>
              </w:r>
              <w:r w:rsidR="00512D09">
                <w:rPr>
                  <w:bCs/>
                  <w:iCs/>
                  <w:sz w:val="16"/>
                  <w:szCs w:val="16"/>
                </w:rPr>
                <w:fldChar w:fldCharType="begin">
                  <w:fldData xml:space="preserve">PEVuZE5vdGU+PENpdGU+PEF1dGhvcj5NdXphbW1pbDwvQXV0aG9yPjxZZWFyPjIwMDc8L1llYXI+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MT5Kb3VybmFsIG9mIHZpcm9sb2d5PC9hYmJyLTE+PC9hbHQtcGVyaW9kaWNhbD48cGFnZXM+NTE0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</w:fldData>
                </w:fldChar>
              </w:r>
              <w:r w:rsidR="00512D09">
                <w:rPr>
                  <w:bCs/>
                  <w:iCs/>
                  <w:sz w:val="16"/>
                  <w:szCs w:val="16"/>
                </w:rPr>
                <w:instrText xml:space="preserve"> ADDIN EN.CITE.DATA </w:instrText>
              </w:r>
              <w:r w:rsidR="00512D09">
                <w:rPr>
                  <w:bCs/>
                  <w:iCs/>
                  <w:sz w:val="16"/>
                  <w:szCs w:val="16"/>
                </w:rPr>
              </w:r>
              <w:r w:rsidR="00512D09">
                <w:rPr>
                  <w:bCs/>
                  <w:iCs/>
                  <w:sz w:val="16"/>
                  <w:szCs w:val="16"/>
                </w:rPr>
                <w:fldChar w:fldCharType="end"/>
              </w:r>
              <w:r w:rsidR="00512D09" w:rsidRPr="0089197B">
                <w:rPr>
                  <w:bCs/>
                  <w:iCs/>
                  <w:sz w:val="16"/>
                  <w:szCs w:val="16"/>
                </w:rPr>
              </w:r>
              <w:r w:rsidR="00512D09" w:rsidRPr="0089197B">
                <w:rPr>
                  <w:bCs/>
                  <w:iCs/>
                  <w:sz w:val="16"/>
                  <w:szCs w:val="16"/>
                </w:rPr>
                <w:fldChar w:fldCharType="separate"/>
              </w:r>
              <w:r w:rsidR="00512D09" w:rsidRPr="00F04E2C">
                <w:rPr>
                  <w:bCs/>
                  <w:iCs/>
                  <w:noProof/>
                  <w:sz w:val="16"/>
                  <w:szCs w:val="16"/>
                  <w:vertAlign w:val="superscript"/>
                </w:rPr>
                <w:t>38</w:t>
              </w:r>
              <w:r w:rsidR="00512D09" w:rsidRPr="0089197B">
                <w:rPr>
                  <w:sz w:val="16"/>
                  <w:szCs w:val="16"/>
                </w:rPr>
                <w:fldChar w:fldCharType="end"/>
              </w:r>
            </w:hyperlink>
          </w:p>
        </w:tc>
      </w:tr>
      <w:tr w:rsidR="00AC0E2A" w:rsidRPr="0089197B" w:rsidTr="005A6624">
        <w:trPr>
          <w:cantSplit/>
          <w:trHeight w:val="913"/>
          <w:jc w:val="center"/>
        </w:trPr>
        <w:tc>
          <w:tcPr>
            <w:tcW w:w="653" w:type="dxa"/>
          </w:tcPr>
          <w:p w:rsidR="00AC0E2A" w:rsidRPr="0089197B" w:rsidRDefault="00AC0E2A" w:rsidP="0089197B">
            <w:pPr>
              <w:spacing w:line="240" w:lineRule="auto"/>
              <w:jc w:val="center"/>
              <w:rPr>
                <w:bCs/>
                <w:iCs/>
                <w:sz w:val="16"/>
                <w:szCs w:val="16"/>
              </w:rPr>
            </w:pPr>
            <w:r w:rsidRPr="0089197B">
              <w:rPr>
                <w:bCs/>
                <w:iCs/>
                <w:sz w:val="16"/>
                <w:szCs w:val="16"/>
              </w:rPr>
              <w:t>KNI-764</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HIV-1 protease Q7K/ L33I/ L63I</w:t>
            </w:r>
          </w:p>
        </w:tc>
        <w:tc>
          <w:tcPr>
            <w:tcW w:w="1570" w:type="dxa"/>
          </w:tcPr>
          <w:p w:rsidR="00AC0E2A" w:rsidRPr="0089197B" w:rsidRDefault="00AC0E2A" w:rsidP="0089197B">
            <w:pPr>
              <w:spacing w:line="240" w:lineRule="auto"/>
              <w:jc w:val="center"/>
              <w:rPr>
                <w:bCs/>
                <w:iCs/>
                <w:sz w:val="16"/>
                <w:szCs w:val="16"/>
              </w:rPr>
            </w:pPr>
            <w:r w:rsidRPr="0089197B">
              <w:rPr>
                <w:bCs/>
                <w:iCs/>
                <w:sz w:val="16"/>
                <w:szCs w:val="16"/>
              </w:rPr>
              <w:t>6</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1504.8</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59.8</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31.8</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28.0</w:t>
            </w:r>
          </w:p>
        </w:tc>
        <w:tc>
          <w:tcPr>
            <w:tcW w:w="523" w:type="dxa"/>
          </w:tcPr>
          <w:p w:rsidR="00AC0E2A" w:rsidRPr="0089197B" w:rsidRDefault="00040F10" w:rsidP="00512D09">
            <w:pPr>
              <w:spacing w:line="240" w:lineRule="auto"/>
              <w:jc w:val="center"/>
              <w:rPr>
                <w:bCs/>
                <w:iCs/>
                <w:sz w:val="16"/>
                <w:szCs w:val="16"/>
              </w:rPr>
            </w:pPr>
            <w:hyperlink w:anchor="_ENREF_36" w:tooltip="Vega, 2004 #20" w:history="1">
              <w:r w:rsidR="00512D09" w:rsidRPr="0089197B">
                <w:rPr>
                  <w:bCs/>
                  <w:iCs/>
                  <w:sz w:val="16"/>
                  <w:szCs w:val="16"/>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sz w:val="16"/>
                  <w:szCs w:val="16"/>
                </w:rPr>
                <w:instrText xml:space="preserve"> ADDIN EN.CITE </w:instrText>
              </w:r>
              <w:r w:rsidR="00512D09">
                <w:rPr>
                  <w:bCs/>
                  <w:iCs/>
                  <w:sz w:val="16"/>
                  <w:szCs w:val="16"/>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sz w:val="16"/>
                  <w:szCs w:val="16"/>
                </w:rPr>
                <w:instrText xml:space="preserve"> ADDIN EN.CITE.DATA </w:instrText>
              </w:r>
              <w:r w:rsidR="00512D09">
                <w:rPr>
                  <w:bCs/>
                  <w:iCs/>
                  <w:sz w:val="16"/>
                  <w:szCs w:val="16"/>
                </w:rPr>
              </w:r>
              <w:r w:rsidR="00512D09">
                <w:rPr>
                  <w:bCs/>
                  <w:iCs/>
                  <w:sz w:val="16"/>
                  <w:szCs w:val="16"/>
                </w:rPr>
                <w:fldChar w:fldCharType="end"/>
              </w:r>
              <w:r w:rsidR="00512D09" w:rsidRPr="0089197B">
                <w:rPr>
                  <w:bCs/>
                  <w:iCs/>
                  <w:sz w:val="16"/>
                  <w:szCs w:val="16"/>
                </w:rPr>
              </w:r>
              <w:r w:rsidR="00512D09" w:rsidRPr="0089197B">
                <w:rPr>
                  <w:bCs/>
                  <w:iCs/>
                  <w:sz w:val="16"/>
                  <w:szCs w:val="16"/>
                </w:rPr>
                <w:fldChar w:fldCharType="separate"/>
              </w:r>
              <w:r w:rsidR="00512D09" w:rsidRPr="00F04E2C">
                <w:rPr>
                  <w:bCs/>
                  <w:iCs/>
                  <w:noProof/>
                  <w:sz w:val="16"/>
                  <w:szCs w:val="16"/>
                  <w:vertAlign w:val="superscript"/>
                </w:rPr>
                <w:t>36</w:t>
              </w:r>
              <w:r w:rsidR="00512D09" w:rsidRPr="0089197B">
                <w:rPr>
                  <w:sz w:val="16"/>
                  <w:szCs w:val="16"/>
                </w:rPr>
                <w:fldChar w:fldCharType="end"/>
              </w:r>
            </w:hyperlink>
          </w:p>
        </w:tc>
      </w:tr>
      <w:tr w:rsidR="00AC0E2A" w:rsidRPr="0089197B" w:rsidTr="005A6624">
        <w:trPr>
          <w:cantSplit/>
          <w:trHeight w:val="1036"/>
          <w:jc w:val="center"/>
        </w:trPr>
        <w:tc>
          <w:tcPr>
            <w:tcW w:w="653" w:type="dxa"/>
          </w:tcPr>
          <w:p w:rsidR="00AC0E2A" w:rsidRPr="0089197B" w:rsidRDefault="00AC0E2A" w:rsidP="0089197B">
            <w:pPr>
              <w:spacing w:line="240" w:lineRule="auto"/>
              <w:jc w:val="center"/>
              <w:rPr>
                <w:bCs/>
                <w:iCs/>
                <w:sz w:val="16"/>
                <w:szCs w:val="16"/>
              </w:rPr>
            </w:pPr>
            <w:r w:rsidRPr="0089197B">
              <w:rPr>
                <w:bCs/>
                <w:iCs/>
                <w:sz w:val="16"/>
                <w:szCs w:val="16"/>
              </w:rPr>
              <w:t>KNI-764</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HIV-1 protease Q7K/ L33I/ L63I/V82F/I84V</w:t>
            </w:r>
          </w:p>
        </w:tc>
        <w:tc>
          <w:tcPr>
            <w:tcW w:w="1570" w:type="dxa"/>
          </w:tcPr>
          <w:p w:rsidR="00AC0E2A" w:rsidRPr="0089197B" w:rsidRDefault="00AC0E2A" w:rsidP="0089197B">
            <w:pPr>
              <w:spacing w:line="240" w:lineRule="auto"/>
              <w:jc w:val="center"/>
              <w:rPr>
                <w:bCs/>
                <w:iCs/>
                <w:sz w:val="16"/>
                <w:szCs w:val="16"/>
              </w:rPr>
            </w:pPr>
            <w:r w:rsidRPr="0089197B">
              <w:rPr>
                <w:bCs/>
                <w:iCs/>
                <w:sz w:val="16"/>
                <w:szCs w:val="16"/>
              </w:rPr>
              <w:t>5</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1630.2</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51.8</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22.2</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29.7</w:t>
            </w:r>
          </w:p>
        </w:tc>
        <w:tc>
          <w:tcPr>
            <w:tcW w:w="523" w:type="dxa"/>
          </w:tcPr>
          <w:p w:rsidR="00AC0E2A" w:rsidRPr="0089197B" w:rsidRDefault="00040F10" w:rsidP="00512D09">
            <w:pPr>
              <w:spacing w:line="240" w:lineRule="auto"/>
              <w:jc w:val="center"/>
              <w:rPr>
                <w:bCs/>
                <w:iCs/>
                <w:sz w:val="16"/>
                <w:szCs w:val="16"/>
              </w:rPr>
            </w:pPr>
            <w:hyperlink w:anchor="_ENREF_36" w:tooltip="Vega, 2004 #20" w:history="1">
              <w:r w:rsidR="00512D09" w:rsidRPr="0089197B">
                <w:rPr>
                  <w:bCs/>
                  <w:iCs/>
                  <w:sz w:val="16"/>
                  <w:szCs w:val="16"/>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sz w:val="16"/>
                  <w:szCs w:val="16"/>
                </w:rPr>
                <w:instrText xml:space="preserve"> ADDIN EN.CITE </w:instrText>
              </w:r>
              <w:r w:rsidR="00512D09">
                <w:rPr>
                  <w:bCs/>
                  <w:iCs/>
                  <w:sz w:val="16"/>
                  <w:szCs w:val="16"/>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sz w:val="16"/>
                  <w:szCs w:val="16"/>
                </w:rPr>
                <w:instrText xml:space="preserve"> ADDIN EN.CITE.DATA </w:instrText>
              </w:r>
              <w:r w:rsidR="00512D09">
                <w:rPr>
                  <w:bCs/>
                  <w:iCs/>
                  <w:sz w:val="16"/>
                  <w:szCs w:val="16"/>
                </w:rPr>
              </w:r>
              <w:r w:rsidR="00512D09">
                <w:rPr>
                  <w:bCs/>
                  <w:iCs/>
                  <w:sz w:val="16"/>
                  <w:szCs w:val="16"/>
                </w:rPr>
                <w:fldChar w:fldCharType="end"/>
              </w:r>
              <w:r w:rsidR="00512D09" w:rsidRPr="0089197B">
                <w:rPr>
                  <w:bCs/>
                  <w:iCs/>
                  <w:sz w:val="16"/>
                  <w:szCs w:val="16"/>
                </w:rPr>
              </w:r>
              <w:r w:rsidR="00512D09" w:rsidRPr="0089197B">
                <w:rPr>
                  <w:bCs/>
                  <w:iCs/>
                  <w:sz w:val="16"/>
                  <w:szCs w:val="16"/>
                </w:rPr>
                <w:fldChar w:fldCharType="separate"/>
              </w:r>
              <w:r w:rsidR="00512D09" w:rsidRPr="00F04E2C">
                <w:rPr>
                  <w:bCs/>
                  <w:iCs/>
                  <w:noProof/>
                  <w:sz w:val="16"/>
                  <w:szCs w:val="16"/>
                  <w:vertAlign w:val="superscript"/>
                </w:rPr>
                <w:t>36</w:t>
              </w:r>
              <w:r w:rsidR="00512D09" w:rsidRPr="0089197B">
                <w:rPr>
                  <w:sz w:val="16"/>
                  <w:szCs w:val="16"/>
                </w:rPr>
                <w:fldChar w:fldCharType="end"/>
              </w:r>
            </w:hyperlink>
          </w:p>
        </w:tc>
      </w:tr>
      <w:tr w:rsidR="00AC0E2A" w:rsidRPr="0089197B" w:rsidTr="005A6624">
        <w:trPr>
          <w:cantSplit/>
          <w:trHeight w:val="983"/>
          <w:jc w:val="center"/>
        </w:trPr>
        <w:tc>
          <w:tcPr>
            <w:tcW w:w="653" w:type="dxa"/>
          </w:tcPr>
          <w:p w:rsidR="00AC0E2A" w:rsidRPr="0089197B" w:rsidRDefault="00AC0E2A" w:rsidP="0089197B">
            <w:pPr>
              <w:spacing w:line="240" w:lineRule="auto"/>
              <w:jc w:val="center"/>
              <w:rPr>
                <w:bCs/>
                <w:iCs/>
                <w:sz w:val="16"/>
                <w:szCs w:val="16"/>
              </w:rPr>
            </w:pPr>
            <w:r w:rsidRPr="0089197B">
              <w:rPr>
                <w:bCs/>
                <w:iCs/>
                <w:sz w:val="16"/>
                <w:szCs w:val="16"/>
              </w:rPr>
              <w:t>KNI-577</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HIV-1 protease Q7K/ L33I/ L63I</w:t>
            </w:r>
          </w:p>
        </w:tc>
        <w:tc>
          <w:tcPr>
            <w:tcW w:w="1570" w:type="dxa"/>
          </w:tcPr>
          <w:p w:rsidR="00AC0E2A" w:rsidRPr="0089197B" w:rsidRDefault="00AC0E2A" w:rsidP="0089197B">
            <w:pPr>
              <w:spacing w:line="240" w:lineRule="auto"/>
              <w:jc w:val="center"/>
              <w:rPr>
                <w:bCs/>
                <w:iCs/>
                <w:sz w:val="16"/>
                <w:szCs w:val="16"/>
              </w:rPr>
            </w:pPr>
            <w:r w:rsidRPr="0089197B">
              <w:rPr>
                <w:bCs/>
                <w:iCs/>
                <w:sz w:val="16"/>
                <w:szCs w:val="16"/>
              </w:rPr>
              <w:t>5</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1755.6</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55.2</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19.6</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35.5</w:t>
            </w:r>
          </w:p>
        </w:tc>
        <w:tc>
          <w:tcPr>
            <w:tcW w:w="523" w:type="dxa"/>
          </w:tcPr>
          <w:p w:rsidR="00AC0E2A" w:rsidRPr="0089197B" w:rsidRDefault="00040F10" w:rsidP="00512D09">
            <w:pPr>
              <w:spacing w:line="240" w:lineRule="auto"/>
              <w:jc w:val="center"/>
              <w:rPr>
                <w:bCs/>
                <w:iCs/>
                <w:sz w:val="16"/>
                <w:szCs w:val="16"/>
              </w:rPr>
            </w:pPr>
            <w:hyperlink w:anchor="_ENREF_36" w:tooltip="Vega, 2004 #20" w:history="1">
              <w:r w:rsidR="00512D09" w:rsidRPr="0089197B">
                <w:rPr>
                  <w:bCs/>
                  <w:iCs/>
                  <w:sz w:val="16"/>
                  <w:szCs w:val="16"/>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sz w:val="16"/>
                  <w:szCs w:val="16"/>
                </w:rPr>
                <w:instrText xml:space="preserve"> ADDIN EN.CITE </w:instrText>
              </w:r>
              <w:r w:rsidR="00512D09">
                <w:rPr>
                  <w:bCs/>
                  <w:iCs/>
                  <w:sz w:val="16"/>
                  <w:szCs w:val="16"/>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sz w:val="16"/>
                  <w:szCs w:val="16"/>
                </w:rPr>
                <w:instrText xml:space="preserve"> ADDIN EN.CITE.DATA </w:instrText>
              </w:r>
              <w:r w:rsidR="00512D09">
                <w:rPr>
                  <w:bCs/>
                  <w:iCs/>
                  <w:sz w:val="16"/>
                  <w:szCs w:val="16"/>
                </w:rPr>
              </w:r>
              <w:r w:rsidR="00512D09">
                <w:rPr>
                  <w:bCs/>
                  <w:iCs/>
                  <w:sz w:val="16"/>
                  <w:szCs w:val="16"/>
                </w:rPr>
                <w:fldChar w:fldCharType="end"/>
              </w:r>
              <w:r w:rsidR="00512D09" w:rsidRPr="0089197B">
                <w:rPr>
                  <w:bCs/>
                  <w:iCs/>
                  <w:sz w:val="16"/>
                  <w:szCs w:val="16"/>
                </w:rPr>
              </w:r>
              <w:r w:rsidR="00512D09" w:rsidRPr="0089197B">
                <w:rPr>
                  <w:bCs/>
                  <w:iCs/>
                  <w:sz w:val="16"/>
                  <w:szCs w:val="16"/>
                </w:rPr>
                <w:fldChar w:fldCharType="separate"/>
              </w:r>
              <w:r w:rsidR="00512D09" w:rsidRPr="00F04E2C">
                <w:rPr>
                  <w:bCs/>
                  <w:iCs/>
                  <w:noProof/>
                  <w:sz w:val="16"/>
                  <w:szCs w:val="16"/>
                  <w:vertAlign w:val="superscript"/>
                </w:rPr>
                <w:t>36</w:t>
              </w:r>
              <w:r w:rsidR="00512D09" w:rsidRPr="0089197B">
                <w:rPr>
                  <w:sz w:val="16"/>
                  <w:szCs w:val="16"/>
                </w:rPr>
                <w:fldChar w:fldCharType="end"/>
              </w:r>
            </w:hyperlink>
          </w:p>
        </w:tc>
      </w:tr>
      <w:tr w:rsidR="00AC0E2A" w:rsidRPr="0089197B" w:rsidTr="00096BCE">
        <w:trPr>
          <w:cantSplit/>
          <w:trHeight w:val="1172"/>
          <w:jc w:val="center"/>
        </w:trPr>
        <w:tc>
          <w:tcPr>
            <w:tcW w:w="653" w:type="dxa"/>
          </w:tcPr>
          <w:p w:rsidR="00AC0E2A" w:rsidRPr="0089197B" w:rsidRDefault="00AC0E2A" w:rsidP="0089197B">
            <w:pPr>
              <w:spacing w:line="240" w:lineRule="auto"/>
              <w:jc w:val="center"/>
              <w:rPr>
                <w:bCs/>
                <w:iCs/>
                <w:sz w:val="16"/>
                <w:szCs w:val="16"/>
              </w:rPr>
            </w:pPr>
            <w:r w:rsidRPr="0089197B">
              <w:rPr>
                <w:bCs/>
                <w:iCs/>
                <w:sz w:val="16"/>
                <w:szCs w:val="16"/>
              </w:rPr>
              <w:t>KNI-577</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HIV-1 protease Q7K/ L33I/ L63I/ V82F/I84V</w:t>
            </w:r>
          </w:p>
        </w:tc>
        <w:tc>
          <w:tcPr>
            <w:tcW w:w="1570" w:type="dxa"/>
          </w:tcPr>
          <w:p w:rsidR="00AC0E2A" w:rsidRPr="0089197B" w:rsidRDefault="00AC0E2A" w:rsidP="0089197B">
            <w:pPr>
              <w:spacing w:line="240" w:lineRule="auto"/>
              <w:jc w:val="center"/>
              <w:rPr>
                <w:bCs/>
                <w:iCs/>
                <w:sz w:val="16"/>
                <w:szCs w:val="16"/>
              </w:rPr>
            </w:pPr>
            <w:r w:rsidRPr="0089197B">
              <w:rPr>
                <w:bCs/>
                <w:iCs/>
                <w:sz w:val="16"/>
                <w:szCs w:val="16"/>
              </w:rPr>
              <w:t>5</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1588.4</w:t>
            </w:r>
          </w:p>
        </w:tc>
        <w:tc>
          <w:tcPr>
            <w:tcW w:w="1178" w:type="dxa"/>
          </w:tcPr>
          <w:p w:rsidR="00AC0E2A" w:rsidRPr="0089197B" w:rsidRDefault="00AC0E2A" w:rsidP="0089197B">
            <w:pPr>
              <w:spacing w:line="240" w:lineRule="auto"/>
              <w:jc w:val="center"/>
              <w:rPr>
                <w:bCs/>
                <w:iCs/>
                <w:sz w:val="16"/>
                <w:szCs w:val="16"/>
              </w:rPr>
            </w:pPr>
            <w:r w:rsidRPr="0089197B">
              <w:rPr>
                <w:bCs/>
                <w:iCs/>
                <w:sz w:val="16"/>
                <w:szCs w:val="16"/>
              </w:rPr>
              <w:t>41.4</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8.8</w:t>
            </w:r>
          </w:p>
        </w:tc>
        <w:tc>
          <w:tcPr>
            <w:tcW w:w="1047" w:type="dxa"/>
          </w:tcPr>
          <w:p w:rsidR="00AC0E2A" w:rsidRPr="0089197B" w:rsidRDefault="00AC0E2A" w:rsidP="0089197B">
            <w:pPr>
              <w:spacing w:line="240" w:lineRule="auto"/>
              <w:jc w:val="center"/>
              <w:rPr>
                <w:bCs/>
                <w:iCs/>
                <w:sz w:val="16"/>
                <w:szCs w:val="16"/>
              </w:rPr>
            </w:pPr>
            <w:r w:rsidRPr="0089197B">
              <w:rPr>
                <w:bCs/>
                <w:iCs/>
                <w:sz w:val="16"/>
                <w:szCs w:val="16"/>
              </w:rPr>
              <w:t>32.6</w:t>
            </w:r>
          </w:p>
        </w:tc>
        <w:tc>
          <w:tcPr>
            <w:tcW w:w="523" w:type="dxa"/>
          </w:tcPr>
          <w:p w:rsidR="00AC0E2A" w:rsidRPr="0089197B" w:rsidRDefault="00040F10" w:rsidP="00512D09">
            <w:pPr>
              <w:spacing w:line="240" w:lineRule="auto"/>
              <w:jc w:val="center"/>
              <w:rPr>
                <w:bCs/>
                <w:iCs/>
                <w:sz w:val="16"/>
                <w:szCs w:val="16"/>
              </w:rPr>
            </w:pPr>
            <w:hyperlink w:anchor="_ENREF_36" w:tooltip="Vega, 2004 #20" w:history="1">
              <w:r w:rsidR="00512D09" w:rsidRPr="0089197B">
                <w:rPr>
                  <w:bCs/>
                  <w:iCs/>
                  <w:sz w:val="16"/>
                  <w:szCs w:val="16"/>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sz w:val="16"/>
                  <w:szCs w:val="16"/>
                </w:rPr>
                <w:instrText xml:space="preserve"> ADDIN EN.CITE </w:instrText>
              </w:r>
              <w:r w:rsidR="00512D09">
                <w:rPr>
                  <w:bCs/>
                  <w:iCs/>
                  <w:sz w:val="16"/>
                  <w:szCs w:val="16"/>
                </w:rPr>
                <w:fldChar w:fldCharType="begin">
                  <w:fldData xml:space="preserve">PEVuZE5vdGU+PENpdGU+PEF1dGhvcj5WZWdhPC9BdXRob3I+PFllYXI+MjAwNDwvWWVhcj48UmVj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</w:fldData>
                </w:fldChar>
              </w:r>
              <w:r w:rsidR="00512D09">
                <w:rPr>
                  <w:bCs/>
                  <w:iCs/>
                  <w:sz w:val="16"/>
                  <w:szCs w:val="16"/>
                </w:rPr>
                <w:instrText xml:space="preserve"> ADDIN EN.CITE.DATA </w:instrText>
              </w:r>
              <w:r w:rsidR="00512D09">
                <w:rPr>
                  <w:bCs/>
                  <w:iCs/>
                  <w:sz w:val="16"/>
                  <w:szCs w:val="16"/>
                </w:rPr>
              </w:r>
              <w:r w:rsidR="00512D09">
                <w:rPr>
                  <w:bCs/>
                  <w:iCs/>
                  <w:sz w:val="16"/>
                  <w:szCs w:val="16"/>
                </w:rPr>
                <w:fldChar w:fldCharType="end"/>
              </w:r>
              <w:r w:rsidR="00512D09" w:rsidRPr="0089197B">
                <w:rPr>
                  <w:bCs/>
                  <w:iCs/>
                  <w:sz w:val="16"/>
                  <w:szCs w:val="16"/>
                </w:rPr>
              </w:r>
              <w:r w:rsidR="00512D09" w:rsidRPr="0089197B">
                <w:rPr>
                  <w:bCs/>
                  <w:iCs/>
                  <w:sz w:val="16"/>
                  <w:szCs w:val="16"/>
                </w:rPr>
                <w:fldChar w:fldCharType="separate"/>
              </w:r>
              <w:r w:rsidR="00512D09" w:rsidRPr="00F04E2C">
                <w:rPr>
                  <w:bCs/>
                  <w:iCs/>
                  <w:noProof/>
                  <w:sz w:val="16"/>
                  <w:szCs w:val="16"/>
                  <w:vertAlign w:val="superscript"/>
                </w:rPr>
                <w:t>36</w:t>
              </w:r>
              <w:r w:rsidR="00512D09" w:rsidRPr="0089197B">
                <w:rPr>
                  <w:sz w:val="16"/>
                  <w:szCs w:val="16"/>
                </w:rPr>
                <w:fldChar w:fldCharType="end"/>
              </w:r>
            </w:hyperlink>
          </w:p>
        </w:tc>
      </w:tr>
      <w:tr w:rsidR="00AC0E2A" w:rsidRPr="0089197B" w:rsidTr="00096BCE">
        <w:trPr>
          <w:cantSplit/>
          <w:trHeight w:val="721"/>
          <w:jc w:val="center"/>
        </w:trPr>
        <w:tc>
          <w:tcPr>
            <w:tcW w:w="653"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KNI-10033</w:t>
            </w:r>
          </w:p>
        </w:tc>
        <w:tc>
          <w:tcPr>
            <w:tcW w:w="1178"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HIV-1 protease Q7K/L33I/L63I</w:t>
            </w:r>
          </w:p>
        </w:tc>
        <w:tc>
          <w:tcPr>
            <w:tcW w:w="1570"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7</w:t>
            </w:r>
          </w:p>
        </w:tc>
        <w:tc>
          <w:tcPr>
            <w:tcW w:w="1047"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1927</w:t>
            </w:r>
          </w:p>
        </w:tc>
        <w:tc>
          <w:tcPr>
            <w:tcW w:w="1178"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62.2</w:t>
            </w:r>
          </w:p>
        </w:tc>
        <w:tc>
          <w:tcPr>
            <w:tcW w:w="1047" w:type="dxa"/>
            <w:tcBorders>
              <w:bottom w:val="single" w:sz="4" w:space="0" w:color="auto"/>
            </w:tcBorders>
          </w:tcPr>
          <w:p w:rsidR="00AC0E2A" w:rsidRPr="0089197B" w:rsidRDefault="00312304" w:rsidP="00312304">
            <w:pPr>
              <w:spacing w:line="240" w:lineRule="auto"/>
              <w:rPr>
                <w:bCs/>
                <w:iCs/>
                <w:sz w:val="16"/>
                <w:szCs w:val="16"/>
              </w:rPr>
            </w:pPr>
            <w:r>
              <w:rPr>
                <w:bCs/>
                <w:iCs/>
                <w:sz w:val="16"/>
                <w:szCs w:val="16"/>
              </w:rPr>
              <w:t xml:space="preserve">      </w:t>
            </w:r>
            <w:r w:rsidR="00AC0E2A" w:rsidRPr="0089197B">
              <w:rPr>
                <w:bCs/>
                <w:iCs/>
                <w:sz w:val="16"/>
                <w:szCs w:val="16"/>
              </w:rPr>
              <w:t>34.3</w:t>
            </w:r>
          </w:p>
        </w:tc>
        <w:tc>
          <w:tcPr>
            <w:tcW w:w="1047" w:type="dxa"/>
            <w:tcBorders>
              <w:bottom w:val="single" w:sz="4" w:space="0" w:color="auto"/>
            </w:tcBorders>
          </w:tcPr>
          <w:p w:rsidR="00AC0E2A" w:rsidRPr="0089197B" w:rsidRDefault="00AC0E2A" w:rsidP="0089197B">
            <w:pPr>
              <w:spacing w:line="240" w:lineRule="auto"/>
              <w:jc w:val="center"/>
              <w:rPr>
                <w:bCs/>
                <w:iCs/>
                <w:sz w:val="16"/>
                <w:szCs w:val="16"/>
              </w:rPr>
            </w:pPr>
            <w:r w:rsidRPr="0089197B">
              <w:rPr>
                <w:bCs/>
                <w:iCs/>
                <w:sz w:val="16"/>
                <w:szCs w:val="16"/>
              </w:rPr>
              <w:t>27.9</w:t>
            </w:r>
          </w:p>
        </w:tc>
        <w:tc>
          <w:tcPr>
            <w:tcW w:w="523" w:type="dxa"/>
            <w:tcBorders>
              <w:bottom w:val="single" w:sz="4" w:space="0" w:color="auto"/>
            </w:tcBorders>
          </w:tcPr>
          <w:p w:rsidR="00AC0E2A" w:rsidRPr="0089197B" w:rsidRDefault="0075172E" w:rsidP="00512D09">
            <w:pPr>
              <w:spacing w:line="240" w:lineRule="auto"/>
              <w:jc w:val="center"/>
              <w:rPr>
                <w:bCs/>
                <w:iCs/>
                <w:sz w:val="16"/>
                <w:szCs w:val="16"/>
              </w:rPr>
            </w:pPr>
            <w:r w:rsidRPr="0089197B">
              <w:rPr>
                <w:bCs/>
                <w:iCs/>
                <w:sz w:val="16"/>
                <w:szCs w:val="16"/>
              </w:rPr>
              <w:fldChar w:fldCharType="begin">
                <w:fldData xml:space="preserve">PEVuZE5vdGU+PENpdGU+PEF1dGhvcj5MYWZvbnQ8L0F1dGhvcj48WWVhcj4yMDA3PC9ZZWFyPjxS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</w:fldData>
              </w:fldChar>
            </w:r>
            <w:r w:rsidR="00F04E2C">
              <w:rPr>
                <w:bCs/>
                <w:iCs/>
                <w:sz w:val="16"/>
                <w:szCs w:val="16"/>
              </w:rPr>
              <w:instrText xml:space="preserve"> ADDIN EN.CITE </w:instrText>
            </w:r>
            <w:r>
              <w:rPr>
                <w:bCs/>
                <w:iCs/>
                <w:sz w:val="16"/>
                <w:szCs w:val="16"/>
              </w:rPr>
              <w:fldChar w:fldCharType="begin">
                <w:fldData xml:space="preserve">PEVuZE5vdGU+PENpdGU+PEF1dGhvcj5MYWZvbnQ8L0F1dGhvcj48WWVhcj4yMDA3PC9ZZWFyPjxS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</w:fldData>
              </w:fldChar>
            </w:r>
            <w:r w:rsidR="00F04E2C">
              <w:rPr>
                <w:bCs/>
                <w:iCs/>
                <w:sz w:val="16"/>
                <w:szCs w:val="16"/>
              </w:rPr>
              <w:instrText xml:space="preserve"> ADDIN EN.CITE.DATA </w:instrText>
            </w:r>
            <w:r>
              <w:rPr>
                <w:bCs/>
                <w:iCs/>
                <w:sz w:val="16"/>
                <w:szCs w:val="16"/>
              </w:rPr>
            </w:r>
            <w:r>
              <w:rPr>
                <w:bCs/>
                <w:iCs/>
                <w:sz w:val="16"/>
                <w:szCs w:val="16"/>
              </w:rPr>
              <w:fldChar w:fldCharType="end"/>
            </w:r>
            <w:r w:rsidRPr="0089197B">
              <w:rPr>
                <w:bCs/>
                <w:iCs/>
                <w:sz w:val="16"/>
                <w:szCs w:val="16"/>
              </w:rPr>
            </w:r>
            <w:r w:rsidRPr="0089197B">
              <w:rPr>
                <w:bCs/>
                <w:iCs/>
                <w:sz w:val="16"/>
                <w:szCs w:val="16"/>
              </w:rPr>
              <w:fldChar w:fldCharType="separate"/>
            </w:r>
            <w:hyperlink w:anchor="_ENREF_28" w:tooltip="Lafont, 2007 #256" w:history="1">
              <w:r w:rsidR="00512D09" w:rsidRPr="00F04E2C">
                <w:rPr>
                  <w:bCs/>
                  <w:iCs/>
                  <w:noProof/>
                  <w:sz w:val="16"/>
                  <w:szCs w:val="16"/>
                  <w:vertAlign w:val="superscript"/>
                </w:rPr>
                <w:t>28</w:t>
              </w:r>
            </w:hyperlink>
            <w:r w:rsidR="00F04E2C" w:rsidRPr="00F04E2C">
              <w:rPr>
                <w:bCs/>
                <w:iCs/>
                <w:noProof/>
                <w:sz w:val="16"/>
                <w:szCs w:val="16"/>
                <w:vertAlign w:val="superscript"/>
              </w:rPr>
              <w:t>,</w:t>
            </w:r>
            <w:hyperlink w:anchor="_ENREF_40" w:tooltip="Perrakis, 1999 #285" w:history="1">
              <w:r w:rsidR="00512D09" w:rsidRPr="00F04E2C">
                <w:rPr>
                  <w:bCs/>
                  <w:iCs/>
                  <w:noProof/>
                  <w:sz w:val="16"/>
                  <w:szCs w:val="16"/>
                  <w:vertAlign w:val="superscript"/>
                </w:rPr>
                <w:t>40</w:t>
              </w:r>
            </w:hyperlink>
            <w:r w:rsidRPr="0089197B">
              <w:rPr>
                <w:sz w:val="16"/>
                <w:szCs w:val="16"/>
              </w:rPr>
              <w:fldChar w:fldCharType="end"/>
            </w:r>
          </w:p>
        </w:tc>
      </w:tr>
    </w:tbl>
    <w:p w:rsidR="00AC0E2A" w:rsidRPr="00AC0E2A" w:rsidRDefault="00AC0E2A" w:rsidP="00217116">
      <w:pPr>
        <w:spacing w:line="240" w:lineRule="auto"/>
        <w:jc w:val="both"/>
        <w:rPr>
          <w:b/>
          <w:bCs/>
        </w:rPr>
      </w:pPr>
    </w:p>
    <w:p w:rsidR="00AC0E2A" w:rsidRPr="00AC0E2A" w:rsidRDefault="00AC0E2A" w:rsidP="00217116">
      <w:pPr>
        <w:spacing w:line="480" w:lineRule="auto"/>
        <w:jc w:val="both"/>
        <w:rPr>
          <w:bCs/>
          <w:iCs/>
        </w:rPr>
      </w:pPr>
      <w:r w:rsidRPr="00AC0E2A">
        <w:rPr>
          <w:bCs/>
          <w:iCs/>
        </w:rPr>
        <w:t>Much of this work on interpreting the role of water in ligand protein interactions is done through crystallography. However, crystallography is ill-suited for investigating protein hydration. Crystallography done at ambient temperatures only shows water molecules that interact strongly with polar atoms</w:t>
      </w:r>
      <w:r w:rsidR="0075462A">
        <w:rPr>
          <w:bCs/>
          <w:iCs/>
        </w:rPr>
        <w:t>.</w:t>
      </w:r>
      <w:hyperlink w:anchor="_ENREF_41" w:tooltip="Nakasako, 1999 #134" w:history="1">
        <w:r w:rsidR="00512D09" w:rsidRPr="00AC0E2A">
          <w:rPr>
            <w:bCs/>
            <w:iCs/>
          </w:rPr>
          <w:fldChar w:fldCharType="begin"/>
        </w:r>
        <w:r w:rsidR="00512D09">
          <w:rPr>
            <w:bCs/>
            <w:iCs/>
          </w:rPr>
          <w:instrText xml:space="preserve"> ADDIN EN.CITE &lt;EndNote&gt;&lt;Cite&gt;&lt;Author&gt;Nakasako&lt;/Author&gt;&lt;Year&gt;1999&lt;/Year&gt;&lt;RecNum&gt;134&lt;/RecNum&gt;&lt;DisplayText&gt;&lt;style face="superscript"&gt;41&lt;/style&gt;&lt;/DisplayText&gt;&lt;record&gt;&lt;rec-number&gt;134&lt;/rec-number&gt;&lt;foreign-keys&gt;&lt;key app="EN" db-id="5trrespwzsdr07efd5tx2w96x22re9s0fsdt"&gt;134&lt;/key&gt;&lt;/foreign-keys&gt;&lt;ref-type name="Journal Article"&gt;17&lt;/ref-type&gt;&lt;contributors&gt;&lt;authors&gt;&lt;author&gt;Nakasako, M.&lt;/author&gt;&lt;/authors&gt;&lt;/contributors&gt;&lt;titles&gt;&lt;title&gt;Large-scale networks of hydration water molecules around bovine beta-trypsin revealed by cryogenic X-ray crystal structure analysis&lt;/title&gt;&lt;secondary-title&gt;Journal of Molecular Biology&lt;/secondary-title&gt;&lt;/titles&gt;&lt;periodical&gt;&lt;full-title&gt;Journal of Molecular Biology&lt;/full-title&gt;&lt;/periodical&gt;&lt;pages&gt;547-564&lt;/pages&gt;&lt;volume&gt;289&lt;/volume&gt;&lt;number&gt;3&lt;/number&gt;&lt;dates&gt;&lt;year&gt;1999&lt;/year&gt;&lt;pub-dates&gt;&lt;date&gt;Jun 11&lt;/date&gt;&lt;/pub-dates&gt;&lt;/dates&gt;&lt;isbn&gt;0022-2836&lt;/isbn&gt;&lt;accession-num&gt;WOS:000081109800010&lt;/accession-num&gt;&lt;urls&gt;&lt;related-urls&gt;&lt;url&gt;&amp;lt;Go to ISI&amp;gt;://WOS:000081109800010&lt;/url&gt;&lt;/related-urls&gt;&lt;/urls&gt;&lt;electronic-resource-num&gt;10.1006/jmbi.1999.2795&lt;/electronic-resource-num&gt;&lt;/record&gt;&lt;/Cite&gt;&lt;/EndNote&gt;</w:instrText>
        </w:r>
        <w:r w:rsidR="00512D09" w:rsidRPr="00AC0E2A">
          <w:rPr>
            <w:bCs/>
            <w:iCs/>
          </w:rPr>
          <w:fldChar w:fldCharType="separate"/>
        </w:r>
        <w:r w:rsidR="00512D09" w:rsidRPr="00F04E2C">
          <w:rPr>
            <w:bCs/>
            <w:iCs/>
            <w:noProof/>
            <w:vertAlign w:val="superscript"/>
          </w:rPr>
          <w:t>41</w:t>
        </w:r>
        <w:r w:rsidR="00512D09" w:rsidRPr="00AC0E2A">
          <w:fldChar w:fldCharType="end"/>
        </w:r>
      </w:hyperlink>
      <w:r w:rsidRPr="00AC0E2A">
        <w:rPr>
          <w:bCs/>
          <w:iCs/>
        </w:rPr>
        <w:t xml:space="preserve"> </w:t>
      </w:r>
      <w:r w:rsidR="009852E6" w:rsidRPr="00AC0E2A">
        <w:rPr>
          <w:bCs/>
          <w:iCs/>
        </w:rPr>
        <w:t>Therefore,</w:t>
      </w:r>
      <w:r w:rsidRPr="00AC0E2A">
        <w:rPr>
          <w:bCs/>
          <w:iCs/>
        </w:rPr>
        <w:t xml:space="preserve"> in many cases, solvation found using crystallographic structures solved at ambient temperatures is much smaller than it naturally would be. In addition to this, the crystal itself can perturb water molecules. </w:t>
      </w:r>
    </w:p>
    <w:p w:rsidR="00AC0E2A" w:rsidRDefault="00AC0E2A" w:rsidP="00217116">
      <w:pPr>
        <w:spacing w:line="480" w:lineRule="auto"/>
        <w:jc w:val="both"/>
        <w:rPr>
          <w:bCs/>
          <w:iCs/>
        </w:rPr>
      </w:pPr>
      <w:r w:rsidRPr="00AC0E2A">
        <w:rPr>
          <w:bCs/>
          <w:iCs/>
        </w:rPr>
        <w:t>Resolution is another problem when trying to interpret water in crystallographic structures</w:t>
      </w:r>
      <w:r w:rsidR="0057282F">
        <w:rPr>
          <w:bCs/>
          <w:iCs/>
        </w:rPr>
        <w:t xml:space="preserve">. </w:t>
      </w:r>
      <w:hyperlink w:anchor="_ENREF_42" w:tooltip="Ladbury, 1996 #287" w:history="1">
        <w:r w:rsidR="00512D09" w:rsidRPr="00AC0E2A">
          <w:rPr>
            <w:bCs/>
            <w:iCs/>
          </w:rPr>
          <w:fldChar w:fldCharType="begin"/>
        </w:r>
        <w:r w:rsidR="00512D09">
          <w:rPr>
            <w:bCs/>
            <w:iCs/>
          </w:rPr>
          <w:instrText xml:space="preserve"> ADDIN EN.CITE &lt;EndNote&gt;&lt;Cite&gt;&lt;Author&gt;Ladbury&lt;/Author&gt;&lt;Year&gt;1996&lt;/Year&gt;&lt;RecNum&gt;287&lt;/RecNum&gt;&lt;DisplayText&gt;&lt;style face="superscript"&gt;42&lt;/style&gt;&lt;/DisplayText&gt;&lt;record&gt;&lt;rec-number&gt;287&lt;/rec-number&gt;&lt;foreign-keys&gt;&lt;key app="EN" db-id="5trrespwzsdr07efd5tx2w96x22re9s0fsdt"&gt;287&lt;/key&gt;&lt;/foreign-keys&gt;&lt;ref-type name="Journal Article"&gt;17&lt;/ref-type&gt;&lt;contributors&gt;&lt;authors&gt;&lt;author&gt;Ladbury, John E.&lt;/author&gt;&lt;/authors&gt;&lt;/contributors&gt;&lt;titles&gt;&lt;title&gt;Just add water! The effect of water on the specificity of protein-ligand binding sites and its potential application to drug design&lt;/title&gt;&lt;secondary-title&gt;Chemistry &amp;amp; Biology&lt;/secondary-title&gt;&lt;/titles&gt;&lt;periodical&gt;&lt;full-title&gt;Chemistry &amp;amp; Biology&lt;/full-title&gt;&lt;/periodical&gt;&lt;pages&gt;973-980&lt;/pages&gt;&lt;volume&gt;3&lt;/volume&gt;&lt;number&gt;12&lt;/number&gt;&lt;dates&gt;&lt;year&gt;1996&lt;/year&gt;&lt;/dates&gt;&lt;isbn&gt;1074-5521&lt;/isbn&gt;&lt;urls&gt;&lt;related-urls&gt;&lt;url&gt;http://www.sciencedirect.com/science/article/pii/S1074552196901647&lt;/url&gt;&lt;/related-urls&gt;&lt;/urls&gt;&lt;electronic-resource-num&gt;http://dx.doi.org/10.1016/S1074-5521(96)90164-7&lt;/electronic-resource-num&gt;&lt;/record&gt;&lt;/Cite&gt;&lt;/EndNote&gt;</w:instrText>
        </w:r>
        <w:r w:rsidR="00512D09" w:rsidRPr="00AC0E2A">
          <w:rPr>
            <w:bCs/>
            <w:iCs/>
          </w:rPr>
          <w:fldChar w:fldCharType="separate"/>
        </w:r>
        <w:r w:rsidR="00512D09" w:rsidRPr="00F04E2C">
          <w:rPr>
            <w:bCs/>
            <w:iCs/>
            <w:noProof/>
            <w:vertAlign w:val="superscript"/>
          </w:rPr>
          <w:t>42</w:t>
        </w:r>
        <w:r w:rsidR="00512D09" w:rsidRPr="00AC0E2A">
          <w:fldChar w:fldCharType="end"/>
        </w:r>
      </w:hyperlink>
      <w:r w:rsidRPr="00AC0E2A">
        <w:rPr>
          <w:bCs/>
          <w:iCs/>
        </w:rPr>
        <w:t xml:space="preserve"> Ladbury states that although water molecules can be seen at resolution of 2 Å, the bond angles and assignment of the exact position is uncertain</w:t>
      </w:r>
      <w:r w:rsidR="00784261">
        <w:rPr>
          <w:bCs/>
          <w:iCs/>
        </w:rPr>
        <w:t>.</w:t>
      </w:r>
      <w:hyperlink w:anchor="_ENREF_42" w:tooltip="Ladbury, 1996 #287" w:history="1">
        <w:r w:rsidR="00512D09" w:rsidRPr="00AC0E2A">
          <w:rPr>
            <w:bCs/>
            <w:iCs/>
          </w:rPr>
          <w:fldChar w:fldCharType="begin"/>
        </w:r>
        <w:r w:rsidR="00512D09">
          <w:rPr>
            <w:bCs/>
            <w:iCs/>
          </w:rPr>
          <w:instrText xml:space="preserve"> ADDIN EN.CITE &lt;EndNote&gt;&lt;Cite&gt;&lt;Author&gt;Ladbury&lt;/Author&gt;&lt;Year&gt;1996&lt;/Year&gt;&lt;RecNum&gt;287&lt;/RecNum&gt;&lt;DisplayText&gt;&lt;style face="superscript"&gt;42&lt;/style&gt;&lt;/DisplayText&gt;&lt;record&gt;&lt;rec-number&gt;287&lt;/rec-number&gt;&lt;foreign-keys&gt;&lt;key app="EN" db-id="5trrespwzsdr07efd5tx2w96x22re9s0fsdt"&gt;287&lt;/key&gt;&lt;/foreign-keys&gt;&lt;ref-type name="Journal Article"&gt;17&lt;/ref-type&gt;&lt;contributors&gt;&lt;authors&gt;&lt;author&gt;Ladbury, John E.&lt;/author&gt;&lt;/authors&gt;&lt;/contributors&gt;&lt;titles&gt;&lt;title&gt;Just add water! The effect of water on the specificity of protein-ligand binding sites and its potential application to drug design&lt;/title&gt;&lt;secondary-title&gt;Chemistry &amp;amp; Biology&lt;/secondary-title&gt;&lt;/titles&gt;&lt;periodical&gt;&lt;full-title&gt;Chemistry &amp;amp; Biology&lt;/full-title&gt;&lt;/periodical&gt;&lt;pages&gt;973-980&lt;/pages&gt;&lt;volume&gt;3&lt;/volume&gt;&lt;number&gt;12&lt;/number&gt;&lt;dates&gt;&lt;year&gt;1996&lt;/year&gt;&lt;/dates&gt;&lt;isbn&gt;1074-5521&lt;/isbn&gt;&lt;urls&gt;&lt;related-urls&gt;&lt;url&gt;http://www.sciencedirect.com/science/article/pii/S1074552196901647&lt;/url&gt;&lt;/related-urls&gt;&lt;/urls&gt;&lt;electronic-resource-num&gt;http://dx.doi.org/10.1016/S1074-5521(96)90164-7&lt;/electronic-resource-num&gt;&lt;/record&gt;&lt;/Cite&gt;&lt;/EndNote&gt;</w:instrText>
        </w:r>
        <w:r w:rsidR="00512D09" w:rsidRPr="00AC0E2A">
          <w:rPr>
            <w:bCs/>
            <w:iCs/>
          </w:rPr>
          <w:fldChar w:fldCharType="separate"/>
        </w:r>
        <w:r w:rsidR="00512D09" w:rsidRPr="00F04E2C">
          <w:rPr>
            <w:bCs/>
            <w:iCs/>
            <w:noProof/>
            <w:vertAlign w:val="superscript"/>
          </w:rPr>
          <w:t>42</w:t>
        </w:r>
        <w:r w:rsidR="00512D09" w:rsidRPr="00AC0E2A">
          <w:fldChar w:fldCharType="end"/>
        </w:r>
      </w:hyperlink>
      <w:r w:rsidRPr="00AC0E2A">
        <w:rPr>
          <w:bCs/>
          <w:iCs/>
        </w:rPr>
        <w:t xml:space="preserve"> </w:t>
      </w:r>
      <w:r w:rsidR="009E32BC">
        <w:rPr>
          <w:bCs/>
          <w:iCs/>
        </w:rPr>
        <w:t>Ladbury further states that in some cases</w:t>
      </w:r>
      <w:r w:rsidRPr="00AC0E2A">
        <w:rPr>
          <w:bCs/>
          <w:iCs/>
        </w:rPr>
        <w:t xml:space="preserve"> water molecules may be added to help </w:t>
      </w:r>
      <w:r w:rsidR="00260AC8">
        <w:rPr>
          <w:bCs/>
          <w:iCs/>
        </w:rPr>
        <w:t>the statistics of the structure, t</w:t>
      </w:r>
      <w:r w:rsidRPr="00AC0E2A">
        <w:rPr>
          <w:bCs/>
          <w:iCs/>
        </w:rPr>
        <w:t xml:space="preserve">herefore, caution must be taken when interpreting crystal structures. </w:t>
      </w:r>
    </w:p>
    <w:p w:rsidR="00CD5DCC" w:rsidRDefault="0053318E" w:rsidP="00217116">
      <w:pPr>
        <w:pStyle w:val="Heading3"/>
        <w:jc w:val="both"/>
      </w:pPr>
      <w:bookmarkStart w:id="23" w:name="_Toc459130656"/>
      <w:r>
        <w:t>E</w:t>
      </w:r>
      <w:r w:rsidR="00514313">
        <w:t xml:space="preserve">ntropy </w:t>
      </w:r>
      <w:r>
        <w:t>E</w:t>
      </w:r>
      <w:r w:rsidR="00514313">
        <w:t xml:space="preserve">nthalpy </w:t>
      </w:r>
      <w:r>
        <w:t>C</w:t>
      </w:r>
      <w:r w:rsidR="00514313">
        <w:t>ompensation</w:t>
      </w:r>
      <w:r>
        <w:t xml:space="preserve"> Phenomena and W</w:t>
      </w:r>
      <w:r w:rsidR="00D96951" w:rsidRPr="00D13005">
        <w:t>ater</w:t>
      </w:r>
      <w:bookmarkEnd w:id="23"/>
    </w:p>
    <w:p w:rsidR="006F051C" w:rsidRPr="006F051C" w:rsidRDefault="006F051C" w:rsidP="00217116">
      <w:pPr>
        <w:jc w:val="both"/>
      </w:pPr>
    </w:p>
    <w:p w:rsidR="00964F1D" w:rsidRDefault="003915D1" w:rsidP="00217116">
      <w:pPr>
        <w:spacing w:line="480" w:lineRule="auto"/>
        <w:jc w:val="both"/>
      </w:pPr>
      <w:r>
        <w:t>Originally,</w:t>
      </w:r>
      <w:r w:rsidR="00964F1D">
        <w:t xml:space="preserve"> the </w:t>
      </w:r>
      <w:r w:rsidR="00AA14EB" w:rsidRPr="00AA14EB">
        <w:t xml:space="preserve">isoequilibrium </w:t>
      </w:r>
      <w:r w:rsidR="00964F1D">
        <w:t xml:space="preserve">relationship and compensation effect were considered to be </w:t>
      </w:r>
      <w:r w:rsidR="00E1017D">
        <w:t>equivalent</w:t>
      </w:r>
      <w:r w:rsidR="00B51D50">
        <w:t>.</w:t>
      </w:r>
      <w:hyperlink w:anchor="_ENREF_43" w:tooltip="Xiang, 2001 #398" w:history="1">
        <w:r w:rsidR="00512D09">
          <w:fldChar w:fldCharType="begin"/>
        </w:r>
        <w:r w:rsidR="00512D09">
          <w:instrText xml:space="preserve"> ADDIN EN.CITE &lt;EndNote&gt;&lt;Cite&gt;&lt;Author&gt;Xiang&lt;/Author&gt;&lt;Year&gt;2001&lt;/Year&gt;&lt;RecNum&gt;398&lt;/RecNum&gt;&lt;DisplayText&gt;&lt;style face="superscript"&gt;43&lt;/style&gt;&lt;/DisplayText&gt;&lt;record&gt;&lt;rec-number&gt;398&lt;/rec-number&gt;&lt;foreign-keys&gt;&lt;key app="EN" db-id="5trrespwzsdr07efd5tx2w96x22re9s0fsdt"&gt;398&lt;/key&gt;&lt;/foreign-keys&gt;&lt;ref-type name="Journal Article"&gt;17&lt;/ref-type&gt;&lt;contributors&gt;&lt;authors&gt;&lt;author&gt;Xiang, Qing.&lt;/author&gt;&lt;/authors&gt;&lt;/contributors&gt;&lt;titles&gt;&lt;title&gt;Isoequilibrium Relationship, and Enthalpy-Entropy Compensation&lt;/title&gt;&lt;secondary-title&gt;Chemical Reviews&lt;/secondary-title&gt;&lt;/titles&gt;&lt;periodical&gt;&lt;full-title&gt;Chemical Reviews&lt;/full-title&gt;&lt;/periodical&gt;&lt;pages&gt;673-695&lt;/pages&gt;&lt;volume&gt;101&lt;/volume&gt;&lt;number&gt;3&lt;/number&gt;&lt;dates&gt;&lt;year&gt;2001&lt;/year&gt;&lt;/dates&gt;&lt;urls&gt;&lt;/urls&gt;&lt;/record&gt;&lt;/Cite&gt;&lt;/EndNote&gt;</w:instrText>
        </w:r>
        <w:r w:rsidR="00512D09">
          <w:fldChar w:fldCharType="separate"/>
        </w:r>
        <w:r w:rsidR="00512D09" w:rsidRPr="00F04E2C">
          <w:rPr>
            <w:noProof/>
            <w:vertAlign w:val="superscript"/>
          </w:rPr>
          <w:t>43</w:t>
        </w:r>
        <w:r w:rsidR="00512D09">
          <w:fldChar w:fldCharType="end"/>
        </w:r>
      </w:hyperlink>
      <w:r w:rsidR="00964F1D">
        <w:t xml:space="preserve"> An </w:t>
      </w:r>
      <w:r w:rsidR="00F36C1A" w:rsidRPr="00F36C1A">
        <w:t xml:space="preserve">isoequilibrium </w:t>
      </w:r>
      <w:r w:rsidR="00964F1D">
        <w:t>relationship means that there is a te</w:t>
      </w:r>
      <w:r w:rsidR="000817A2">
        <w:t xml:space="preserve">mperature when the </w:t>
      </w:r>
      <w:r w:rsidR="000661BA">
        <w:t>equilibria</w:t>
      </w:r>
      <w:r w:rsidR="000817A2">
        <w:t xml:space="preserve"> (</w:t>
      </w:r>
      <w:r w:rsidR="00964F1D">
        <w:t>where one parameter is varied</w:t>
      </w:r>
      <w:r w:rsidR="000817A2">
        <w:t>)</w:t>
      </w:r>
      <w:r w:rsidR="00964F1D">
        <w:t xml:space="preserve"> are fairly close together. A compe</w:t>
      </w:r>
      <w:r w:rsidR="008B4964">
        <w:t>nsation effect means that the either entropy or enthalpy compensates the othe</w:t>
      </w:r>
      <w:r w:rsidR="007C1E6F">
        <w:t>r parameter. Plotting the Gibbs</w:t>
      </w:r>
      <w:r w:rsidR="008B4964">
        <w:t xml:space="preserve"> free energy of binding against temperature in many examples shows an intersection point where the reactions all have</w:t>
      </w:r>
      <w:r w:rsidR="009F27D2">
        <w:t xml:space="preserve"> the same equilibrium constant displaying an </w:t>
      </w:r>
      <w:r w:rsidR="00F36C1A" w:rsidRPr="00F36C1A">
        <w:t xml:space="preserve">isoequilibrium </w:t>
      </w:r>
      <w:r w:rsidR="009F27D2">
        <w:t xml:space="preserve">point. </w:t>
      </w:r>
      <w:r w:rsidR="008B4964">
        <w:t xml:space="preserve"> </w:t>
      </w:r>
      <w:r w:rsidR="009F27D2" w:rsidRPr="005A6624">
        <w:t xml:space="preserve">Plotting entropy versus </w:t>
      </w:r>
      <w:r w:rsidR="00273EA2">
        <w:t>enthalpy yields entropy-</w:t>
      </w:r>
      <w:r w:rsidR="009F27D2" w:rsidRPr="005A6624">
        <w:t>enthalpy plots</w:t>
      </w:r>
      <w:r w:rsidR="0075462A">
        <w:t xml:space="preserve"> and </w:t>
      </w:r>
      <w:r w:rsidR="009F27D2" w:rsidRPr="005A6624">
        <w:t xml:space="preserve">where linearity </w:t>
      </w:r>
      <w:r w:rsidR="00273EA2">
        <w:t xml:space="preserve">occurs, this is </w:t>
      </w:r>
      <w:r w:rsidR="009F27D2" w:rsidRPr="005A6624">
        <w:t xml:space="preserve">assumed to be proof </w:t>
      </w:r>
      <w:r w:rsidR="00AA14EB" w:rsidRPr="005A6624">
        <w:t>of</w:t>
      </w:r>
      <w:r w:rsidR="009F27D2" w:rsidRPr="005A6624">
        <w:t xml:space="preserve"> EEC. </w:t>
      </w:r>
      <w:r w:rsidR="00AA14EB">
        <w:t xml:space="preserve">However, there may be cases where in the latter there is no correlation due to both large and small opposing changes in both entropy and enthalpy that may overall lead to an </w:t>
      </w:r>
      <w:r w:rsidR="00AA14EB" w:rsidRPr="00AA14EB">
        <w:t xml:space="preserve">isoequilibrium </w:t>
      </w:r>
      <w:r w:rsidR="00AA14EB">
        <w:t>effect</w:t>
      </w:r>
      <w:r w:rsidR="00784261">
        <w:t>.</w:t>
      </w:r>
      <w:hyperlink w:anchor="_ENREF_43" w:tooltip="Xiang, 2001 #398" w:history="1">
        <w:r w:rsidR="00512D09">
          <w:fldChar w:fldCharType="begin"/>
        </w:r>
        <w:r w:rsidR="00512D09">
          <w:instrText xml:space="preserve"> ADDIN EN.CITE &lt;EndNote&gt;&lt;Cite&gt;&lt;Author&gt;Xiang&lt;/Author&gt;&lt;Year&gt;2001&lt;/Year&gt;&lt;RecNum&gt;398&lt;/RecNum&gt;&lt;DisplayText&gt;&lt;style face="superscript"&gt;43&lt;/style&gt;&lt;/DisplayText&gt;&lt;record&gt;&lt;rec-number&gt;398&lt;/rec-number&gt;&lt;foreign-keys&gt;&lt;key app="EN" db-id="5trrespwzsdr07efd5tx2w96x22re9s0fsdt"&gt;398&lt;/key&gt;&lt;/foreign-keys&gt;&lt;ref-type name="Journal Article"&gt;17&lt;/ref-type&gt;&lt;contributors&gt;&lt;authors&gt;&lt;author&gt;Xiang, Qing.&lt;/author&gt;&lt;/authors&gt;&lt;/contributors&gt;&lt;titles&gt;&lt;title&gt;Isoequilibrium Relationship, and Enthalpy-Entropy Compensation&lt;/title&gt;&lt;secondary-title&gt;Chemical Reviews&lt;/secondary-title&gt;&lt;/titles&gt;&lt;periodical&gt;&lt;full-title&gt;Chemical Reviews&lt;/full-title&gt;&lt;/periodical&gt;&lt;pages&gt;673-695&lt;/pages&gt;&lt;volume&gt;101&lt;/volume&gt;&lt;number&gt;3&lt;/number&gt;&lt;dates&gt;&lt;year&gt;2001&lt;/year&gt;&lt;/dates&gt;&lt;urls&gt;&lt;/urls&gt;&lt;/record&gt;&lt;/Cite&gt;&lt;/EndNote&gt;</w:instrText>
        </w:r>
        <w:r w:rsidR="00512D09">
          <w:fldChar w:fldCharType="separate"/>
        </w:r>
        <w:r w:rsidR="00512D09" w:rsidRPr="00F04E2C">
          <w:rPr>
            <w:noProof/>
            <w:vertAlign w:val="superscript"/>
          </w:rPr>
          <w:t>43</w:t>
        </w:r>
        <w:r w:rsidR="00512D09">
          <w:fldChar w:fldCharType="end"/>
        </w:r>
      </w:hyperlink>
      <w:r w:rsidR="00AA14EB">
        <w:t xml:space="preserve"> </w:t>
      </w:r>
    </w:p>
    <w:p w:rsidR="00580D70" w:rsidRPr="00DF410F" w:rsidRDefault="00580D70" w:rsidP="00217116">
      <w:pPr>
        <w:spacing w:line="480" w:lineRule="auto"/>
        <w:jc w:val="both"/>
        <w:rPr>
          <w:bCs/>
          <w:iCs/>
        </w:rPr>
      </w:pPr>
      <w:r>
        <w:lastRenderedPageBreak/>
        <w:t>In their seminal work</w:t>
      </w:r>
      <w:r w:rsidR="00273EA2">
        <w:t>,</w:t>
      </w:r>
      <w:r>
        <w:t xml:space="preserve"> Lumry and </w:t>
      </w:r>
      <w:r w:rsidR="008C0247">
        <w:t xml:space="preserve">Rajender proposed </w:t>
      </w:r>
      <w:r w:rsidR="00273EA2">
        <w:t xml:space="preserve">that </w:t>
      </w:r>
      <w:r w:rsidR="008C0247">
        <w:t>protein processes</w:t>
      </w:r>
      <w:r w:rsidR="00273EA2">
        <w:t>,</w:t>
      </w:r>
      <w:r w:rsidR="008C0247">
        <w:t xml:space="preserve"> such as binding substrates</w:t>
      </w:r>
      <w:r w:rsidR="00273EA2">
        <w:t>,</w:t>
      </w:r>
      <w:r w:rsidR="008C0247">
        <w:t xml:space="preserve"> are coupled to water via conformational rearrangements of the protein and that EEC phenomena is a consequence of this</w:t>
      </w:r>
      <w:r w:rsidR="00784261">
        <w:t>.</w:t>
      </w:r>
      <w:r w:rsidR="008C0247">
        <w:t xml:space="preserve"> </w:t>
      </w:r>
      <w:hyperlink w:anchor="_ENREF_13" w:tooltip="Lumry, 1970 #199" w:history="1">
        <w:r w:rsidR="00512D09">
          <w:fldChar w:fldCharType="begin"/>
        </w:r>
        <w:r w:rsidR="00512D09">
          <w:instrText xml:space="preserve"> ADDIN EN.CITE &lt;EndNote&gt;&lt;Cite&gt;&lt;Author&gt;Lumry&lt;/Author&gt;&lt;Year&gt;1970&lt;/Year&gt;&lt;RecNum&gt;199&lt;/RecNum&gt;&lt;DisplayText&gt;&lt;style face="superscript"&gt;13&lt;/style&gt;&lt;/DisplayText&gt;&lt;record&gt;&lt;rec-number&gt;199&lt;/rec-number&gt;&lt;foreign-keys&gt;&lt;key app="EN" db-id="5trrespwzsdr07efd5tx2w96x22re9s0fsdt"&gt;199&lt;/key&gt;&lt;/foreign-keys&gt;&lt;ref-type name="Journal Article"&gt;17&lt;/ref-type&gt;&lt;contributors&gt;&lt;authors&gt;&lt;author&gt;Lumry, Rufus&lt;/author&gt;&lt;author&gt;Rajender, Shyamala&lt;/author&gt;&lt;/authors&gt;&lt;/contributors&gt;&lt;titles&gt;&lt;title&gt;Enthalpy–entropy compensation phenomena in water solutions of proteins and small molecules: A ubiquitous properly of water&lt;/title&gt;&lt;secondary-title&gt;Biopolymers&lt;/secondary-title&gt;&lt;/titles&gt;&lt;periodical&gt;&lt;full-title&gt;Biopolymers&lt;/full-title&gt;&lt;/periodical&gt;&lt;pages&gt;1125-1227&lt;/pages&gt;&lt;volume&gt;9&lt;/volume&gt;&lt;number&gt;10&lt;/number&gt;&lt;dates&gt;&lt;year&gt;1970&lt;/year&gt;&lt;/dates&gt;&lt;publisher&gt;Wiley Subscription Services, Inc., A Wiley Company&lt;/publisher&gt;&lt;isbn&gt;1097-0282&lt;/isbn&gt;&lt;urls&gt;&lt;related-urls&gt;&lt;url&gt;http://dx.doi.org/10.1002/bip.1970.360091002&lt;/url&gt;&lt;/related-urls&gt;&lt;/urls&gt;&lt;electronic-resource-num&gt;10.1002/bip.1970.360091002&lt;/electronic-resource-num&gt;&lt;/record&gt;&lt;/Cite&gt;&lt;/EndNote&gt;</w:instrText>
        </w:r>
        <w:r w:rsidR="00512D09">
          <w:fldChar w:fldCharType="separate"/>
        </w:r>
        <w:r w:rsidR="00512D09" w:rsidRPr="00E30C0B">
          <w:rPr>
            <w:noProof/>
            <w:vertAlign w:val="superscript"/>
          </w:rPr>
          <w:t>13</w:t>
        </w:r>
        <w:r w:rsidR="00512D09">
          <w:fldChar w:fldCharType="end"/>
        </w:r>
      </w:hyperlink>
      <w:r w:rsidR="008C0247">
        <w:t xml:space="preserve">  </w:t>
      </w:r>
      <w:r w:rsidR="00866BBB" w:rsidRPr="00866BBB">
        <w:rPr>
          <w:bCs/>
        </w:rPr>
        <w:t>Grunwald and Steel</w:t>
      </w:r>
      <w:r w:rsidR="00273EA2">
        <w:rPr>
          <w:bCs/>
        </w:rPr>
        <w:t xml:space="preserve"> advocated the idea of solute-</w:t>
      </w:r>
      <w:r w:rsidR="00866BBB">
        <w:rPr>
          <w:bCs/>
        </w:rPr>
        <w:t>induced molar shifts when the solvent consists of two or more isomeric forms being responsible for EEC phenomena</w:t>
      </w:r>
      <w:r w:rsidR="00784261">
        <w:rPr>
          <w:bCs/>
        </w:rPr>
        <w:t>.</w:t>
      </w:r>
      <w:hyperlink w:anchor="_ENREF_14" w:tooltip="Grunwald, 1995 #496" w:history="1">
        <w:r w:rsidR="00512D09">
          <w:rPr>
            <w:bCs/>
          </w:rPr>
          <w:fldChar w:fldCharType="begin"/>
        </w:r>
        <w:r w:rsidR="00512D09">
          <w:rPr>
            <w:bCs/>
          </w:rPr>
          <w:instrText xml:space="preserve"> ADDIN EN.CITE &lt;EndNote&gt;&lt;Cite&gt;&lt;Author&gt;Grunwald&lt;/Author&gt;&lt;Year&gt;1995&lt;/Year&gt;&lt;RecNum&gt;496&lt;/RecNum&gt;&lt;DisplayText&gt;&lt;style face="superscript"&gt;14&lt;/style&gt;&lt;/DisplayText&gt;&lt;record&gt;&lt;rec-number&gt;496&lt;/rec-number&gt;&lt;foreign-keys&gt;&lt;key app="EN" db-id="5trrespwzsdr07efd5tx2w96x22re9s0fsdt"&gt;496&lt;/key&gt;&lt;/foreign-keys&gt;&lt;ref-type name="Journal Article"&gt;17&lt;/ref-type&gt;&lt;contributors&gt;&lt;authors&gt;&lt;author&gt;Grunwald, Ernest&lt;/author&gt;&lt;author&gt;Steel, Colin&lt;/author&gt;&lt;/authors&gt;&lt;/contributors&gt;&lt;titles&gt;&lt;title&gt;Solvent reorganization and thermodynamic enthalpy-entropy compensation&lt;/title&gt;&lt;secondary-title&gt;J Am Chem Soc&lt;/secondary-title&gt;&lt;/titles&gt;&lt;periodical&gt;&lt;full-title&gt;J Am Chem Soc&lt;/full-title&gt;&lt;abbr-1&gt;Journal of the American Chemical Society&lt;/abbr-1&gt;&lt;/periodical&gt;&lt;pages&gt;5687-5692&lt;/pages&gt;&lt;volume&gt;117&lt;/volume&gt;&lt;number&gt;21&lt;/number&gt;&lt;dates&gt;&lt;year&gt;1995&lt;/year&gt;&lt;/dates&gt;&lt;isbn&gt;0002-7863&lt;/isbn&gt;&lt;urls&gt;&lt;/urls&gt;&lt;/record&gt;&lt;/Cite&gt;&lt;/EndNote&gt;</w:instrText>
        </w:r>
        <w:r w:rsidR="00512D09">
          <w:rPr>
            <w:bCs/>
          </w:rPr>
          <w:fldChar w:fldCharType="separate"/>
        </w:r>
        <w:r w:rsidR="00512D09" w:rsidRPr="00E30C0B">
          <w:rPr>
            <w:bCs/>
            <w:noProof/>
            <w:vertAlign w:val="superscript"/>
          </w:rPr>
          <w:t>14</w:t>
        </w:r>
        <w:r w:rsidR="00512D09">
          <w:rPr>
            <w:bCs/>
          </w:rPr>
          <w:fldChar w:fldCharType="end"/>
        </w:r>
      </w:hyperlink>
      <w:r w:rsidR="00D84C75">
        <w:rPr>
          <w:bCs/>
        </w:rPr>
        <w:t xml:space="preserve"> This idea that water around solutes has differing spatial and thermodynamic properties than that of the bulk is supported by numerous techniques.  </w:t>
      </w:r>
      <w:r w:rsidR="00D84C75" w:rsidRPr="00D84C75">
        <w:rPr>
          <w:bCs/>
        </w:rPr>
        <w:t xml:space="preserve">Terahertz time domain spectroscopy </w:t>
      </w:r>
      <w:r w:rsidR="00D84C75">
        <w:rPr>
          <w:bCs/>
        </w:rPr>
        <w:t xml:space="preserve">has shown in conjunction with MDS that </w:t>
      </w:r>
      <w:r w:rsidR="00440256" w:rsidRPr="00440256">
        <w:rPr>
          <w:bCs/>
          <w:iCs/>
        </w:rPr>
        <w:t xml:space="preserve">both hydrophobic and hydrophilic groups </w:t>
      </w:r>
      <w:r w:rsidR="00440256">
        <w:rPr>
          <w:bCs/>
          <w:iCs/>
        </w:rPr>
        <w:t>increase the hydrogen bond lifetime</w:t>
      </w:r>
      <w:r w:rsidR="00440256" w:rsidRPr="00440256">
        <w:rPr>
          <w:bCs/>
          <w:iCs/>
        </w:rPr>
        <w:t xml:space="preserve"> within a distance of 5 Å compared to</w:t>
      </w:r>
      <w:r w:rsidR="00440256">
        <w:rPr>
          <w:bCs/>
          <w:iCs/>
        </w:rPr>
        <w:t xml:space="preserve"> that of bulk water</w:t>
      </w:r>
      <w:r w:rsidR="00784261">
        <w:rPr>
          <w:bCs/>
          <w:iCs/>
        </w:rPr>
        <w:t>.</w:t>
      </w:r>
      <w:hyperlink w:anchor="_ENREF_44" w:tooltip="Niehues, 2011 #190" w:history="1">
        <w:r w:rsidR="00512D09" w:rsidRPr="00440256">
          <w:rPr>
            <w:bCs/>
            <w:iCs/>
          </w:rPr>
          <w:fldChar w:fldCharType="begin"/>
        </w:r>
        <w:r w:rsidR="00512D09">
          <w:rPr>
            <w:bCs/>
            <w:iCs/>
          </w:rPr>
          <w:instrText xml:space="preserve"> ADDIN EN.CITE &lt;EndNote&gt;&lt;Cite&gt;&lt;Author&gt;Niehues&lt;/Author&gt;&lt;Year&gt;2011&lt;/Year&gt;&lt;RecNum&gt;190&lt;/RecNum&gt;&lt;DisplayText&gt;&lt;style face="superscript"&gt;44&lt;/style&gt;&lt;/DisplayText&gt;&lt;record&gt;&lt;rec-number&gt;190&lt;/rec-number&gt;&lt;foreign-keys&gt;&lt;key app="EN" db-id="5trrespwzsdr07efd5tx2w96x22re9s0fsdt"&gt;190&lt;/key&gt;&lt;/foreign-keys&gt;&lt;ref-type name="Journal Article"&gt;17&lt;/ref-type&gt;&lt;contributors&gt;&lt;authors&gt;&lt;author&gt;Niehues, Gudrun&lt;/author&gt;&lt;author&gt;Heyden, Matthias&lt;/author&gt;&lt;author&gt;Schmidt, Diedrich A.&lt;/author&gt;&lt;author&gt;Havenith, Martina&lt;/author&gt;&lt;/authors&gt;&lt;/contributors&gt;&lt;titles&gt;&lt;title&gt;Exploring hydrophobicity by THz absorption spectroscopy of solvated amino acids&lt;/title&gt;&lt;secondary-title&gt;Faraday Discussions&lt;/secondary-title&gt;&lt;/titles&gt;&lt;periodical&gt;&lt;full-title&gt;Faraday Discussions&lt;/full-title&gt;&lt;/periodical&gt;&lt;pages&gt;193-207&lt;/pages&gt;&lt;volume&gt;150&lt;/volume&gt;&lt;dates&gt;&lt;year&gt;2011&lt;/year&gt;&lt;pub-dates&gt;&lt;date&gt;2011&lt;/date&gt;&lt;/pub-dates&gt;&lt;/dates&gt;&lt;isbn&gt;1359-6640&lt;/isbn&gt;&lt;accession-num&gt;WOS:000292977100010&lt;/accession-num&gt;&lt;urls&gt;&lt;related-urls&gt;&lt;url&gt;&amp;lt;Go to ISI&amp;gt;://WOS:000292977100010&lt;/url&gt;&lt;/related-urls&gt;&lt;/urls&gt;&lt;electronic-resource-num&gt;10.1039/c0fd00007h&lt;/electronic-resource-num&gt;&lt;/record&gt;&lt;/Cite&gt;&lt;/EndNote&gt;</w:instrText>
        </w:r>
        <w:r w:rsidR="00512D09" w:rsidRPr="00440256">
          <w:rPr>
            <w:bCs/>
            <w:iCs/>
          </w:rPr>
          <w:fldChar w:fldCharType="separate"/>
        </w:r>
        <w:r w:rsidR="00512D09" w:rsidRPr="00F04E2C">
          <w:rPr>
            <w:bCs/>
            <w:iCs/>
            <w:noProof/>
            <w:vertAlign w:val="superscript"/>
          </w:rPr>
          <w:t>44</w:t>
        </w:r>
        <w:r w:rsidR="00512D09" w:rsidRPr="00440256">
          <w:rPr>
            <w:bCs/>
          </w:rPr>
          <w:fldChar w:fldCharType="end"/>
        </w:r>
      </w:hyperlink>
      <w:r w:rsidR="00440256">
        <w:rPr>
          <w:bCs/>
          <w:iCs/>
        </w:rPr>
        <w:t xml:space="preserve"> </w:t>
      </w:r>
      <w:r w:rsidR="00440256" w:rsidRPr="00440256">
        <w:rPr>
          <w:bCs/>
          <w:iCs/>
        </w:rPr>
        <w:t xml:space="preserve">Davis </w:t>
      </w:r>
      <w:r w:rsidR="002D4FF8">
        <w:rPr>
          <w:bCs/>
          <w:i/>
          <w:iCs/>
        </w:rPr>
        <w:t xml:space="preserve">et al. </w:t>
      </w:r>
      <w:r w:rsidR="00440256" w:rsidRPr="00440256">
        <w:rPr>
          <w:bCs/>
          <w:iCs/>
        </w:rPr>
        <w:t xml:space="preserve"> used Raman multivariate curve resolution spectroscopy to probe the hydration layer around the apolar chains of alcohols. The group showed the water surrounding the apolar main chains of these alcohols adopted more </w:t>
      </w:r>
      <w:r w:rsidR="00440256" w:rsidRPr="00DF410F">
        <w:rPr>
          <w:bCs/>
          <w:iCs/>
        </w:rPr>
        <w:t>tetrahedral structures with fewer weak hydrogen bonds in comparison to water found in the bulk</w:t>
      </w:r>
      <w:r w:rsidR="00784261">
        <w:rPr>
          <w:bCs/>
          <w:iCs/>
        </w:rPr>
        <w:t>.</w:t>
      </w:r>
      <w:hyperlink w:anchor="_ENREF_20" w:tooltip="Davis, 2012 #179" w:history="1">
        <w:r w:rsidR="00512D09" w:rsidRPr="00DF410F">
          <w:rPr>
            <w:bCs/>
            <w:iCs/>
          </w:rPr>
          <w:fldChar w:fldCharType="begin"/>
        </w:r>
        <w:r w:rsidR="00512D09">
          <w:rPr>
            <w:bCs/>
            <w:iCs/>
          </w:rPr>
          <w:instrText xml:space="preserve"> ADDIN EN.CITE &lt;EndNote&gt;&lt;Cite&gt;&lt;Author&gt;Davis&lt;/Author&gt;&lt;Year&gt;2012&lt;/Year&gt;&lt;RecNum&gt;179&lt;/RecNum&gt;&lt;DisplayText&gt;&lt;style face="superscript"&gt;20&lt;/style&gt;&lt;/DisplayText&gt;&lt;record&gt;&lt;rec-number&gt;179&lt;/rec-number&gt;&lt;foreign-keys&gt;&lt;key app="EN" db-id="5trrespwzsdr07efd5tx2w96x22re9s0fsdt"&gt;179&lt;/key&gt;&lt;/foreign-keys&gt;&lt;ref-type name="Journal Article"&gt;17&lt;/ref-type&gt;&lt;contributors&gt;&lt;authors&gt;&lt;author&gt;Davis, Joel G.&lt;/author&gt;&lt;author&gt;Gierszal, Kamil P.&lt;/author&gt;&lt;author&gt;Wang, Ping&lt;/author&gt;&lt;author&gt;Ben-Amotz, Dor&lt;/author&gt;&lt;/authors&gt;&lt;/contributors&gt;&lt;titles&gt;&lt;title&gt;Water structural transformation at molecular hydrophobic interfaces&lt;/title&gt;&lt;secondary-title&gt;Nature&lt;/secondary-title&gt;&lt;/titles&gt;&lt;periodical&gt;&lt;full-title&gt;Nature&lt;/full-title&gt;&lt;abbr-1&gt;Nature&lt;/abbr-1&gt;&lt;/periodical&gt;&lt;pages&gt;582-585&lt;/pages&gt;&lt;volume&gt;491&lt;/volume&gt;&lt;number&gt;7425&lt;/number&gt;&lt;dates&gt;&lt;year&gt;2012&lt;/year&gt;&lt;pub-dates&gt;&lt;date&gt;Nov 22&lt;/date&gt;&lt;/pub-dates&gt;&lt;/dates&gt;&lt;isbn&gt;0028-0836&lt;/isbn&gt;&lt;accession-num&gt;WOS:000311339800049&lt;/accession-num&gt;&lt;urls&gt;&lt;related-urls&gt;&lt;url&gt;&amp;lt;Go to ISI&amp;gt;://WOS:000311339800049&lt;/url&gt;&lt;/related-urls&gt;&lt;/urls&gt;&lt;electronic-resource-num&gt;10.1038/nature11570&lt;/electronic-resource-num&gt;&lt;/record&gt;&lt;/Cite&gt;&lt;/EndNote&gt;</w:instrText>
        </w:r>
        <w:r w:rsidR="00512D09" w:rsidRPr="00DF410F">
          <w:rPr>
            <w:bCs/>
            <w:iCs/>
          </w:rPr>
          <w:fldChar w:fldCharType="separate"/>
        </w:r>
        <w:r w:rsidR="00512D09" w:rsidRPr="00F04E2C">
          <w:rPr>
            <w:bCs/>
            <w:iCs/>
            <w:noProof/>
            <w:vertAlign w:val="superscript"/>
          </w:rPr>
          <w:t>20</w:t>
        </w:r>
        <w:r w:rsidR="00512D09" w:rsidRPr="00DF410F">
          <w:rPr>
            <w:bCs/>
            <w:iCs/>
          </w:rPr>
          <w:fldChar w:fldCharType="end"/>
        </w:r>
      </w:hyperlink>
      <w:r w:rsidR="00273EA2">
        <w:t xml:space="preserve"> </w:t>
      </w:r>
      <w:r w:rsidR="00DF410F" w:rsidRPr="00DF410F">
        <w:rPr>
          <w:bCs/>
          <w:iCs/>
        </w:rPr>
        <w:t xml:space="preserve">Privalov showed that </w:t>
      </w:r>
      <w:r w:rsidR="00DF410F" w:rsidRPr="00DF410F">
        <w:rPr>
          <w:rFonts w:cs="Arial"/>
          <w:color w:val="000000"/>
          <w:shd w:val="clear" w:color="auto" w:fill="FFFFFF"/>
        </w:rPr>
        <w:t xml:space="preserve">the partial </w:t>
      </w:r>
      <w:r w:rsidR="005A26BB" w:rsidRPr="005A26BB">
        <w:rPr>
          <w:rFonts w:cs="Arial"/>
          <w:color w:val="000000"/>
          <w:shd w:val="clear" w:color="auto" w:fill="FFFFFF"/>
        </w:rPr>
        <w:t>∆</w:t>
      </w:r>
      <w:r w:rsidR="005A26BB" w:rsidRPr="005A26BB">
        <w:rPr>
          <w:rFonts w:cs="Arial"/>
          <w:i/>
          <w:color w:val="000000"/>
          <w:shd w:val="clear" w:color="auto" w:fill="FFFFFF"/>
        </w:rPr>
        <w:t>C</w:t>
      </w:r>
      <w:r w:rsidR="005A26BB" w:rsidRPr="005A26BB">
        <w:rPr>
          <w:rFonts w:cs="Arial"/>
          <w:i/>
          <w:color w:val="000000"/>
          <w:shd w:val="clear" w:color="auto" w:fill="FFFFFF"/>
          <w:vertAlign w:val="subscript"/>
        </w:rPr>
        <w:t>p</w:t>
      </w:r>
      <w:r w:rsidR="005A26BB">
        <w:rPr>
          <w:rFonts w:cs="Arial"/>
          <w:color w:val="000000"/>
          <w:shd w:val="clear" w:color="auto" w:fill="FFFFFF"/>
        </w:rPr>
        <w:t xml:space="preserve"> </w:t>
      </w:r>
      <w:r w:rsidR="00DF410F" w:rsidRPr="00DF410F">
        <w:rPr>
          <w:rFonts w:cs="Arial"/>
          <w:color w:val="000000"/>
          <w:shd w:val="clear" w:color="auto" w:fill="FFFFFF"/>
        </w:rPr>
        <w:t xml:space="preserve">of the </w:t>
      </w:r>
      <w:r w:rsidR="00DF410F">
        <w:rPr>
          <w:rFonts w:cs="Arial"/>
          <w:color w:val="000000"/>
          <w:shd w:val="clear" w:color="auto" w:fill="FFFFFF"/>
        </w:rPr>
        <w:t>apolar</w:t>
      </w:r>
      <w:r w:rsidR="00983FF5">
        <w:rPr>
          <w:rFonts w:cs="Arial"/>
          <w:color w:val="000000"/>
          <w:shd w:val="clear" w:color="auto" w:fill="FFFFFF"/>
        </w:rPr>
        <w:t xml:space="preserve"> groups is positive at 5 °C</w:t>
      </w:r>
      <w:r w:rsidR="00DF410F">
        <w:rPr>
          <w:rFonts w:cs="Arial"/>
          <w:color w:val="000000"/>
          <w:shd w:val="clear" w:color="auto" w:fill="FFFFFF"/>
        </w:rPr>
        <w:t xml:space="preserve"> and</w:t>
      </w:r>
      <w:r w:rsidR="00DF410F" w:rsidRPr="00DF410F">
        <w:rPr>
          <w:rFonts w:cs="Arial"/>
          <w:color w:val="000000"/>
          <w:shd w:val="clear" w:color="auto" w:fill="FFFFFF"/>
        </w:rPr>
        <w:t xml:space="preserve"> </w:t>
      </w:r>
      <w:r w:rsidR="00273EA2">
        <w:rPr>
          <w:rFonts w:cs="Arial"/>
          <w:color w:val="000000"/>
          <w:shd w:val="clear" w:color="auto" w:fill="FFFFFF"/>
        </w:rPr>
        <w:t>decreases with increasing temperature</w:t>
      </w:r>
      <w:r w:rsidR="00DF410F" w:rsidRPr="00DF410F">
        <w:rPr>
          <w:rFonts w:cs="Arial"/>
          <w:color w:val="000000"/>
          <w:shd w:val="clear" w:color="auto" w:fill="FFFFFF"/>
        </w:rPr>
        <w:t>, while for the polar and ch</w:t>
      </w:r>
      <w:r w:rsidR="00983FF5">
        <w:rPr>
          <w:rFonts w:cs="Arial"/>
          <w:color w:val="000000"/>
          <w:shd w:val="clear" w:color="auto" w:fill="FFFFFF"/>
        </w:rPr>
        <w:t>arged groups it is negative at 5 °C</w:t>
      </w:r>
      <w:r w:rsidR="00DF410F" w:rsidRPr="00DF410F">
        <w:rPr>
          <w:rFonts w:cs="Arial"/>
          <w:color w:val="000000"/>
          <w:shd w:val="clear" w:color="auto" w:fill="FFFFFF"/>
        </w:rPr>
        <w:t>, becomes zero at room temperature</w:t>
      </w:r>
      <w:r w:rsidR="00273EA2">
        <w:rPr>
          <w:rFonts w:cs="Arial"/>
          <w:color w:val="000000"/>
          <w:shd w:val="clear" w:color="auto" w:fill="FFFFFF"/>
        </w:rPr>
        <w:t>,</w:t>
      </w:r>
      <w:r w:rsidR="00DF410F" w:rsidRPr="00DF410F">
        <w:rPr>
          <w:rFonts w:cs="Arial"/>
          <w:color w:val="000000"/>
          <w:shd w:val="clear" w:color="auto" w:fill="FFFFFF"/>
        </w:rPr>
        <w:t xml:space="preserve"> and</w:t>
      </w:r>
      <w:r w:rsidR="00DF410F">
        <w:rPr>
          <w:rFonts w:cs="Arial"/>
          <w:color w:val="000000"/>
          <w:shd w:val="clear" w:color="auto" w:fill="FFFFFF"/>
        </w:rPr>
        <w:t xml:space="preserve"> </w:t>
      </w:r>
      <w:r w:rsidR="00273EA2">
        <w:rPr>
          <w:rFonts w:cs="Arial"/>
          <w:color w:val="000000"/>
          <w:shd w:val="clear" w:color="auto" w:fill="FFFFFF"/>
        </w:rPr>
        <w:t xml:space="preserve">increases </w:t>
      </w:r>
      <w:r w:rsidR="00DF410F">
        <w:rPr>
          <w:rFonts w:cs="Arial"/>
          <w:color w:val="000000"/>
          <w:shd w:val="clear" w:color="auto" w:fill="FFFFFF"/>
        </w:rPr>
        <w:t>with increasing tem</w:t>
      </w:r>
      <w:r w:rsidR="00273EA2">
        <w:rPr>
          <w:rFonts w:cs="Arial"/>
          <w:color w:val="000000"/>
          <w:shd w:val="clear" w:color="auto" w:fill="FFFFFF"/>
        </w:rPr>
        <w:t>perature</w:t>
      </w:r>
      <w:r w:rsidR="00784261">
        <w:rPr>
          <w:rFonts w:cs="Arial"/>
          <w:color w:val="000000"/>
          <w:shd w:val="clear" w:color="auto" w:fill="FFFFFF"/>
        </w:rPr>
        <w:t>.</w:t>
      </w:r>
      <w:hyperlink w:anchor="_ENREF_45" w:tooltip="Makhatadze, 1990 #273" w:history="1">
        <w:r w:rsidR="00512D09">
          <w:rPr>
            <w:rFonts w:cs="Arial"/>
            <w:color w:val="000000"/>
            <w:shd w:val="clear" w:color="auto" w:fill="FFFFFF"/>
          </w:rPr>
          <w:fldChar w:fldCharType="begin"/>
        </w:r>
        <w:r w:rsidR="00512D09">
          <w:rPr>
            <w:rFonts w:cs="Arial"/>
            <w:color w:val="000000"/>
            <w:shd w:val="clear" w:color="auto" w:fill="FFFFFF"/>
          </w:rPr>
          <w:instrText xml:space="preserve"> ADDIN EN.CITE &lt;EndNote&gt;&lt;Cite&gt;&lt;Author&gt;Makhatadze&lt;/Author&gt;&lt;Year&gt;1990&lt;/Year&gt;&lt;RecNum&gt;273&lt;/RecNum&gt;&lt;DisplayText&gt;&lt;style face="superscript"&gt;45&lt;/style&gt;&lt;/DisplayText&gt;&lt;record&gt;&lt;rec-number&gt;273&lt;/rec-number&gt;&lt;foreign-keys&gt;&lt;key app="EN" db-id="5trrespwzsdr07efd5tx2w96x22re9s0fsdt"&gt;273&lt;/key&gt;&lt;/foreign-keys&gt;&lt;ref-type name="Journal Article"&gt;17&lt;/ref-type&gt;&lt;contributors&gt;&lt;authors&gt;&lt;author&gt;Makhatadze, G. I.&lt;/author&gt;&lt;author&gt;Privalov, P. L.&lt;/author&gt;&lt;/authors&gt;&lt;/contributors&gt;&lt;titles&gt;&lt;title&gt;Heat capacity of proteins: I. Partial molar heat capacity of individual amino acid residues in aqueous solution: Hydration effect&lt;/title&gt;&lt;secondary-title&gt;Journal of Molecular Biology&lt;/secondary-title&gt;&lt;/titles&gt;&lt;periodical&gt;&lt;full-title&gt;Journal of Molecular Biology&lt;/full-title&gt;&lt;/periodical&gt;&lt;pages&gt;375-384&lt;/pages&gt;&lt;volume&gt;213&lt;/volume&gt;&lt;number&gt;2&lt;/number&gt;&lt;dates&gt;&lt;year&gt;1990&lt;/year&gt;&lt;/dates&gt;&lt;isbn&gt;0022-2836&lt;/isbn&gt;&lt;urls&gt;&lt;related-urls&gt;&lt;url&gt;http://www.sciencedirect.com/science/article/pii/S0022283605801974&lt;/url&gt;&lt;/related-urls&gt;&lt;/urls&gt;&lt;electronic-resource-num&gt;http://dx.doi.org/10.1016/S0022-2836(05)80197-4&lt;/electronic-resource-num&gt;&lt;/record&gt;&lt;/Cite&gt;&lt;/EndNote&gt;</w:instrText>
        </w:r>
        <w:r w:rsidR="00512D09">
          <w:rPr>
            <w:rFonts w:cs="Arial"/>
            <w:color w:val="000000"/>
            <w:shd w:val="clear" w:color="auto" w:fill="FFFFFF"/>
          </w:rPr>
          <w:fldChar w:fldCharType="separate"/>
        </w:r>
        <w:r w:rsidR="00512D09" w:rsidRPr="00F04E2C">
          <w:rPr>
            <w:rFonts w:cs="Arial"/>
            <w:noProof/>
            <w:color w:val="000000"/>
            <w:shd w:val="clear" w:color="auto" w:fill="FFFFFF"/>
            <w:vertAlign w:val="superscript"/>
          </w:rPr>
          <w:t>45</w:t>
        </w:r>
        <w:r w:rsidR="00512D09">
          <w:rPr>
            <w:rFonts w:cs="Arial"/>
            <w:color w:val="000000"/>
            <w:shd w:val="clear" w:color="auto" w:fill="FFFFFF"/>
          </w:rPr>
          <w:fldChar w:fldCharType="end"/>
        </w:r>
      </w:hyperlink>
      <w:r w:rsidR="00DF410F">
        <w:rPr>
          <w:rFonts w:cs="Arial"/>
          <w:color w:val="000000"/>
          <w:shd w:val="clear" w:color="auto" w:fill="FFFFFF"/>
        </w:rPr>
        <w:t xml:space="preserve"> </w:t>
      </w:r>
    </w:p>
    <w:p w:rsidR="00BA5D61" w:rsidRDefault="00273EA2" w:rsidP="00217116">
      <w:pPr>
        <w:spacing w:line="480" w:lineRule="auto"/>
        <w:jc w:val="both"/>
      </w:pPr>
      <w:r>
        <w:t>The thiazole-</w:t>
      </w:r>
      <w:r w:rsidR="00BA5D61">
        <w:t xml:space="preserve">based sulphonamide ligands used by Breiten </w:t>
      </w:r>
      <w:r w:rsidR="00BA5D61" w:rsidRPr="00BA5D61">
        <w:rPr>
          <w:i/>
        </w:rPr>
        <w:t>et al</w:t>
      </w:r>
      <w:r w:rsidR="002D4FF8">
        <w:rPr>
          <w:i/>
        </w:rPr>
        <w:t>.</w:t>
      </w:r>
      <w:r w:rsidR="00BA5D61">
        <w:t xml:space="preserve"> bind to HCA with an enthalpy dominated hydrophobic effect</w:t>
      </w:r>
      <w:r>
        <w:t>,</w:t>
      </w:r>
      <w:r w:rsidR="00BA5D61">
        <w:t xml:space="preserve"> which increases with increasing hydrophobicity of the ligand</w:t>
      </w:r>
      <w:r w:rsidR="00784261">
        <w:t>.</w:t>
      </w:r>
      <w:r w:rsidR="002D0A48">
        <w:t xml:space="preserve"> </w:t>
      </w:r>
      <w:hyperlink w:anchor="_ENREF_46" w:tooltip="Breiten, 2013 #499" w:history="1">
        <w:r w:rsidR="00512D09">
          <w:fldChar w:fldCharType="begin"/>
        </w:r>
        <w:r w:rsidR="00512D09">
          <w:instrText xml:space="preserve"> ADDIN EN.CITE &lt;EndNote&gt;&lt;Cite&gt;&lt;Author&gt;Breiten&lt;/Author&gt;&lt;Year&gt;2013&lt;/Year&gt;&lt;RecNum&gt;499&lt;/RecNum&gt;&lt;DisplayText&gt;&lt;style face="superscript"&gt;46&lt;/style&gt;&lt;/DisplayText&gt;&lt;record&gt;&lt;rec-number&gt;499&lt;/rec-number&gt;&lt;foreign-keys&gt;&lt;key app="EN" db-id="5trrespwzsdr07efd5tx2w96x22re9s0fsdt"&gt;499&lt;/key&gt;&lt;/foreign-keys&gt;&lt;ref-type name="Journal Article"&gt;17&lt;/ref-type&gt;&lt;contributors&gt;&lt;authors&gt;&lt;author&gt;Breiten, Benjamin&lt;/author&gt;&lt;author&gt;Lockett, Matthew R.&lt;/author&gt;&lt;author&gt;Sherman, Woody&lt;/author&gt;&lt;author&gt;Fujita, Shuji&lt;/author&gt;&lt;author&gt;Al-Sayah, Mohammad&lt;/author&gt;&lt;author&gt;Lange, Heiko&lt;/author&gt;&lt;author&gt;Bowers, Carleen M.&lt;/author&gt;&lt;author&gt;Heroux, Annie&lt;/author&gt;&lt;author&gt;Krilov, Goran&lt;/author&gt;&lt;author&gt;Whitesides, George M.&lt;/author&gt;&lt;/authors&gt;&lt;/contributors&gt;&lt;titles&gt;&lt;title&gt;Water Networks Contribute to Enthalpy/Entropy Compensation in Protein–Ligand Binding&lt;/title&gt;&lt;secondary-title&gt;J Am Chem Soc&lt;/secondary-title&gt;&lt;/titles&gt;&lt;periodical&gt;&lt;full-title&gt;J Am Chem Soc&lt;/full-title&gt;&lt;abbr-1&gt;Journal of the American Chemical Society&lt;/abbr-1&gt;&lt;/periodical&gt;&lt;pages&gt;15579-15584&lt;/pages&gt;&lt;volume&gt;135&lt;/volume&gt;&lt;number&gt;41&lt;/number&gt;&lt;dates&gt;&lt;year&gt;2013&lt;/year&gt;&lt;pub-dates&gt;&lt;date&gt;2013/10/16&lt;/date&gt;&lt;/pub-dates&gt;&lt;/dates&gt;&lt;publisher&gt;American Chemical Society&lt;/publisher&gt;&lt;isbn&gt;0002-7863&lt;/isbn&gt;&lt;urls&gt;&lt;related-urls&gt;&lt;url&gt;http://dx.doi.org/10.1021/ja4075776&lt;/url&gt;&lt;/related-urls&gt;&lt;/urls&gt;&lt;electronic-resource-num&gt;10.1021/ja4075776&lt;/electronic-resource-num&gt;&lt;access-date&gt;2015/01/08&lt;/access-date&gt;&lt;/record&gt;&lt;/Cite&gt;&lt;/EndNote&gt;</w:instrText>
        </w:r>
        <w:r w:rsidR="00512D09">
          <w:fldChar w:fldCharType="separate"/>
        </w:r>
        <w:r w:rsidR="00512D09" w:rsidRPr="00F04E2C">
          <w:rPr>
            <w:noProof/>
            <w:vertAlign w:val="superscript"/>
          </w:rPr>
          <w:t>46</w:t>
        </w:r>
        <w:r w:rsidR="00512D09">
          <w:fldChar w:fldCharType="end"/>
        </w:r>
      </w:hyperlink>
      <w:r>
        <w:t xml:space="preserve"> The structural</w:t>
      </w:r>
      <w:r w:rsidR="00BA5D61">
        <w:t xml:space="preserve"> rigidity of both the ligand and the protein means that the changes in binding thermodynamics due to ligand functional group changes most likely come from solvent reorganisation. </w:t>
      </w:r>
      <w:r w:rsidR="002D0A48">
        <w:t xml:space="preserve">The binding affinities of these ligands to HCA, despite changes in fluorination configuration were difficult to tell apart; they nevertheless showed changes in both binding entropy and enthalpy. The work suggested water networks identified by WaterMap were responsible for EEC phenomena.  </w:t>
      </w:r>
    </w:p>
    <w:p w:rsidR="00BA5D61" w:rsidRDefault="00066BD5" w:rsidP="00217116">
      <w:pPr>
        <w:spacing w:line="480" w:lineRule="auto"/>
        <w:jc w:val="both"/>
      </w:pPr>
      <w:r>
        <w:lastRenderedPageBreak/>
        <w:t>Despite work supporting the idea of EEC</w:t>
      </w:r>
      <w:r w:rsidR="009852E6">
        <w:t xml:space="preserve"> phenomena</w:t>
      </w:r>
      <w:r>
        <w:t xml:space="preserve">, there are many that simply believe it is erroneous. </w:t>
      </w:r>
      <w:r w:rsidRPr="00066BD5">
        <w:t>For many years it was described as an artefact caused by the error in calculating entropy values from linear regression using the Arrhenius plot over small temperature values and perhaps inaccu</w:t>
      </w:r>
      <w:r>
        <w:t>rate calorimetric equipment</w:t>
      </w:r>
      <w:r w:rsidR="00784261">
        <w:t>.</w:t>
      </w:r>
      <w:hyperlink w:anchor="_ENREF_47" w:tooltip="Cornish-Bowden, 2002 #194" w:history="1">
        <w:r w:rsidR="00512D09">
          <w:fldChar w:fldCharType="begin"/>
        </w:r>
        <w:r w:rsidR="00512D09">
          <w:instrText xml:space="preserve"> ADDIN EN.CITE &lt;EndNote&gt;&lt;Cite&gt;&lt;Author&gt;Cornish-Bowden&lt;/Author&gt;&lt;Year&gt;2002&lt;/Year&gt;&lt;RecNum&gt;194&lt;/RecNum&gt;&lt;DisplayText&gt;&lt;style face="superscript"&gt;47&lt;/style&gt;&lt;/DisplayText&gt;&lt;record&gt;&lt;rec-number&gt;194&lt;/rec-number&gt;&lt;foreign-keys&gt;&lt;key app="EN" db-id="5trrespwzsdr07efd5tx2w96x22re9s0fsdt"&gt;194&lt;/key&gt;&lt;/foreign-keys&gt;&lt;ref-type name="Journal Article"&gt;17&lt;/ref-type&gt;&lt;contributors&gt;&lt;authors&gt;&lt;author&gt;Cornish-Bowden, A.&lt;/author&gt;&lt;/authors&gt;&lt;/contributors&gt;&lt;titles&gt;&lt;title&gt;Enthalpy-entropy compensation: a phantom phenomenon&lt;/title&gt;&lt;secondary-title&gt;Journal of Biosciences&lt;/secondary-title&gt;&lt;/titles&gt;&lt;periodical&gt;&lt;full-title&gt;Journal of Biosciences&lt;/full-title&gt;&lt;/periodical&gt;&lt;pages&gt;121-126&lt;/pages&gt;&lt;volume&gt;27&lt;/volume&gt;&lt;number&gt;2&lt;/number&gt;&lt;dates&gt;&lt;year&gt;2002&lt;/year&gt;&lt;pub-dates&gt;&lt;date&gt;Mar&lt;/date&gt;&lt;/pub-dates&gt;&lt;/dates&gt;&lt;isbn&gt;0250-5991&lt;/isbn&gt;&lt;accession-num&gt;WOS:000176265800009&lt;/accession-num&gt;&lt;urls&gt;&lt;related-urls&gt;&lt;url&gt;&amp;lt;Go to ISI&amp;gt;://WOS:000176265800009&lt;/url&gt;&lt;/related-urls&gt;&lt;/urls&gt;&lt;electronic-resource-num&gt;10.1007/bf02703768&lt;/electronic-resource-num&gt;&lt;/record&gt;&lt;/Cite&gt;&lt;/EndNote&gt;</w:instrText>
        </w:r>
        <w:r w:rsidR="00512D09">
          <w:fldChar w:fldCharType="separate"/>
        </w:r>
        <w:r w:rsidR="00512D09" w:rsidRPr="00F04E2C">
          <w:rPr>
            <w:noProof/>
            <w:vertAlign w:val="superscript"/>
          </w:rPr>
          <w:t>47</w:t>
        </w:r>
        <w:r w:rsidR="00512D09">
          <w:fldChar w:fldCharType="end"/>
        </w:r>
      </w:hyperlink>
      <w:r w:rsidRPr="00066BD5">
        <w:t xml:space="preserve"> </w:t>
      </w:r>
      <w:r>
        <w:t xml:space="preserve">Although </w:t>
      </w:r>
      <w:r w:rsidRPr="00066BD5">
        <w:t>ITC is an extremely accurate technique and gives</w:t>
      </w:r>
      <w:r>
        <w:t xml:space="preserve"> reliable entropy, enthalpy </w:t>
      </w:r>
      <w:r w:rsidRPr="00066BD5">
        <w:t xml:space="preserve">values </w:t>
      </w:r>
      <w:r>
        <w:t>and association constants</w:t>
      </w:r>
      <w:r w:rsidR="00B02D0E">
        <w:t>,</w:t>
      </w:r>
      <w:r>
        <w:t xml:space="preserve"> </w:t>
      </w:r>
      <w:r w:rsidRPr="00066BD5">
        <w:t xml:space="preserve">mistakes in calculating the concentration of the ligand or the protein will lead to errors in the thermodynamic </w:t>
      </w:r>
      <w:r>
        <w:t>parameters</w:t>
      </w:r>
      <w:r w:rsidR="00784261">
        <w:t>.</w:t>
      </w:r>
      <w:r w:rsidR="003F1E7A">
        <w:t xml:space="preserve"> </w:t>
      </w:r>
      <w:hyperlink w:anchor="_ENREF_48" w:tooltip="Chodera, 2013 #195" w:history="1">
        <w:r w:rsidR="00512D09">
          <w:fldChar w:fldCharType="begin"/>
        </w:r>
        <w:r w:rsidR="00512D09">
          <w:instrText xml:space="preserve"> ADDIN EN.CITE &lt;EndNote&gt;&lt;Cite&gt;&lt;Author&gt;Chodera&lt;/Author&gt;&lt;Year&gt;2013&lt;/Year&gt;&lt;RecNum&gt;195&lt;/RecNum&gt;&lt;DisplayText&gt;&lt;style face="superscript"&gt;48&lt;/style&gt;&lt;/DisplayText&gt;&lt;record&gt;&lt;rec-number&gt;195&lt;/rec-number&gt;&lt;foreign-keys&gt;&lt;key app="EN" db-id="5trrespwzsdr07efd5tx2w96x22re9s0fsdt"&gt;195&lt;/key&gt;&lt;/foreign-keys&gt;&lt;ref-type name="Journal Article"&gt;17&lt;/ref-type&gt;&lt;contributors&gt;&lt;authors&gt;&lt;author&gt;Chodera, John D.&lt;/author&gt;&lt;author&gt;Mobley, David L.&lt;/author&gt;&lt;/authors&gt;&lt;/contributors&gt;&lt;titles&gt;&lt;title&gt;Entropy-enthalpy compensation: role and ramifications in biomolecular ligand recognition and design&lt;/title&gt;&lt;secondary-title&gt;Annu Rev Biophys&lt;/secondary-title&gt;&lt;/titles&gt;&lt;periodical&gt;&lt;full-title&gt;Annu Rev Biophys&lt;/full-title&gt;&lt;abbr-1&gt;Annual review of biophysics&lt;/abbr-1&gt;&lt;/periodical&gt;&lt;pages&gt;121-42&lt;/pages&gt;&lt;volume&gt;42&lt;/volume&gt;&lt;dates&gt;&lt;year&gt;2013&lt;/year&gt;&lt;pub-dates&gt;&lt;date&gt;2013-May-6&lt;/date&gt;&lt;/pub-dates&gt;&lt;/dates&gt;&lt;isbn&gt;1936-1238&lt;/isbn&gt;&lt;accession-num&gt;MEDLINE:23654303&lt;/accession-num&gt;&lt;urls&gt;&lt;related-urls&gt;&lt;url&gt;&amp;lt;Go to ISI&amp;gt;://MEDLINE:23654303&lt;/url&gt;&lt;/related-urls&gt;&lt;/urls&gt;&lt;electronic-resource-num&gt;10.1146/annurev-biophys-083012-130318&lt;/electronic-resource-num&gt;&lt;/record&gt;&lt;/Cite&gt;&lt;/EndNote&gt;</w:instrText>
        </w:r>
        <w:r w:rsidR="00512D09">
          <w:fldChar w:fldCharType="separate"/>
        </w:r>
        <w:r w:rsidR="00512D09" w:rsidRPr="00F04E2C">
          <w:rPr>
            <w:noProof/>
            <w:vertAlign w:val="superscript"/>
          </w:rPr>
          <w:t>48</w:t>
        </w:r>
        <w:r w:rsidR="00512D09">
          <w:fldChar w:fldCharType="end"/>
        </w:r>
      </w:hyperlink>
      <w:r w:rsidRPr="00066BD5">
        <w:t xml:space="preserve"> A large scale interlaboratory evaluation showed the main source of error was a failure to precisely measure the ligand concentration used in ITC experiments. The enthalpy data produced by 14 different l</w:t>
      </w:r>
      <w:r w:rsidR="00F22190">
        <w:t>aborato</w:t>
      </w:r>
      <w:r w:rsidR="004D48A5">
        <w:t>ries varied by 24%</w:t>
      </w:r>
      <w:r w:rsidRPr="00066BD5">
        <w:t xml:space="preserve"> for the binding of bovine carbonic anhydrase to 4</w:t>
      </w:r>
      <w:r>
        <w:t>-carboxy-benzenesulfonamide</w:t>
      </w:r>
      <w:r w:rsidR="00784261">
        <w:t>.</w:t>
      </w:r>
      <w:r w:rsidR="0075172E">
        <w:fldChar w:fldCharType="begin">
          <w:fldData xml:space="preserve">PEVuZE5vdGU+PENpdGU+PEF1dGhvcj5UZWxsaW5naHVpc2VuPC9BdXRob3I+PFllYXI+MjAxMTwv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</w:fldData>
        </w:fldChar>
      </w:r>
      <w:r w:rsidR="00F04E2C">
        <w:instrText xml:space="preserve"> ADDIN EN.CITE </w:instrText>
      </w:r>
      <w:r w:rsidR="0075172E">
        <w:fldChar w:fldCharType="begin">
          <w:fldData xml:space="preserve">PEVuZE5vdGU+PENpdGU+PEF1dGhvcj5UZWxsaW5naHVpc2VuPC9BdXRob3I+PFllYXI+MjAxMTwv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</w:fldData>
        </w:fldChar>
      </w:r>
      <w:r w:rsidR="00F04E2C">
        <w:instrText xml:space="preserve"> ADDIN EN.CITE.DATA </w:instrText>
      </w:r>
      <w:r w:rsidR="0075172E">
        <w:fldChar w:fldCharType="end"/>
      </w:r>
      <w:r w:rsidR="0075172E">
        <w:fldChar w:fldCharType="separate"/>
      </w:r>
      <w:hyperlink w:anchor="_ENREF_49" w:tooltip="Tellinghuisen, 2011 #501" w:history="1">
        <w:r w:rsidR="00512D09" w:rsidRPr="00F04E2C">
          <w:rPr>
            <w:noProof/>
            <w:vertAlign w:val="superscript"/>
          </w:rPr>
          <w:t>49</w:t>
        </w:r>
      </w:hyperlink>
      <w:r w:rsidR="00F04E2C" w:rsidRPr="00F04E2C">
        <w:rPr>
          <w:noProof/>
          <w:vertAlign w:val="superscript"/>
        </w:rPr>
        <w:t>,</w:t>
      </w:r>
      <w:hyperlink w:anchor="_ENREF_50" w:tooltip="Myszka, 2003 #729" w:history="1">
        <w:r w:rsidR="00512D09" w:rsidRPr="00F04E2C">
          <w:rPr>
            <w:noProof/>
            <w:vertAlign w:val="superscript"/>
          </w:rPr>
          <w:t>50</w:t>
        </w:r>
      </w:hyperlink>
      <w:r w:rsidR="0075172E">
        <w:fldChar w:fldCharType="end"/>
      </w:r>
      <w:r w:rsidRPr="00066BD5">
        <w:t xml:space="preserve"> </w:t>
      </w:r>
      <w:r w:rsidR="003F1E7A">
        <w:t xml:space="preserve">Fitting data when the concentration is wrong will lead to apparent EEC due to any error in </w:t>
      </w:r>
      <w:r w:rsidR="003F1E7A" w:rsidRPr="00784261">
        <w:t>Δ</w:t>
      </w:r>
      <w:r w:rsidR="003F1E7A" w:rsidRPr="003F1E7A">
        <w:rPr>
          <w:i/>
        </w:rPr>
        <w:t>H</w:t>
      </w:r>
      <w:r w:rsidR="003F1E7A">
        <w:t xml:space="preserve"> producing a compensating change in </w:t>
      </w:r>
      <w:r w:rsidR="003F1E7A" w:rsidRPr="00784261">
        <w:t>T</w:t>
      </w:r>
      <w:r w:rsidR="003F1E7A" w:rsidRPr="00E43944">
        <w:t>Δ</w:t>
      </w:r>
      <w:r w:rsidR="003F1E7A" w:rsidRPr="003F1E7A">
        <w:rPr>
          <w:i/>
        </w:rPr>
        <w:t>S</w:t>
      </w:r>
      <w:r w:rsidR="004D48A5">
        <w:rPr>
          <w:i/>
        </w:rPr>
        <w:t>.</w:t>
      </w:r>
      <w:r w:rsidR="003F1E7A">
        <w:rPr>
          <w:i/>
        </w:rPr>
        <w:t xml:space="preserve"> </w:t>
      </w:r>
      <w:hyperlink w:anchor="_ENREF_48" w:tooltip="Chodera, 2013 #195" w:history="1">
        <w:r w:rsidR="00512D09" w:rsidRPr="00784261">
          <w:fldChar w:fldCharType="begin"/>
        </w:r>
        <w:r w:rsidR="00512D09">
          <w:instrText xml:space="preserve"> ADDIN EN.CITE &lt;EndNote&gt;&lt;Cite&gt;&lt;Author&gt;Chodera&lt;/Author&gt;&lt;Year&gt;2013&lt;/Year&gt;&lt;RecNum&gt;195&lt;/RecNum&gt;&lt;DisplayText&gt;&lt;style face="superscript"&gt;48&lt;/style&gt;&lt;/DisplayText&gt;&lt;record&gt;&lt;rec-number&gt;195&lt;/rec-number&gt;&lt;foreign-keys&gt;&lt;key app="EN" db-id="5trrespwzsdr07efd5tx2w96x22re9s0fsdt"&gt;195&lt;/key&gt;&lt;/foreign-keys&gt;&lt;ref-type name="Journal Article"&gt;17&lt;/ref-type&gt;&lt;contributors&gt;&lt;authors&gt;&lt;author&gt;Chodera, John D.&lt;/author&gt;&lt;author&gt;Mobley, David L.&lt;/author&gt;&lt;/authors&gt;&lt;/contributors&gt;&lt;titles&gt;&lt;title&gt;Entropy-enthalpy compensation: role and ramifications in biomolecular ligand recognition and design&lt;/title&gt;&lt;secondary-title&gt;Annu Rev Biophys&lt;/secondary-title&gt;&lt;/titles&gt;&lt;periodical&gt;&lt;full-title&gt;Annu Rev Biophys&lt;/full-title&gt;&lt;abbr-1&gt;Annual review of biophysics&lt;/abbr-1&gt;&lt;/periodical&gt;&lt;pages&gt;121-42&lt;/pages&gt;&lt;volume&gt;42&lt;/volume&gt;&lt;dates&gt;&lt;year&gt;2013&lt;/year&gt;&lt;pub-dates&gt;&lt;date&gt;2013-May-6&lt;/date&gt;&lt;/pub-dates&gt;&lt;/dates&gt;&lt;isbn&gt;1936-1238&lt;/isbn&gt;&lt;accession-num&gt;MEDLINE:23654303&lt;/accession-num&gt;&lt;urls&gt;&lt;related-urls&gt;&lt;url&gt;&amp;lt;Go to ISI&amp;gt;://MEDLINE:23654303&lt;/url&gt;&lt;/related-urls&gt;&lt;/urls&gt;&lt;electronic-resource-num&gt;10.1146/annurev-biophys-083012-130318&lt;/electronic-resource-num&gt;&lt;/record&gt;&lt;/Cite&gt;&lt;/EndNote&gt;</w:instrText>
        </w:r>
        <w:r w:rsidR="00512D09" w:rsidRPr="00784261">
          <w:fldChar w:fldCharType="separate"/>
        </w:r>
        <w:r w:rsidR="00512D09" w:rsidRPr="00F04E2C">
          <w:rPr>
            <w:noProof/>
            <w:vertAlign w:val="superscript"/>
          </w:rPr>
          <w:t>48</w:t>
        </w:r>
        <w:r w:rsidR="00512D09" w:rsidRPr="00784261">
          <w:fldChar w:fldCharType="end"/>
        </w:r>
      </w:hyperlink>
    </w:p>
    <w:p w:rsidR="00965B7D" w:rsidRDefault="00965B7D" w:rsidP="00217116">
      <w:pPr>
        <w:spacing w:line="480" w:lineRule="auto"/>
        <w:jc w:val="both"/>
      </w:pPr>
      <w:r>
        <w:t>It seems that without a complete understanding of water on the molecular level</w:t>
      </w:r>
      <w:r w:rsidR="00B02D0E">
        <w:t>,</w:t>
      </w:r>
      <w:r>
        <w:t xml:space="preserve"> determining if EEC is a true phenomenon seems challenging.  Increasingly though, techniques are being used to investigate how water behaves around proteins. </w:t>
      </w:r>
    </w:p>
    <w:p w:rsidR="00965B7D" w:rsidRPr="00965B7D" w:rsidRDefault="00965B7D" w:rsidP="00217116">
      <w:pPr>
        <w:pStyle w:val="Heading2"/>
        <w:jc w:val="both"/>
      </w:pPr>
      <w:bookmarkStart w:id="24" w:name="_Toc376614235"/>
      <w:bookmarkStart w:id="25" w:name="_Toc459130657"/>
      <w:r w:rsidRPr="00965B7D">
        <w:t>Technique</w:t>
      </w:r>
      <w:r w:rsidR="0053318E">
        <w:t>s used to study Water around P</w:t>
      </w:r>
      <w:r w:rsidRPr="00965B7D">
        <w:t>roteins</w:t>
      </w:r>
      <w:bookmarkEnd w:id="24"/>
      <w:bookmarkEnd w:id="25"/>
    </w:p>
    <w:p w:rsidR="00965B7D" w:rsidRPr="00965B7D" w:rsidRDefault="006E0EB0" w:rsidP="00217116">
      <w:pPr>
        <w:pStyle w:val="Heading3"/>
        <w:jc w:val="both"/>
      </w:pPr>
      <w:bookmarkStart w:id="26" w:name="_Toc376614236"/>
      <w:bookmarkStart w:id="27" w:name="_Toc459130658"/>
      <w:r>
        <w:t>Cryogenic C</w:t>
      </w:r>
      <w:r w:rsidR="00965B7D" w:rsidRPr="00965B7D">
        <w:t>rystallography</w:t>
      </w:r>
      <w:bookmarkEnd w:id="26"/>
      <w:bookmarkEnd w:id="27"/>
      <w:r w:rsidR="00965B7D" w:rsidRPr="00965B7D">
        <w:t xml:space="preserve"> </w:t>
      </w:r>
    </w:p>
    <w:p w:rsidR="00965B7D" w:rsidRPr="00965B7D" w:rsidRDefault="00965B7D" w:rsidP="00217116">
      <w:pPr>
        <w:spacing w:line="480" w:lineRule="auto"/>
        <w:jc w:val="both"/>
        <w:rPr>
          <w:bCs/>
          <w:iCs/>
        </w:rPr>
      </w:pPr>
      <w:r w:rsidRPr="00965B7D">
        <w:rPr>
          <w:bCs/>
          <w:iCs/>
        </w:rPr>
        <w:t>Cryogenic crystallography can be used to investigate the magnitude of hydration but again this can be unreliable</w:t>
      </w:r>
      <w:r>
        <w:rPr>
          <w:bCs/>
          <w:iCs/>
        </w:rPr>
        <w:t xml:space="preserve"> much like crystallography performed under ambient </w:t>
      </w:r>
      <w:r w:rsidR="00784261">
        <w:rPr>
          <w:bCs/>
          <w:iCs/>
        </w:rPr>
        <w:t>conditions.</w:t>
      </w:r>
      <w:r w:rsidRPr="00965B7D">
        <w:rPr>
          <w:bCs/>
          <w:iCs/>
        </w:rPr>
        <w:t xml:space="preserve"> </w:t>
      </w:r>
      <w:hyperlink w:anchor="_ENREF_41" w:tooltip="Nakasako, 1999 #134" w:history="1">
        <w:r w:rsidR="00512D09" w:rsidRPr="00965B7D">
          <w:rPr>
            <w:bCs/>
            <w:iCs/>
          </w:rPr>
          <w:fldChar w:fldCharType="begin"/>
        </w:r>
        <w:r w:rsidR="00512D09">
          <w:rPr>
            <w:bCs/>
            <w:iCs/>
          </w:rPr>
          <w:instrText xml:space="preserve"> ADDIN EN.CITE &lt;EndNote&gt;&lt;Cite&gt;&lt;Author&gt;Nakasako&lt;/Author&gt;&lt;Year&gt;1999&lt;/Year&gt;&lt;RecNum&gt;134&lt;/RecNum&gt;&lt;DisplayText&gt;&lt;style face="superscript"&gt;41&lt;/style&gt;&lt;/DisplayText&gt;&lt;record&gt;&lt;rec-number&gt;134&lt;/rec-number&gt;&lt;foreign-keys&gt;&lt;key app="EN" db-id="5trrespwzsdr07efd5tx2w96x22re9s0fsdt"&gt;134&lt;/key&gt;&lt;/foreign-keys&gt;&lt;ref-type name="Journal Article"&gt;17&lt;/ref-type&gt;&lt;contributors&gt;&lt;authors&gt;&lt;author&gt;Nakasako, M.&lt;/author&gt;&lt;/authors&gt;&lt;/contributors&gt;&lt;titles&gt;&lt;title&gt;Large-scale networks of hydration water molecules around bovine beta-trypsin revealed by cryogenic X-ray crystal structure analysis&lt;/title&gt;&lt;secondary-title&gt;Journal of Molecular Biology&lt;/secondary-title&gt;&lt;/titles&gt;&lt;periodical&gt;&lt;full-title&gt;Journal of Molecular Biology&lt;/full-title&gt;&lt;/periodical&gt;&lt;pages&gt;547-564&lt;/pages&gt;&lt;volume&gt;289&lt;/volume&gt;&lt;number&gt;3&lt;/number&gt;&lt;dates&gt;&lt;year&gt;1999&lt;/year&gt;&lt;pub-dates&gt;&lt;date&gt;Jun 11&lt;/date&gt;&lt;/pub-dates&gt;&lt;/dates&gt;&lt;isbn&gt;0022-2836&lt;/isbn&gt;&lt;accession-num&gt;WOS:000081109800010&lt;/accession-num&gt;&lt;urls&gt;&lt;related-urls&gt;&lt;url&gt;&amp;lt;Go to ISI&amp;gt;://WOS:000081109800010&lt;/url&gt;&lt;/related-urls&gt;&lt;/urls&gt;&lt;electronic-resource-num&gt;10.1006/jmbi.1999.2795&lt;/electronic-resource-num&gt;&lt;/record&gt;&lt;/Cite&gt;&lt;/EndNote&gt;</w:instrText>
        </w:r>
        <w:r w:rsidR="00512D09" w:rsidRPr="00965B7D">
          <w:rPr>
            <w:bCs/>
            <w:iCs/>
          </w:rPr>
          <w:fldChar w:fldCharType="separate"/>
        </w:r>
        <w:r w:rsidR="00512D09" w:rsidRPr="00F04E2C">
          <w:rPr>
            <w:bCs/>
            <w:iCs/>
            <w:noProof/>
            <w:vertAlign w:val="superscript"/>
          </w:rPr>
          <w:t>41</w:t>
        </w:r>
        <w:r w:rsidR="00512D09" w:rsidRPr="00965B7D">
          <w:fldChar w:fldCharType="end"/>
        </w:r>
      </w:hyperlink>
      <w:r w:rsidR="00784261">
        <w:rPr>
          <w:bCs/>
          <w:iCs/>
        </w:rPr>
        <w:t xml:space="preserve"> </w:t>
      </w:r>
      <w:r w:rsidRPr="00965B7D">
        <w:rPr>
          <w:bCs/>
          <w:iCs/>
        </w:rPr>
        <w:t xml:space="preserve">Nakasako used several different crystal structures to better overcome the problem of crystal structures perturbing the hydration layer. He found no water around polar flexible side chains, but did find water in the hydrophobic patches of the protein. The flexibility around polar side chains makes it difficult to assign hydration sites.   </w:t>
      </w:r>
    </w:p>
    <w:p w:rsidR="00965B7D" w:rsidRPr="00965B7D" w:rsidRDefault="00965B7D" w:rsidP="00217116">
      <w:pPr>
        <w:spacing w:line="480" w:lineRule="auto"/>
        <w:jc w:val="both"/>
        <w:rPr>
          <w:bCs/>
        </w:rPr>
      </w:pPr>
      <w:r w:rsidRPr="00965B7D">
        <w:rPr>
          <w:bCs/>
        </w:rPr>
        <w:t xml:space="preserve">A </w:t>
      </w:r>
      <w:r w:rsidR="00BA1877">
        <w:rPr>
          <w:bCs/>
        </w:rPr>
        <w:t>method</w:t>
      </w:r>
      <w:r w:rsidRPr="00965B7D">
        <w:rPr>
          <w:bCs/>
        </w:rPr>
        <w:t xml:space="preserve"> to overcome the problem of assigning hydration sites around polar </w:t>
      </w:r>
      <w:r w:rsidR="00BA1877" w:rsidRPr="00965B7D">
        <w:rPr>
          <w:bCs/>
        </w:rPr>
        <w:t>flexible</w:t>
      </w:r>
      <w:r w:rsidRPr="00965B7D">
        <w:rPr>
          <w:bCs/>
        </w:rPr>
        <w:t xml:space="preserve"> regions of proteins is to use MDS; a procedure used by Higo. The crystal structure analysis </w:t>
      </w:r>
      <w:r w:rsidRPr="00965B7D">
        <w:rPr>
          <w:bCs/>
        </w:rPr>
        <w:lastRenderedPageBreak/>
        <w:t xml:space="preserve">at a resolution of 1.4 Å showed 405 crystal water molecules around lysozyme. Based on the crystallography data and MDS, Higo believed these water molecules separated out into </w:t>
      </w:r>
      <w:r w:rsidR="009E32BC">
        <w:rPr>
          <w:bCs/>
        </w:rPr>
        <w:t xml:space="preserve">four distinct layers totalling </w:t>
      </w:r>
      <w:r w:rsidRPr="00965B7D">
        <w:rPr>
          <w:bCs/>
        </w:rPr>
        <w:t>10 Å and that these hydration layers would play a role in molecular recognition events</w:t>
      </w:r>
      <w:r w:rsidR="00784261">
        <w:rPr>
          <w:bCs/>
        </w:rPr>
        <w:t>.</w:t>
      </w:r>
      <w:r w:rsidRPr="00965B7D">
        <w:rPr>
          <w:bCs/>
        </w:rPr>
        <w:t xml:space="preserve"> </w:t>
      </w:r>
      <w:hyperlink w:anchor="_ENREF_51" w:tooltip="Higo, 2002 #135" w:history="1">
        <w:r w:rsidR="00512D09" w:rsidRPr="00965B7D">
          <w:rPr>
            <w:bCs/>
          </w:rPr>
          <w:fldChar w:fldCharType="begin"/>
        </w:r>
        <w:r w:rsidR="00512D09">
          <w:rPr>
            <w:bCs/>
          </w:rPr>
          <w:instrText xml:space="preserve"> ADDIN EN.CITE &lt;EndNote&gt;&lt;Cite&gt;&lt;Author&gt;Higo&lt;/Author&gt;&lt;Year&gt;2002&lt;/Year&gt;&lt;RecNum&gt;135&lt;/RecNum&gt;&lt;DisplayText&gt;&lt;style face="superscript"&gt;51&lt;/style&gt;&lt;/DisplayText&gt;&lt;record&gt;&lt;rec-number&gt;135&lt;/rec-number&gt;&lt;foreign-keys&gt;&lt;key app="EN" db-id="5trrespwzsdr07efd5tx2w96x22re9s0fsdt"&gt;135&lt;/key&gt;&lt;/foreign-keys&gt;&lt;ref-type name="Journal Article"&gt;17&lt;/ref-type&gt;&lt;contributors&gt;&lt;authors&gt;&lt;author&gt;Higo, J.&lt;/author&gt;&lt;author&gt;Nakasako, M.&lt;/author&gt;&lt;/authors&gt;&lt;/contributors&gt;&lt;titles&gt;&lt;title&gt;Hydration structure of human lysozyme investigated by molecular dynamics simulation and cryogenic X-ray crystal structure analyses: On the correlation between crystal water sites, solvent density, and solvent dipole&lt;/title&gt;&lt;secondary-title&gt;Journal of Computational Chemistry&lt;/secondary-title&gt;&lt;/titles&gt;&lt;periodical&gt;&lt;full-title&gt;Journal of Computational Chemistry&lt;/full-title&gt;&lt;/periodical&gt;&lt;pages&gt;1323-1336&lt;/pages&gt;&lt;volume&gt;23&lt;/volume&gt;&lt;number&gt;14&lt;/number&gt;&lt;dates&gt;&lt;year&gt;2002&lt;/year&gt;&lt;pub-dates&gt;&lt;date&gt;Nov 15&lt;/date&gt;&lt;/pub-dates&gt;&lt;/dates&gt;&lt;isbn&gt;0192-8651&lt;/isbn&gt;&lt;accession-num&gt;WOS:000178349800004&lt;/accession-num&gt;&lt;urls&gt;&lt;related-urls&gt;&lt;url&gt;&amp;lt;Go to ISI&amp;gt;://WOS:000178349800004&lt;/url&gt;&lt;/related-urls&gt;&lt;/urls&gt;&lt;electronic-resource-num&gt;10.1002/jcc.10100&lt;/electronic-resource-num&gt;&lt;/record&gt;&lt;/Cite&gt;&lt;/EndNote&gt;</w:instrText>
        </w:r>
        <w:r w:rsidR="00512D09" w:rsidRPr="00965B7D">
          <w:rPr>
            <w:bCs/>
          </w:rPr>
          <w:fldChar w:fldCharType="separate"/>
        </w:r>
        <w:r w:rsidR="00512D09" w:rsidRPr="00F04E2C">
          <w:rPr>
            <w:bCs/>
            <w:noProof/>
            <w:vertAlign w:val="superscript"/>
          </w:rPr>
          <w:t>51</w:t>
        </w:r>
        <w:r w:rsidR="00512D09" w:rsidRPr="00965B7D">
          <w:fldChar w:fldCharType="end"/>
        </w:r>
      </w:hyperlink>
    </w:p>
    <w:p w:rsidR="00965B7D" w:rsidRPr="00965B7D" w:rsidRDefault="00965B7D" w:rsidP="00217116">
      <w:pPr>
        <w:spacing w:line="480" w:lineRule="auto"/>
        <w:jc w:val="both"/>
        <w:rPr>
          <w:bCs/>
        </w:rPr>
      </w:pPr>
      <w:r w:rsidRPr="00965B7D">
        <w:rPr>
          <w:bCs/>
        </w:rPr>
        <w:t xml:space="preserve">Yokomizo </w:t>
      </w:r>
      <w:r w:rsidR="002D4FF8">
        <w:rPr>
          <w:bCs/>
          <w:i/>
          <w:iCs/>
        </w:rPr>
        <w:t xml:space="preserve">et al. </w:t>
      </w:r>
      <w:r w:rsidRPr="00965B7D">
        <w:rPr>
          <w:bCs/>
        </w:rPr>
        <w:t>used MDS trajectories based on cryogenic X-ray data to find that water around and inside the active site of lysozyme tend to have slower reorganisation times than that of the bulk water. This has been shown to be the case with dielectric spectroscopy and is generally held to be true</w:t>
      </w:r>
      <w:r w:rsidR="00784261">
        <w:rPr>
          <w:bCs/>
        </w:rPr>
        <w:t>.</w:t>
      </w:r>
      <w:r w:rsidR="0075172E" w:rsidRPr="00965B7D">
        <w:rPr>
          <w:bCs/>
        </w:rPr>
        <w:fldChar w:fldCharType="begin">
          <w:fldData xml:space="preserve">PEVuZE5vdGU+PENpdGU+PEF1dGhvcj5PbGVpbmlrb3ZhPC9BdXRob3I+PFllYXI+MjAwNDwvWWVh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</w:fldData>
        </w:fldChar>
      </w:r>
      <w:r w:rsidR="00F04E2C">
        <w:rPr>
          <w:bCs/>
        </w:rPr>
        <w:instrText xml:space="preserve"> ADDIN EN.CITE </w:instrText>
      </w:r>
      <w:r w:rsidR="0075172E">
        <w:rPr>
          <w:bCs/>
        </w:rPr>
        <w:fldChar w:fldCharType="begin">
          <w:fldData xml:space="preserve">PEVuZE5vdGU+PENpdGU+PEF1dGhvcj5PbGVpbmlrb3ZhPC9BdXRob3I+PFllYXI+MjAwNDwvWWVh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</w:fldData>
        </w:fldChar>
      </w:r>
      <w:r w:rsidR="00F04E2C">
        <w:rPr>
          <w:bCs/>
        </w:rPr>
        <w:instrText xml:space="preserve"> ADDIN EN.CITE.DATA </w:instrText>
      </w:r>
      <w:r w:rsidR="0075172E">
        <w:rPr>
          <w:bCs/>
        </w:rPr>
      </w:r>
      <w:r w:rsidR="0075172E">
        <w:rPr>
          <w:bCs/>
        </w:rPr>
        <w:fldChar w:fldCharType="end"/>
      </w:r>
      <w:r w:rsidR="0075172E" w:rsidRPr="00965B7D">
        <w:rPr>
          <w:bCs/>
        </w:rPr>
      </w:r>
      <w:r w:rsidR="0075172E" w:rsidRPr="00965B7D">
        <w:rPr>
          <w:bCs/>
        </w:rPr>
        <w:fldChar w:fldCharType="separate"/>
      </w:r>
      <w:hyperlink w:anchor="_ENREF_52" w:tooltip="Oleinikova, 2004 #137" w:history="1">
        <w:r w:rsidR="00512D09" w:rsidRPr="00F04E2C">
          <w:rPr>
            <w:bCs/>
            <w:noProof/>
            <w:vertAlign w:val="superscript"/>
          </w:rPr>
          <w:t>52</w:t>
        </w:r>
      </w:hyperlink>
      <w:r w:rsidR="00F04E2C" w:rsidRPr="00F04E2C">
        <w:rPr>
          <w:bCs/>
          <w:noProof/>
          <w:vertAlign w:val="superscript"/>
        </w:rPr>
        <w:t>,</w:t>
      </w:r>
      <w:hyperlink w:anchor="_ENREF_53" w:tooltip="Yokomizo, 2005 #136" w:history="1">
        <w:r w:rsidR="00512D09" w:rsidRPr="00F04E2C">
          <w:rPr>
            <w:bCs/>
            <w:noProof/>
            <w:vertAlign w:val="superscript"/>
          </w:rPr>
          <w:t>53</w:t>
        </w:r>
      </w:hyperlink>
      <w:r w:rsidR="0075172E" w:rsidRPr="00965B7D">
        <w:fldChar w:fldCharType="end"/>
      </w:r>
      <w:r w:rsidRPr="00965B7D">
        <w:rPr>
          <w:bCs/>
        </w:rPr>
        <w:t xml:space="preserve"> Yokomizo speculated that these slow reorganisation times would lead to hydration structures which could be vast enough to hinder ligand access to the active site, due to the time and energy it would take to rearrange these water structures and the effect it could have on protein dynamics</w:t>
      </w:r>
      <w:r w:rsidR="00784261">
        <w:rPr>
          <w:bCs/>
        </w:rPr>
        <w:t>.</w:t>
      </w:r>
      <w:r w:rsidRPr="00965B7D">
        <w:rPr>
          <w:bCs/>
        </w:rPr>
        <w:t xml:space="preserve"> </w:t>
      </w:r>
      <w:hyperlink w:anchor="_ENREF_53" w:tooltip="Yokomizo, 2005 #136" w:history="1">
        <w:r w:rsidR="00512D09" w:rsidRPr="00965B7D">
          <w:rPr>
            <w:bCs/>
          </w:rPr>
          <w:fldChar w:fldCharType="begin"/>
        </w:r>
        <w:r w:rsidR="00512D09">
          <w:rPr>
            <w:bCs/>
          </w:rPr>
          <w:instrText xml:space="preserve"> ADDIN EN.CITE &lt;EndNote&gt;&lt;Cite&gt;&lt;Author&gt;Yokomizo&lt;/Author&gt;&lt;Year&gt;2005&lt;/Year&gt;&lt;RecNum&gt;136&lt;/RecNum&gt;&lt;DisplayText&gt;&lt;style face="superscript"&gt;53&lt;/style&gt;&lt;/DisplayText&gt;&lt;record&gt;&lt;rec-number&gt;136&lt;/rec-number&gt;&lt;foreign-keys&gt;&lt;key app="EN" db-id="5trrespwzsdr07efd5tx2w96x22re9s0fsdt"&gt;136&lt;/key&gt;&lt;/foreign-keys&gt;&lt;ref-type name="Journal Article"&gt;17&lt;/ref-type&gt;&lt;contributors&gt;&lt;authors&gt;&lt;author&gt;Yokomizo, T.&lt;/author&gt;&lt;author&gt;Higo, J.&lt;/author&gt;&lt;author&gt;Nakasako, M.&lt;/author&gt;&lt;/authors&gt;&lt;/contributors&gt;&lt;titles&gt;&lt;title&gt;Patterns and networks of hydrogen-bonds in the hydration structure of human lysozyme&lt;/title&gt;&lt;secondary-title&gt;Chemical Physics Letters&lt;/secondary-title&gt;&lt;/titles&gt;&lt;periodical&gt;&lt;full-title&gt;Chemical Physics Letters&lt;/full-title&gt;&lt;/periodical&gt;&lt;pages&gt;31-35&lt;/pages&gt;&lt;volume&gt;410&lt;/volume&gt;&lt;number&gt;1-3&lt;/number&gt;&lt;dates&gt;&lt;year&gt;2005&lt;/year&gt;&lt;pub-dates&gt;&lt;date&gt;Jul 10&lt;/date&gt;&lt;/pub-dates&gt;&lt;/dates&gt;&lt;isbn&gt;0009-2614&lt;/isbn&gt;&lt;accession-num&gt;WOS:000230330600006&lt;/accession-num&gt;&lt;urls&gt;&lt;related-urls&gt;&lt;url&gt;&amp;lt;Go to ISI&amp;gt;://WOS:000230330600006&lt;/url&gt;&lt;/related-urls&gt;&lt;/urls&gt;&lt;electronic-resource-num&gt;10.1016/j.cplett.2005.04.072&lt;/electronic-resource-num&gt;&lt;/record&gt;&lt;/Cite&gt;&lt;/EndNote&gt;</w:instrText>
        </w:r>
        <w:r w:rsidR="00512D09" w:rsidRPr="00965B7D">
          <w:rPr>
            <w:bCs/>
          </w:rPr>
          <w:fldChar w:fldCharType="separate"/>
        </w:r>
        <w:r w:rsidR="00512D09" w:rsidRPr="00F04E2C">
          <w:rPr>
            <w:bCs/>
            <w:noProof/>
            <w:vertAlign w:val="superscript"/>
          </w:rPr>
          <w:t>53</w:t>
        </w:r>
        <w:r w:rsidR="00512D09" w:rsidRPr="00965B7D">
          <w:fldChar w:fldCharType="end"/>
        </w:r>
      </w:hyperlink>
      <w:r w:rsidRPr="00965B7D">
        <w:rPr>
          <w:bCs/>
        </w:rPr>
        <w:t xml:space="preserve"> </w:t>
      </w:r>
    </w:p>
    <w:p w:rsidR="00965B7D" w:rsidRDefault="0053318E" w:rsidP="00217116">
      <w:pPr>
        <w:pStyle w:val="Heading2"/>
        <w:jc w:val="both"/>
      </w:pPr>
      <w:bookmarkStart w:id="28" w:name="_Toc376614237"/>
      <w:bookmarkStart w:id="29" w:name="_Toc459130659"/>
      <w:r>
        <w:t>Terahertz  S</w:t>
      </w:r>
      <w:r w:rsidR="00965B7D" w:rsidRPr="00965B7D">
        <w:t>pectroscopy</w:t>
      </w:r>
      <w:bookmarkEnd w:id="28"/>
      <w:bookmarkEnd w:id="29"/>
    </w:p>
    <w:p w:rsidR="0077575C" w:rsidRPr="0077575C" w:rsidRDefault="0077575C" w:rsidP="00217116">
      <w:pPr>
        <w:jc w:val="both"/>
      </w:pPr>
    </w:p>
    <w:p w:rsidR="00965B7D" w:rsidRPr="00965B7D" w:rsidRDefault="00965B7D" w:rsidP="00217116">
      <w:pPr>
        <w:spacing w:line="480" w:lineRule="auto"/>
        <w:jc w:val="both"/>
        <w:rPr>
          <w:bCs/>
        </w:rPr>
      </w:pPr>
      <w:r w:rsidRPr="00965B7D">
        <w:rPr>
          <w:bCs/>
        </w:rPr>
        <w:t xml:space="preserve">Terahertz time domain spectroscopy is a relatively new technique used to understand protein-solvent interactions. Hydrogen bonding, which is most likely accountable for the complexity of water, displays its vibrational resonances in the frequency range 1 to 6 THz. This means any change in the hydrogen bond population should be detected. However, there are no sharp peaks in a THz </w:t>
      </w:r>
      <w:r w:rsidR="008643BE">
        <w:rPr>
          <w:bCs/>
        </w:rPr>
        <w:t>spectrum. This</w:t>
      </w:r>
      <w:r w:rsidRPr="00965B7D">
        <w:rPr>
          <w:bCs/>
        </w:rPr>
        <w:t xml:space="preserve"> differs from the classical spectra obtained by NMR or infrared studies of chemical groups in a compound. Much like crystallography, it is primarily used to understand the spatiality of water rather than its dynamics</w:t>
      </w:r>
      <w:r w:rsidR="00E17692">
        <w:rPr>
          <w:bCs/>
        </w:rPr>
        <w:t>,</w:t>
      </w:r>
      <w:r w:rsidR="00454522">
        <w:rPr>
          <w:bCs/>
        </w:rPr>
        <w:t xml:space="preserve"> </w:t>
      </w:r>
      <w:r w:rsidR="00E17692">
        <w:rPr>
          <w:bCs/>
        </w:rPr>
        <w:t>though</w:t>
      </w:r>
      <w:r w:rsidR="00454522">
        <w:rPr>
          <w:bCs/>
        </w:rPr>
        <w:t xml:space="preserve"> there are some important exceptions</w:t>
      </w:r>
      <w:r w:rsidRPr="00965B7D">
        <w:rPr>
          <w:bCs/>
        </w:rPr>
        <w:t>. However</w:t>
      </w:r>
      <w:r w:rsidR="00E17692">
        <w:rPr>
          <w:bCs/>
        </w:rPr>
        <w:t>,</w:t>
      </w:r>
      <w:r w:rsidRPr="00965B7D">
        <w:rPr>
          <w:bCs/>
        </w:rPr>
        <w:t xml:space="preserve"> unlike crystallography, proteins can be investigated freely in solution and do not have to go through any precipitation conditions which could remove water.  </w:t>
      </w:r>
    </w:p>
    <w:p w:rsidR="00965B7D" w:rsidRPr="00965B7D" w:rsidRDefault="00965B7D" w:rsidP="00217116">
      <w:pPr>
        <w:spacing w:line="480" w:lineRule="auto"/>
        <w:jc w:val="both"/>
        <w:rPr>
          <w:bCs/>
        </w:rPr>
      </w:pPr>
      <w:r w:rsidRPr="00965B7D">
        <w:rPr>
          <w:bCs/>
        </w:rPr>
        <w:t>Hayd</w:t>
      </w:r>
      <w:r w:rsidR="006E0EB0">
        <w:rPr>
          <w:bCs/>
        </w:rPr>
        <w:t>en and Havenith, proponents of T</w:t>
      </w:r>
      <w:r w:rsidRPr="00965B7D">
        <w:rPr>
          <w:bCs/>
        </w:rPr>
        <w:t>erahertz spectroscopy, found that increasing the amount of λ*</w:t>
      </w:r>
      <w:r w:rsidRPr="00965B7D">
        <w:rPr>
          <w:bCs/>
          <w:vertAlign w:val="subscript"/>
        </w:rPr>
        <w:t>6–85</w:t>
      </w:r>
      <w:r w:rsidRPr="00965B7D">
        <w:rPr>
          <w:bCs/>
        </w:rPr>
        <w:t>-repressor protein to 0.65 mM led to an increase in THz absorbance</w:t>
      </w:r>
      <w:r w:rsidR="00FB39B7" w:rsidRPr="00FB39B7">
        <w:rPr>
          <w:bCs/>
          <w:color w:val="000000" w:themeColor="text1"/>
        </w:rPr>
        <w:t xml:space="preserve"> </w:t>
      </w:r>
      <w:r w:rsidR="00FB39B7">
        <w:rPr>
          <w:bCs/>
          <w:color w:val="000000" w:themeColor="text1"/>
        </w:rPr>
        <w:t>(</w:t>
      </w:r>
      <w:r w:rsidR="00040F10">
        <w:fldChar w:fldCharType="begin"/>
      </w:r>
      <w:r w:rsidR="00040F10">
        <w:instrText xml:space="preserve"> REF _Ref443483702 \h  \* MERGEFORMAT </w:instrText>
      </w:r>
      <w:r w:rsidR="00040F10">
        <w:fldChar w:fldCharType="separate"/>
      </w:r>
      <w:r w:rsidR="00CB4EDC" w:rsidRPr="00CB4EDC">
        <w:rPr>
          <w:color w:val="000000" w:themeColor="text1"/>
        </w:rPr>
        <w:t>Table</w:t>
      </w:r>
      <w:r w:rsidR="00CB4EDC" w:rsidRPr="00CB4EDC">
        <w:rPr>
          <w:bCs/>
          <w:color w:val="000000" w:themeColor="text1"/>
        </w:rPr>
        <w:t xml:space="preserve"> </w:t>
      </w:r>
      <w:r w:rsidR="00CB4EDC" w:rsidRPr="00CB4EDC">
        <w:rPr>
          <w:bCs/>
          <w:noProof/>
          <w:color w:val="000000" w:themeColor="text1"/>
        </w:rPr>
        <w:lastRenderedPageBreak/>
        <w:t>1.5</w:t>
      </w:r>
      <w:r w:rsidR="00040F10">
        <w:fldChar w:fldCharType="end"/>
      </w:r>
      <w:r w:rsidR="00FB39B7">
        <w:rPr>
          <w:bCs/>
          <w:color w:val="000000" w:themeColor="text1"/>
        </w:rPr>
        <w:t>)</w:t>
      </w:r>
      <w:r w:rsidR="00784261">
        <w:rPr>
          <w:bCs/>
        </w:rPr>
        <w:t>.</w:t>
      </w:r>
      <w:r w:rsidRPr="00965B7D">
        <w:rPr>
          <w:bCs/>
        </w:rPr>
        <w:t xml:space="preserve"> </w:t>
      </w:r>
      <w:hyperlink w:anchor="_ENREF_54" w:tooltip="Heyden, 2010 #187" w:history="1">
        <w:r w:rsidR="00512D09" w:rsidRPr="00965B7D">
          <w:rPr>
            <w:bCs/>
          </w:rPr>
          <w:fldChar w:fldCharType="begin"/>
        </w:r>
        <w:r w:rsidR="00512D09">
          <w:rPr>
            <w:bCs/>
          </w:rPr>
          <w:instrText xml:space="preserve"> ADDIN EN.CITE &lt;EndNote&gt;&lt;Cite&gt;&lt;Author&gt;Heyden&lt;/Author&gt;&lt;Year&gt;2010&lt;/Year&gt;&lt;RecNum&gt;187&lt;/RecNum&gt;&lt;DisplayText&gt;&lt;style face="superscript"&gt;54&lt;/style&gt;&lt;/DisplayText&gt;&lt;record&gt;&lt;rec-number&gt;187&lt;/rec-number&gt;&lt;foreign-keys&gt;&lt;key app="EN" db-id="5trrespwzsdr07efd5tx2w96x22re9s0fsdt"&gt;187&lt;/key&gt;&lt;/foreign-keys&gt;&lt;ref-type name="Journal Article"&gt;17&lt;/ref-type&gt;&lt;contributors&gt;&lt;authors&gt;&lt;author&gt;Heyden, Matthias&lt;/author&gt;&lt;author&gt;Havenith, Martina&lt;/author&gt;&lt;/authors&gt;&lt;/contributors&gt;&lt;titles&gt;&lt;title&gt;Combining THz spectroscopy and MD simulations to study protein-hydration coupling&lt;/title&gt;&lt;secondary-title&gt;Methods&lt;/secondary-title&gt;&lt;/titles&gt;&lt;periodical&gt;&lt;full-title&gt;Methods&lt;/full-title&gt;&lt;/periodical&gt;&lt;pages&gt;74-83&lt;/pages&gt;&lt;volume&gt;52&lt;/volume&gt;&lt;number&gt;1&lt;/number&gt;&lt;dates&gt;&lt;year&gt;2010&lt;/year&gt;&lt;pub-dates&gt;&lt;date&gt;Sep&lt;/date&gt;&lt;/pub-dates&gt;&lt;/dates&gt;&lt;isbn&gt;1046-2023&lt;/isbn&gt;&lt;accession-num&gt;WOS:000281941300008&lt;/accession-num&gt;&lt;urls&gt;&lt;related-urls&gt;&lt;url&gt;&amp;lt;Go to ISI&amp;gt;://WOS:000281941300008&lt;/url&gt;&lt;/related-urls&gt;&lt;/urls&gt;&lt;electronic-resource-num&gt;10.1016/j.ymeth.2010.05.007&lt;/electronic-resource-num&gt;&lt;/record&gt;&lt;/Cite&gt;&lt;/EndNote&gt;</w:instrText>
        </w:r>
        <w:r w:rsidR="00512D09" w:rsidRPr="00965B7D">
          <w:rPr>
            <w:bCs/>
          </w:rPr>
          <w:fldChar w:fldCharType="separate"/>
        </w:r>
        <w:r w:rsidR="00512D09" w:rsidRPr="00F04E2C">
          <w:rPr>
            <w:bCs/>
            <w:noProof/>
            <w:vertAlign w:val="superscript"/>
          </w:rPr>
          <w:t>54</w:t>
        </w:r>
        <w:r w:rsidR="00512D09" w:rsidRPr="00965B7D">
          <w:fldChar w:fldCharType="end"/>
        </w:r>
      </w:hyperlink>
      <w:r w:rsidRPr="00965B7D">
        <w:rPr>
          <w:bCs/>
        </w:rPr>
        <w:t xml:space="preserve"> This increase was due to two effects: the rising protein concentration and the growth of the hydration layers. In fact</w:t>
      </w:r>
      <w:r w:rsidR="00E17692">
        <w:rPr>
          <w:bCs/>
        </w:rPr>
        <w:t>,</w:t>
      </w:r>
      <w:r w:rsidRPr="00965B7D">
        <w:rPr>
          <w:bCs/>
        </w:rPr>
        <w:t xml:space="preserve"> the increased protein concentration only leads to a marginal rise in the spectra. </w:t>
      </w:r>
      <w:r w:rsidR="008643BE">
        <w:rPr>
          <w:bCs/>
        </w:rPr>
        <w:t>It is t</w:t>
      </w:r>
      <w:r w:rsidR="008643BE" w:rsidRPr="00965B7D">
        <w:rPr>
          <w:bCs/>
        </w:rPr>
        <w:t>he growth of the hydration layers</w:t>
      </w:r>
      <w:r w:rsidRPr="00965B7D">
        <w:rPr>
          <w:bCs/>
        </w:rPr>
        <w:t xml:space="preserve"> leads to a strong absorption in this spectrum. After 0.75 mM, the peak stops levelling and begins to decrease. The authors hypothesised </w:t>
      </w:r>
      <w:r w:rsidR="00E17692">
        <w:rPr>
          <w:bCs/>
        </w:rPr>
        <w:t xml:space="preserve">that </w:t>
      </w:r>
      <w:r w:rsidRPr="00965B7D">
        <w:rPr>
          <w:bCs/>
        </w:rPr>
        <w:t xml:space="preserve">this was </w:t>
      </w:r>
      <w:r w:rsidR="00E17692">
        <w:rPr>
          <w:bCs/>
        </w:rPr>
        <w:t xml:space="preserve">due to </w:t>
      </w:r>
      <w:r w:rsidRPr="00965B7D">
        <w:rPr>
          <w:bCs/>
        </w:rPr>
        <w:t>the hydration layers overlapping which would cause them to reduce in size. Based on this, they calculated the hydration layers to be approximately 22 Å in size. Using MDS based on the THz information</w:t>
      </w:r>
      <w:r w:rsidR="00E17692">
        <w:rPr>
          <w:bCs/>
        </w:rPr>
        <w:t>,</w:t>
      </w:r>
      <w:r w:rsidRPr="00965B7D">
        <w:rPr>
          <w:bCs/>
        </w:rPr>
        <w:t xml:space="preserve"> the hydrogen bond life times were shown to be around 2.9 </w:t>
      </w:r>
      <w:r w:rsidR="00E17692">
        <w:rPr>
          <w:bCs/>
        </w:rPr>
        <w:t>picoseconds (</w:t>
      </w:r>
      <w:r w:rsidRPr="00965B7D">
        <w:rPr>
          <w:bCs/>
        </w:rPr>
        <w:t>ps</w:t>
      </w:r>
      <w:r w:rsidR="00E17692">
        <w:rPr>
          <w:bCs/>
        </w:rPr>
        <w:t>)</w:t>
      </w:r>
      <w:r w:rsidRPr="00965B7D">
        <w:rPr>
          <w:bCs/>
        </w:rPr>
        <w:t xml:space="preserve"> for the bulk water and 4.1 ps for the hydration layers.  </w:t>
      </w:r>
      <w:r w:rsidR="009E32BC">
        <w:rPr>
          <w:bCs/>
        </w:rPr>
        <w:t xml:space="preserve">MDS </w:t>
      </w:r>
      <w:r w:rsidRPr="00965B7D">
        <w:rPr>
          <w:bCs/>
        </w:rPr>
        <w:t>conducted by Hayden and Havenith also found hydrogen bond life times around hydrophilic residues were 4.2 ps, this half-life was increased to 5.5 ps if the water was around hydrophobic residues. Denaturation studies of λ*</w:t>
      </w:r>
      <w:r w:rsidRPr="00965B7D">
        <w:rPr>
          <w:bCs/>
          <w:vertAlign w:val="subscript"/>
        </w:rPr>
        <w:t>6–85</w:t>
      </w:r>
      <w:r w:rsidRPr="00965B7D">
        <w:rPr>
          <w:bCs/>
        </w:rPr>
        <w:t xml:space="preserve">-repressor showed no increase in THz absorption with rising protein concentration. This could show water behaves differently around apolar residues which would be exposed upon denaturation. However, Markelz </w:t>
      </w:r>
      <w:r w:rsidR="002D4FF8">
        <w:rPr>
          <w:bCs/>
          <w:i/>
          <w:iCs/>
        </w:rPr>
        <w:t xml:space="preserve">et al. </w:t>
      </w:r>
      <w:r w:rsidRPr="00965B7D">
        <w:rPr>
          <w:bCs/>
        </w:rPr>
        <w:t>found that water associates with alanine peptides using THz spectroscopy</w:t>
      </w:r>
      <w:r w:rsidR="00784261">
        <w:rPr>
          <w:bCs/>
        </w:rPr>
        <w:t>.</w:t>
      </w:r>
      <w:r w:rsidRPr="00965B7D">
        <w:rPr>
          <w:bCs/>
        </w:rPr>
        <w:t xml:space="preserve"> </w:t>
      </w:r>
      <w:hyperlink w:anchor="_ENREF_55" w:tooltip="He, 2008 #188" w:history="1">
        <w:r w:rsidR="00512D09" w:rsidRPr="00965B7D">
          <w:rPr>
            <w:bCs/>
          </w:rPr>
          <w:fldChar w:fldCharType="begin"/>
        </w:r>
        <w:r w:rsidR="00512D09">
          <w:rPr>
            <w:bCs/>
          </w:rPr>
          <w:instrText xml:space="preserve"> ADDIN EN.CITE &lt;EndNote&gt;&lt;Cite&gt;&lt;Author&gt;He&lt;/Author&gt;&lt;Year&gt;2008&lt;/Year&gt;&lt;RecNum&gt;188&lt;/RecNum&gt;&lt;DisplayText&gt;&lt;style face="superscript"&gt;55&lt;/style&gt;&lt;/DisplayText&gt;&lt;record&gt;&lt;rec-number&gt;188&lt;/rec-number&gt;&lt;foreign-keys&gt;&lt;key app="EN" db-id="5trrespwzsdr07efd5tx2w96x22re9s0fsdt"&gt;188&lt;/key&gt;&lt;/foreign-keys&gt;&lt;ref-type name="Journal Article"&gt;17&lt;/ref-type&gt;&lt;contributors&gt;&lt;authors&gt;&lt;author&gt;He, Yunfen&lt;/author&gt;&lt;author&gt;Ku, Pei I.&lt;/author&gt;&lt;author&gt;Knab, J. R.&lt;/author&gt;&lt;author&gt;Chen, J. Y.&lt;/author&gt;&lt;author&gt;Markelz, A. G.&lt;/author&gt;&lt;/authors&gt;&lt;/contributors&gt;&lt;titles&gt;&lt;title&gt;Protein Dynamical Transition Does Not Require Protein Structure&lt;/title&gt;&lt;secondary-title&gt;Physical Review Letters&lt;/secondary-title&gt;&lt;/titles&gt;&lt;periodical&gt;&lt;full-title&gt;Physical Review Letters&lt;/full-title&gt;&lt;/periodical&gt;&lt;pages&gt;178103&lt;/pages&gt;&lt;volume&gt;101&lt;/volume&gt;&lt;number&gt;17&lt;/number&gt;&lt;dates&gt;&lt;year&gt;2008&lt;/year&gt;&lt;/dates&gt;&lt;publisher&gt;American Physical Society&lt;/publisher&gt;&lt;urls&gt;&lt;related-urls&gt;&lt;url&gt;http://link.aps.org/doi/10.1103/PhysRevLett.101.178103&lt;/url&gt;&lt;/related-urls&gt;&lt;/urls&gt;&lt;/record&gt;&lt;/Cite&gt;&lt;/EndNote&gt;</w:instrText>
        </w:r>
        <w:r w:rsidR="00512D09" w:rsidRPr="00965B7D">
          <w:rPr>
            <w:bCs/>
          </w:rPr>
          <w:fldChar w:fldCharType="separate"/>
        </w:r>
        <w:r w:rsidR="00512D09" w:rsidRPr="00F04E2C">
          <w:rPr>
            <w:bCs/>
            <w:noProof/>
            <w:vertAlign w:val="superscript"/>
          </w:rPr>
          <w:t>55</w:t>
        </w:r>
        <w:r w:rsidR="00512D09" w:rsidRPr="00965B7D">
          <w:fldChar w:fldCharType="end"/>
        </w:r>
      </w:hyperlink>
      <w:r w:rsidRPr="00965B7D">
        <w:rPr>
          <w:bCs/>
        </w:rPr>
        <w:t xml:space="preserve"> This may mean the denatured proteins precipitated out of solution in the Hayden and Havenith study, which Falconer believed would lead to such a spectra witnessed by that group</w:t>
      </w:r>
      <w:r w:rsidR="00784261">
        <w:rPr>
          <w:bCs/>
        </w:rPr>
        <w:t>.</w:t>
      </w:r>
      <w:r w:rsidRPr="00965B7D">
        <w:rPr>
          <w:bCs/>
        </w:rPr>
        <w:t xml:space="preserve"> </w:t>
      </w:r>
      <w:hyperlink w:anchor="_ENREF_56" w:tooltip="Falconer, 2012 #189" w:history="1">
        <w:r w:rsidR="00512D09" w:rsidRPr="00965B7D">
          <w:rPr>
            <w:bCs/>
          </w:rPr>
          <w:fldChar w:fldCharType="begin"/>
        </w:r>
        <w:r w:rsidR="00512D09">
          <w:rPr>
            <w:bCs/>
          </w:rPr>
          <w:instrText xml:space="preserve"> ADDIN EN.CITE &lt;EndNote&gt;&lt;Cite&gt;&lt;Author&gt;Falconer&lt;/Author&gt;&lt;Year&gt;2012&lt;/Year&gt;&lt;RecNum&gt;189&lt;/RecNum&gt;&lt;DisplayText&gt;&lt;style face="superscript"&gt;56&lt;/style&gt;&lt;/DisplayText&gt;&lt;record&gt;&lt;rec-number&gt;189&lt;/rec-number&gt;&lt;foreign-keys&gt;&lt;key app="EN" db-id="5trrespwzsdr07efd5tx2w96x22re9s0fsdt"&gt;189&lt;/key&gt;&lt;/foreign-keys&gt;&lt;ref-type name="Journal Article"&gt;17&lt;/ref-type&gt;&lt;contributors&gt;&lt;authors&gt;&lt;author&gt;Falconer, Robert J.&lt;/author&gt;&lt;author&gt;Markelz, Andrea G.&lt;/author&gt;&lt;/authors&gt;&lt;/contributors&gt;&lt;titles&gt;&lt;title&gt;Terahertz Spectroscopic Analysis of Peptides and Proteins&lt;/title&gt;&lt;secondary-title&gt;Journal of Infrared Millimeter and Terahertz Waves&lt;/secondary-title&gt;&lt;/titles&gt;&lt;periodical&gt;&lt;full-title&gt;Journal of Infrared Millimeter and Terahertz Waves&lt;/full-title&gt;&lt;/periodical&gt;&lt;pages&gt;973-988&lt;/pages&gt;&lt;volume&gt;33&lt;/volume&gt;&lt;number&gt;10&lt;/number&gt;&lt;dates&gt;&lt;year&gt;2012&lt;/year&gt;&lt;pub-dates&gt;&lt;date&gt;Oct&lt;/date&gt;&lt;/pub-dates&gt;&lt;/dates&gt;&lt;isbn&gt;1866-6892&lt;/isbn&gt;&lt;accession-num&gt;WOS:000308554800001&lt;/accession-num&gt;&lt;urls&gt;&lt;related-urls&gt;&lt;url&gt;&amp;lt;Go to ISI&amp;gt;://WOS:000308554800001&lt;/url&gt;&lt;/related-urls&gt;&lt;/urls&gt;&lt;electronic-resource-num&gt;10.1007/s10762-012-9915-9&lt;/electronic-resource-num&gt;&lt;/record&gt;&lt;/Cite&gt;&lt;/EndNote&gt;</w:instrText>
        </w:r>
        <w:r w:rsidR="00512D09" w:rsidRPr="00965B7D">
          <w:rPr>
            <w:bCs/>
          </w:rPr>
          <w:fldChar w:fldCharType="separate"/>
        </w:r>
        <w:r w:rsidR="00512D09" w:rsidRPr="00F04E2C">
          <w:rPr>
            <w:bCs/>
            <w:noProof/>
            <w:vertAlign w:val="superscript"/>
          </w:rPr>
          <w:t>56</w:t>
        </w:r>
        <w:r w:rsidR="00512D09" w:rsidRPr="00965B7D">
          <w:fldChar w:fldCharType="end"/>
        </w:r>
      </w:hyperlink>
      <w:r w:rsidRPr="00965B7D">
        <w:rPr>
          <w:bCs/>
        </w:rPr>
        <w:t xml:space="preserve"> </w:t>
      </w:r>
    </w:p>
    <w:p w:rsidR="00965B7D" w:rsidRPr="00965B7D" w:rsidRDefault="00965B7D" w:rsidP="00217116">
      <w:pPr>
        <w:spacing w:line="480" w:lineRule="auto"/>
        <w:jc w:val="both"/>
        <w:rPr>
          <w:bCs/>
        </w:rPr>
      </w:pPr>
      <w:r w:rsidRPr="00965B7D">
        <w:rPr>
          <w:bCs/>
        </w:rPr>
        <w:t xml:space="preserve">Xu </w:t>
      </w:r>
      <w:r w:rsidR="002D4FF8">
        <w:rPr>
          <w:bCs/>
          <w:i/>
        </w:rPr>
        <w:t xml:space="preserve">et al. </w:t>
      </w:r>
      <w:r w:rsidRPr="00965B7D">
        <w:rPr>
          <w:bCs/>
        </w:rPr>
        <w:t>found that absorbance for lysozyme plateaued after 2 THz , whilst BSA absorbance increased with increasing THz frequency</w:t>
      </w:r>
      <w:r w:rsidR="00784261">
        <w:rPr>
          <w:bCs/>
        </w:rPr>
        <w:t>.</w:t>
      </w:r>
      <w:r w:rsidRPr="00965B7D">
        <w:rPr>
          <w:bCs/>
        </w:rPr>
        <w:t xml:space="preserve"> </w:t>
      </w:r>
      <w:hyperlink w:anchor="_ENREF_57" w:tooltip="Xu, 2006 #292" w:history="1">
        <w:r w:rsidR="00512D09" w:rsidRPr="00965B7D">
          <w:rPr>
            <w:bCs/>
          </w:rPr>
          <w:fldChar w:fldCharType="begin"/>
        </w:r>
        <w:r w:rsidR="00512D09">
          <w:rPr>
            <w:bCs/>
          </w:rPr>
          <w:instrText xml:space="preserve"> ADDIN EN.CITE &lt;EndNote&gt;&lt;Cite&gt;&lt;Author&gt;Xu&lt;/Author&gt;&lt;Year&gt;2006&lt;/Year&gt;&lt;RecNum&gt;292&lt;/RecNum&gt;&lt;DisplayText&gt;&lt;style face="superscript"&gt;57&lt;/style&gt;&lt;/DisplayText&gt;&lt;record&gt;&lt;rec-number&gt;292&lt;/rec-number&gt;&lt;foreign-keys&gt;&lt;key app="EN" db-id="5trrespwzsdr07efd5tx2w96x22re9s0fsdt"&gt;292&lt;/key&gt;&lt;/foreign-keys&gt;&lt;ref-type name="Journal Article"&gt;17&lt;/ref-type&gt;&lt;contributors&gt;&lt;authors&gt;&lt;author&gt;Xu, Jing&lt;/author&gt;&lt;author&gt;Plaxco, Kevin W.&lt;/author&gt;&lt;author&gt;Allen, S. James&lt;/author&gt;&lt;/authors&gt;&lt;/contributors&gt;&lt;titles&gt;&lt;title&gt;Collective Dynamics of Lysozyme in Water:  Terahertz Absorption Spectroscopy and Comparison with Theory&lt;/title&gt;&lt;secondary-title&gt;The Journal of Physical Chemistry B&lt;/secondary-title&gt;&lt;/titles&gt;&lt;periodical&gt;&lt;full-title&gt;The Journal of Physical Chemistry B&lt;/full-title&gt;&lt;/periodical&gt;&lt;pages&gt;24255-24259&lt;/pages&gt;&lt;volume&gt;110&lt;/volume&gt;&lt;number&gt;47&lt;/number&gt;&lt;dates&gt;&lt;year&gt;2006&lt;/year&gt;&lt;pub-dates&gt;&lt;date&gt;2006/11/01&lt;/date&gt;&lt;/pub-dates&gt;&lt;/dates&gt;&lt;publisher&gt;American Chemical Society&lt;/publisher&gt;&lt;isbn&gt;1520-6106&lt;/isbn&gt;&lt;urls&gt;&lt;related-urls&gt;&lt;url&gt;http://dx.doi.org/10.1021/jp064830w&lt;/url&gt;&lt;/related-urls&gt;&lt;/urls&gt;&lt;electronic-resource-num&gt;10.1021/jp064830w&lt;/electronic-resource-num&gt;&lt;access-date&gt;2013/12/21&lt;/access-date&gt;&lt;/record&gt;&lt;/Cite&gt;&lt;/EndNote&gt;</w:instrText>
        </w:r>
        <w:r w:rsidR="00512D09" w:rsidRPr="00965B7D">
          <w:rPr>
            <w:bCs/>
          </w:rPr>
          <w:fldChar w:fldCharType="separate"/>
        </w:r>
        <w:r w:rsidR="00512D09" w:rsidRPr="00F04E2C">
          <w:rPr>
            <w:bCs/>
            <w:noProof/>
            <w:vertAlign w:val="superscript"/>
          </w:rPr>
          <w:t>57</w:t>
        </w:r>
        <w:r w:rsidR="00512D09" w:rsidRPr="00965B7D">
          <w:fldChar w:fldCharType="end"/>
        </w:r>
      </w:hyperlink>
      <w:r w:rsidRPr="00965B7D">
        <w:rPr>
          <w:bCs/>
        </w:rPr>
        <w:t xml:space="preserve"> The authors speculated from charge distribution within the protein or particular interactions with the water. A distance decomposed infra-red absorption spectra allowed the Havenith group to suggest a solvation shell absorbs most strongly at 2 THz</w:t>
      </w:r>
      <w:r w:rsidR="00784261">
        <w:rPr>
          <w:bCs/>
        </w:rPr>
        <w:t>.</w:t>
      </w:r>
      <w:r w:rsidRPr="00965B7D">
        <w:rPr>
          <w:bCs/>
        </w:rPr>
        <w:t xml:space="preserve"> </w:t>
      </w:r>
      <w:hyperlink w:anchor="_ENREF_58" w:tooltip="Heyden, 2010 #293" w:history="1">
        <w:r w:rsidR="00512D09" w:rsidRPr="00965B7D">
          <w:rPr>
            <w:bCs/>
          </w:rPr>
          <w:fldChar w:fldCharType="begin"/>
        </w:r>
        <w:r w:rsidR="00512D09">
          <w:rPr>
            <w:bCs/>
          </w:rPr>
          <w:instrText xml:space="preserve"> ADDIN EN.CITE &lt;EndNote&gt;&lt;Cite&gt;&lt;Author&gt;Heyden&lt;/Author&gt;&lt;Year&gt;2010&lt;/Year&gt;&lt;RecNum&gt;293&lt;/RecNum&gt;&lt;DisplayText&gt;&lt;style face="superscript"&gt;58&lt;/style&gt;&lt;/DisplayText&gt;&lt;record&gt;&lt;rec-number&gt;293&lt;/rec-number&gt;&lt;foreign-keys&gt;&lt;key app="EN" db-id="5trrespwzsdr07efd5tx2w96x22re9s0fsdt"&gt;293&lt;/key&gt;&lt;/foreign-keys&gt;&lt;ref-type name="Journal Article"&gt;17&lt;/ref-type&gt;&lt;contributors&gt;&lt;authors&gt;&lt;author&gt;Heyden, Matthias&lt;/author&gt;&lt;author&gt;Sun, Jian&lt;/author&gt;&lt;author&gt;Funkner, Stefan&lt;/author&gt;&lt;author&gt;Mathias, Gerald&lt;/author&gt;&lt;author&gt;Forbert, Harald&lt;/author&gt;&lt;author&gt;Havenith, Martina&lt;/author&gt;&lt;author&gt;Marx, Dominik&lt;/author&gt;&lt;/authors&gt;&lt;/contributors&gt;&lt;titles&gt;&lt;title&gt;Dissecting the THz spectrum of liquid water from first principles via correlations in time and space&lt;/title&gt;&lt;secondary-title&gt;Proceedings of the National Academy of Sciences&lt;/secondary-title&gt;&lt;/titles&gt;&lt;periodical&gt;&lt;full-title&gt;Proceedings of the National Academy of Sciences&lt;/full-title&gt;&lt;/periodical&gt;&lt;pages&gt;12068-12073&lt;/pages&gt;&lt;volume&gt;107&lt;/volume&gt;&lt;number&gt;27&lt;/number&gt;&lt;dates&gt;&lt;year&gt;2010&lt;/year&gt;&lt;pub-dates&gt;&lt;date&gt;July 6, 2010&lt;/date&gt;&lt;/pub-dates&gt;&lt;/dates&gt;&lt;urls&gt;&lt;related-urls&gt;&lt;url&gt;http://www.pnas.org/content/107/27/12068.abstract&lt;/url&gt;&lt;/related-urls&gt;&lt;/urls&gt;&lt;electronic-resource-num&gt;10.1073/pnas.0914885107&lt;/electronic-resource-num&gt;&lt;/record&gt;&lt;/Cite&gt;&lt;/EndNote&gt;</w:instrText>
        </w:r>
        <w:r w:rsidR="00512D09" w:rsidRPr="00965B7D">
          <w:rPr>
            <w:bCs/>
          </w:rPr>
          <w:fldChar w:fldCharType="separate"/>
        </w:r>
        <w:r w:rsidR="00512D09" w:rsidRPr="00F04E2C">
          <w:rPr>
            <w:bCs/>
            <w:noProof/>
            <w:vertAlign w:val="superscript"/>
          </w:rPr>
          <w:t>58</w:t>
        </w:r>
        <w:r w:rsidR="00512D09" w:rsidRPr="00965B7D">
          <w:fldChar w:fldCharType="end"/>
        </w:r>
      </w:hyperlink>
      <w:r w:rsidRPr="00965B7D">
        <w:rPr>
          <w:bCs/>
        </w:rPr>
        <w:t xml:space="preserve"> It was proposed this could be understood as two tetrahedral waters connected along a hydrogen bond axis. Consequently, based on this model, solutes would be expected to alter this absorption by changing the vibrational motion of these two connected water molecules</w:t>
      </w:r>
      <w:r w:rsidR="00784261">
        <w:rPr>
          <w:bCs/>
        </w:rPr>
        <w:t>.</w:t>
      </w:r>
      <w:r w:rsidRPr="00965B7D">
        <w:rPr>
          <w:bCs/>
        </w:rPr>
        <w:t xml:space="preserve"> </w:t>
      </w:r>
      <w:hyperlink w:anchor="_ENREF_58" w:tooltip="Heyden, 2010 #293" w:history="1">
        <w:r w:rsidR="00512D09" w:rsidRPr="00965B7D">
          <w:rPr>
            <w:bCs/>
          </w:rPr>
          <w:fldChar w:fldCharType="begin"/>
        </w:r>
        <w:r w:rsidR="00512D09">
          <w:rPr>
            <w:bCs/>
          </w:rPr>
          <w:instrText xml:space="preserve"> ADDIN EN.CITE &lt;EndNote&gt;&lt;Cite&gt;&lt;Author&gt;Heyden&lt;/Author&gt;&lt;Year&gt;2010&lt;/Year&gt;&lt;RecNum&gt;293&lt;/RecNum&gt;&lt;DisplayText&gt;&lt;style face="superscript"&gt;58&lt;/style&gt;&lt;/DisplayText&gt;&lt;record&gt;&lt;rec-number&gt;293&lt;/rec-number&gt;&lt;foreign-keys&gt;&lt;key app="EN" db-id="5trrespwzsdr07efd5tx2w96x22re9s0fsdt"&gt;293&lt;/key&gt;&lt;/foreign-keys&gt;&lt;ref-type name="Journal Article"&gt;17&lt;/ref-type&gt;&lt;contributors&gt;&lt;authors&gt;&lt;author&gt;Heyden, Matthias&lt;/author&gt;&lt;author&gt;Sun, Jian&lt;/author&gt;&lt;author&gt;Funkner, Stefan&lt;/author&gt;&lt;author&gt;Mathias, Gerald&lt;/author&gt;&lt;author&gt;Forbert, Harald&lt;/author&gt;&lt;author&gt;Havenith, Martina&lt;/author&gt;&lt;author&gt;Marx, Dominik&lt;/author&gt;&lt;/authors&gt;&lt;/contributors&gt;&lt;titles&gt;&lt;title&gt;Dissecting the THz spectrum of liquid water from first principles via correlations in time and space&lt;/title&gt;&lt;secondary-title&gt;Proceedings of the National Academy of Sciences&lt;/secondary-title&gt;&lt;/titles&gt;&lt;periodical&gt;&lt;full-title&gt;Proceedings of the National Academy of Sciences&lt;/full-title&gt;&lt;/periodical&gt;&lt;pages&gt;12068-12073&lt;/pages&gt;&lt;volume&gt;107&lt;/volume&gt;&lt;number&gt;27&lt;/number&gt;&lt;dates&gt;&lt;year&gt;2010&lt;/year&gt;&lt;pub-dates&gt;&lt;date&gt;July 6, 2010&lt;/date&gt;&lt;/pub-dates&gt;&lt;/dates&gt;&lt;urls&gt;&lt;related-urls&gt;&lt;url&gt;http://www.pnas.org/content/107/27/12068.abstract&lt;/url&gt;&lt;/related-urls&gt;&lt;/urls&gt;&lt;electronic-resource-num&gt;10.1073/pnas.0914885107&lt;/electronic-resource-num&gt;&lt;/record&gt;&lt;/Cite&gt;&lt;/EndNote&gt;</w:instrText>
        </w:r>
        <w:r w:rsidR="00512D09" w:rsidRPr="00965B7D">
          <w:rPr>
            <w:bCs/>
          </w:rPr>
          <w:fldChar w:fldCharType="separate"/>
        </w:r>
        <w:r w:rsidR="00512D09" w:rsidRPr="00F04E2C">
          <w:rPr>
            <w:bCs/>
            <w:noProof/>
            <w:vertAlign w:val="superscript"/>
          </w:rPr>
          <w:t>58</w:t>
        </w:r>
        <w:r w:rsidR="00512D09" w:rsidRPr="00965B7D">
          <w:fldChar w:fldCharType="end"/>
        </w:r>
      </w:hyperlink>
      <w:r w:rsidRPr="00965B7D">
        <w:rPr>
          <w:bCs/>
        </w:rPr>
        <w:t xml:space="preserve">  </w:t>
      </w:r>
    </w:p>
    <w:p w:rsidR="00965B7D" w:rsidRDefault="00965B7D" w:rsidP="00217116">
      <w:pPr>
        <w:spacing w:line="480" w:lineRule="auto"/>
        <w:jc w:val="both"/>
        <w:rPr>
          <w:bCs/>
        </w:rPr>
      </w:pPr>
      <w:r w:rsidRPr="00965B7D">
        <w:rPr>
          <w:bCs/>
        </w:rPr>
        <w:lastRenderedPageBreak/>
        <w:t>The Moon group carried out an intermolecular vibrational study of liquid water and ice over varying temperatures using far infrared spectroscopy with synchrotron radiation</w:t>
      </w:r>
      <w:r w:rsidR="00784261">
        <w:rPr>
          <w:bCs/>
        </w:rPr>
        <w:t>.</w:t>
      </w:r>
      <w:r w:rsidRPr="00965B7D">
        <w:rPr>
          <w:bCs/>
        </w:rPr>
        <w:t xml:space="preserve"> </w:t>
      </w:r>
      <w:hyperlink w:anchor="_ENREF_59" w:tooltip="Miura, 2010 #294" w:history="1">
        <w:r w:rsidR="00512D09" w:rsidRPr="00965B7D">
          <w:rPr>
            <w:bCs/>
          </w:rPr>
          <w:fldChar w:fldCharType="begin"/>
        </w:r>
        <w:r w:rsidR="00512D09">
          <w:rPr>
            <w:bCs/>
          </w:rPr>
          <w:instrText xml:space="preserve"> ADDIN EN.CITE &lt;EndNote&gt;&lt;Cite&gt;&lt;Author&gt;Miura&lt;/Author&gt;&lt;Year&gt;2010&lt;/Year&gt;&lt;RecNum&gt;294&lt;/RecNum&gt;&lt;DisplayText&gt;&lt;style face="superscript"&gt;59&lt;/style&gt;&lt;/DisplayText&gt;&lt;record&gt;&lt;rec-number&gt;294&lt;/rec-number&gt;&lt;foreign-keys&gt;&lt;key app="EN" db-id="5trrespwzsdr07efd5tx2w96x22re9s0fsdt"&gt;294&lt;/key&gt;&lt;/foreign-keys&gt;&lt;ref-type name="Journal Article"&gt;17&lt;/ref-type&gt;&lt;contributors&gt;&lt;authors&gt;&lt;author&gt;Miura, Nobuhiro&lt;/author&gt;&lt;author&gt;Yamada, Hironari&lt;/author&gt;&lt;author&gt;Moon, Ahsa&lt;/author&gt;&lt;/authors&gt;&lt;/contributors&gt;&lt;titles&gt;&lt;title&gt;Intermolecular vibrational study in liquid water and ice by using far infrared spectroscopy with synchrotron radiation of MIRRORCLE 20&lt;/title&gt;&lt;secondary-title&gt;Spectrochimica Acta Part A: Molecular and Biomolecular Spectroscopy&lt;/secondary-title&gt;&lt;/titles&gt;&lt;periodical&gt;&lt;full-title&gt;Spectrochimica Acta Part A: Molecular and Biomolecular Spectroscopy&lt;/full-title&gt;&lt;/periodical&gt;&lt;pages&gt;1048-1053&lt;/pages&gt;&lt;volume&gt;77&lt;/volume&gt;&lt;number&gt;5&lt;/number&gt;&lt;keywords&gt;&lt;keyword&gt;Dynamical water structure&lt;/keyword&gt;&lt;keyword&gt;Far infrared spectroscopy&lt;/keyword&gt;&lt;keyword&gt;Intermolecular vibration&lt;/keyword&gt;&lt;keyword&gt;Collective mode&lt;/keyword&gt;&lt;keyword&gt;Terahertz (THz) frequency&lt;/keyword&gt;&lt;keyword&gt;Infrared synchrotron radiation&lt;/keyword&gt;&lt;keyword&gt;Portable synchrotron&lt;/keyword&gt;&lt;/keywords&gt;&lt;dates&gt;&lt;year&gt;2010&lt;/year&gt;&lt;/dates&gt;&lt;isbn&gt;1386-1425&lt;/isbn&gt;&lt;urls&gt;&lt;related-urls&gt;&lt;url&gt;http://www.sciencedirect.com/science/article/pii/S1386142510004610&lt;/url&gt;&lt;/related-urls&gt;&lt;/urls&gt;&lt;electronic-resource-num&gt;http://dx.doi.org/10.1016/j.saa.2010.08.071&lt;/electronic-resource-num&gt;&lt;/record&gt;&lt;/Cite&gt;&lt;/EndNote&gt;</w:instrText>
        </w:r>
        <w:r w:rsidR="00512D09" w:rsidRPr="00965B7D">
          <w:rPr>
            <w:bCs/>
          </w:rPr>
          <w:fldChar w:fldCharType="separate"/>
        </w:r>
        <w:r w:rsidR="00512D09" w:rsidRPr="00F04E2C">
          <w:rPr>
            <w:bCs/>
            <w:noProof/>
            <w:vertAlign w:val="superscript"/>
          </w:rPr>
          <w:t>59</w:t>
        </w:r>
        <w:r w:rsidR="00512D09" w:rsidRPr="00965B7D">
          <w:fldChar w:fldCharType="end"/>
        </w:r>
      </w:hyperlink>
      <w:r w:rsidRPr="00965B7D">
        <w:rPr>
          <w:bCs/>
        </w:rPr>
        <w:t xml:space="preserve">  They found a peak at 1.3 THz did not depend on the temperature range between 10.0 °C and 70.0 °C, however, this mode was not detected in the ice spectrum</w:t>
      </w:r>
      <w:r w:rsidR="00784261">
        <w:rPr>
          <w:bCs/>
        </w:rPr>
        <w:t>.</w:t>
      </w:r>
      <w:hyperlink w:anchor="_ENREF_59" w:tooltip="Miura, 2010 #294" w:history="1">
        <w:r w:rsidR="00512D09" w:rsidRPr="00965B7D">
          <w:rPr>
            <w:bCs/>
          </w:rPr>
          <w:fldChar w:fldCharType="begin"/>
        </w:r>
        <w:r w:rsidR="00512D09">
          <w:rPr>
            <w:bCs/>
          </w:rPr>
          <w:instrText xml:space="preserve"> ADDIN EN.CITE &lt;EndNote&gt;&lt;Cite&gt;&lt;Author&gt;Miura&lt;/Author&gt;&lt;Year&gt;2010&lt;/Year&gt;&lt;RecNum&gt;294&lt;/RecNum&gt;&lt;DisplayText&gt;&lt;style face="superscript"&gt;59&lt;/style&gt;&lt;/DisplayText&gt;&lt;record&gt;&lt;rec-number&gt;294&lt;/rec-number&gt;&lt;foreign-keys&gt;&lt;key app="EN" db-id="5trrespwzsdr07efd5tx2w96x22re9s0fsdt"&gt;294&lt;/key&gt;&lt;/foreign-keys&gt;&lt;ref-type name="Journal Article"&gt;17&lt;/ref-type&gt;&lt;contributors&gt;&lt;authors&gt;&lt;author&gt;Miura, Nobuhiro&lt;/author&gt;&lt;author&gt;Yamada, Hironari&lt;/author&gt;&lt;author&gt;Moon, Ahsa&lt;/author&gt;&lt;/authors&gt;&lt;/contributors&gt;&lt;titles&gt;&lt;title&gt;Intermolecular vibrational study in liquid water and ice by using far infrared spectroscopy with synchrotron radiation of MIRRORCLE 20&lt;/title&gt;&lt;secondary-title&gt;Spectrochimica Acta Part A: Molecular and Biomolecular Spectroscopy&lt;/secondary-title&gt;&lt;/titles&gt;&lt;periodical&gt;&lt;full-title&gt;Spectrochimica Acta Part A: Molecular and Biomolecular Spectroscopy&lt;/full-title&gt;&lt;/periodical&gt;&lt;pages&gt;1048-1053&lt;/pages&gt;&lt;volume&gt;77&lt;/volume&gt;&lt;number&gt;5&lt;/number&gt;&lt;keywords&gt;&lt;keyword&gt;Dynamical water structure&lt;/keyword&gt;&lt;keyword&gt;Far infrared spectroscopy&lt;/keyword&gt;&lt;keyword&gt;Intermolecular vibration&lt;/keyword&gt;&lt;keyword&gt;Collective mode&lt;/keyword&gt;&lt;keyword&gt;Terahertz (THz) frequency&lt;/keyword&gt;&lt;keyword&gt;Infrared synchrotron radiation&lt;/keyword&gt;&lt;keyword&gt;Portable synchrotron&lt;/keyword&gt;&lt;/keywords&gt;&lt;dates&gt;&lt;year&gt;2010&lt;/year&gt;&lt;/dates&gt;&lt;isbn&gt;1386-1425&lt;/isbn&gt;&lt;urls&gt;&lt;related-urls&gt;&lt;url&gt;http://www.sciencedirect.com/science/article/pii/S1386142510004610&lt;/url&gt;&lt;/related-urls&gt;&lt;/urls&gt;&lt;electronic-resource-num&gt;http://dx.doi.org/10.1016/j.saa.2010.08.071&lt;/electronic-resource-num&gt;&lt;/record&gt;&lt;/Cite&gt;&lt;/EndNote&gt;</w:instrText>
        </w:r>
        <w:r w:rsidR="00512D09" w:rsidRPr="00965B7D">
          <w:rPr>
            <w:bCs/>
          </w:rPr>
          <w:fldChar w:fldCharType="separate"/>
        </w:r>
        <w:r w:rsidR="00512D09" w:rsidRPr="00F04E2C">
          <w:rPr>
            <w:bCs/>
            <w:noProof/>
            <w:vertAlign w:val="superscript"/>
          </w:rPr>
          <w:t>59</w:t>
        </w:r>
        <w:r w:rsidR="00512D09" w:rsidRPr="00965B7D">
          <w:fldChar w:fldCharType="end"/>
        </w:r>
      </w:hyperlink>
      <w:r w:rsidRPr="00965B7D">
        <w:rPr>
          <w:bCs/>
        </w:rPr>
        <w:t xml:space="preserve"> The authors suggested this band was caused by collective larger motions specific to the dynamic structure of liquid water. Using a short intense electron source at Stanford University, Woods and Wiedemann found that some bands between 1.2 and 3 THz exhibited a red shift with increasing temperature</w:t>
      </w:r>
      <w:r w:rsidR="00784261">
        <w:rPr>
          <w:bCs/>
        </w:rPr>
        <w:t>.</w:t>
      </w:r>
      <w:hyperlink w:anchor="_ENREF_60" w:tooltip="Woods, 2004 #295" w:history="1">
        <w:r w:rsidR="00512D09" w:rsidRPr="00965B7D">
          <w:rPr>
            <w:bCs/>
          </w:rPr>
          <w:fldChar w:fldCharType="begin"/>
        </w:r>
        <w:r w:rsidR="00512D09">
          <w:rPr>
            <w:bCs/>
          </w:rPr>
          <w:instrText xml:space="preserve"> ADDIN EN.CITE &lt;EndNote&gt;&lt;Cite&gt;&lt;Author&gt;Woods&lt;/Author&gt;&lt;Year&gt;2004&lt;/Year&gt;&lt;RecNum&gt;295&lt;/RecNum&gt;&lt;DisplayText&gt;&lt;style face="superscript"&gt;60&lt;/style&gt;&lt;/DisplayText&gt;&lt;record&gt;&lt;rec-number&gt;295&lt;/rec-number&gt;&lt;foreign-keys&gt;&lt;key app="EN" db-id="5trrespwzsdr07efd5tx2w96x22re9s0fsdt"&gt;295&lt;/key&gt;&lt;/foreign-keys&gt;&lt;ref-type name="Journal Article"&gt;17&lt;/ref-type&gt;&lt;contributors&gt;&lt;authors&gt;&lt;author&gt;Woods, K. N.&lt;/author&gt;&lt;author&gt;Wiedemann, H.&lt;/author&gt;&lt;/authors&gt;&lt;/contributors&gt;&lt;titles&gt;&lt;title&gt;The relationship between dynamics and structure in the far infrared absorption spectrum of liquid water&lt;/title&gt;&lt;secondary-title&gt;Chemical Physics Letters&lt;/secondary-title&gt;&lt;/titles&gt;&lt;periodical&gt;&lt;full-title&gt;Chemical Physics Letters&lt;/full-title&gt;&lt;/periodical&gt;&lt;pages&gt;159-165&lt;/pages&gt;&lt;volume&gt;393&lt;/volume&gt;&lt;number&gt;1–3&lt;/number&gt;&lt;dates&gt;&lt;year&gt;2004&lt;/year&gt;&lt;/dates&gt;&lt;isbn&gt;0009-2614&lt;/isbn&gt;&lt;urls&gt;&lt;related-urls&gt;&lt;url&gt;http://www.sciencedirect.com/science/article/pii/S0009261404008644&lt;/url&gt;&lt;/related-urls&gt;&lt;/urls&gt;&lt;electronic-resource-num&gt;http://dx.doi.org/10.1016/j.cplett.2004.06.013&lt;/electronic-resource-num&gt;&lt;/record&gt;&lt;/Cite&gt;&lt;/EndNote&gt;</w:instrText>
        </w:r>
        <w:r w:rsidR="00512D09" w:rsidRPr="00965B7D">
          <w:rPr>
            <w:bCs/>
          </w:rPr>
          <w:fldChar w:fldCharType="separate"/>
        </w:r>
        <w:r w:rsidR="00512D09" w:rsidRPr="00F04E2C">
          <w:rPr>
            <w:bCs/>
            <w:noProof/>
            <w:vertAlign w:val="superscript"/>
          </w:rPr>
          <w:t>60</w:t>
        </w:r>
        <w:r w:rsidR="00512D09" w:rsidRPr="00965B7D">
          <w:fldChar w:fldCharType="end"/>
        </w:r>
      </w:hyperlink>
      <w:r w:rsidRPr="00965B7D">
        <w:rPr>
          <w:bCs/>
        </w:rPr>
        <w:t xml:space="preserve"> The authors suggested this was consistent with the lengthening or softening of hydrogen bonds.  </w:t>
      </w: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Default="00FB39B7" w:rsidP="00217116">
      <w:pPr>
        <w:spacing w:line="480" w:lineRule="auto"/>
        <w:jc w:val="both"/>
        <w:rPr>
          <w:bCs/>
        </w:rPr>
      </w:pPr>
    </w:p>
    <w:p w:rsidR="00FB39B7" w:rsidRPr="009E32BC" w:rsidRDefault="00FB39B7" w:rsidP="00FB39B7">
      <w:pPr>
        <w:pStyle w:val="Caption"/>
        <w:spacing w:line="480" w:lineRule="auto"/>
        <w:jc w:val="center"/>
        <w:rPr>
          <w:bCs w:val="0"/>
          <w:color w:val="548DD4" w:themeColor="text2" w:themeTint="99"/>
        </w:rPr>
      </w:pPr>
      <w:bookmarkStart w:id="30" w:name="_Ref442862877"/>
      <w:bookmarkStart w:id="31" w:name="_Ref443483702"/>
      <w:r w:rsidRPr="009E32BC">
        <w:rPr>
          <w:color w:val="548DD4" w:themeColor="text2" w:themeTint="99"/>
          <w:sz w:val="16"/>
          <w:szCs w:val="16"/>
        </w:rPr>
        <w:lastRenderedPageBreak/>
        <w:t>Table</w:t>
      </w:r>
      <w:bookmarkEnd w:id="30"/>
      <w:r w:rsidRPr="009E32BC">
        <w:rPr>
          <w:bCs w:val="0"/>
          <w:color w:val="548DD4" w:themeColor="text2" w:themeTint="99"/>
          <w:sz w:val="16"/>
          <w:szCs w:val="16"/>
        </w:rPr>
        <w:t xml:space="preserve"> </w:t>
      </w:r>
      <w:r w:rsidR="0075172E">
        <w:rPr>
          <w:bCs w:val="0"/>
          <w:color w:val="548DD4" w:themeColor="text2" w:themeTint="99"/>
          <w:sz w:val="16"/>
          <w:szCs w:val="16"/>
        </w:rPr>
        <w:fldChar w:fldCharType="begin"/>
      </w:r>
      <w:r w:rsidR="00E71593">
        <w:rPr>
          <w:bCs w:val="0"/>
          <w:color w:val="548DD4" w:themeColor="text2" w:themeTint="99"/>
          <w:sz w:val="16"/>
          <w:szCs w:val="16"/>
        </w:rPr>
        <w:instrText xml:space="preserve"> STYLEREF 1 \s </w:instrText>
      </w:r>
      <w:r w:rsidR="0075172E">
        <w:rPr>
          <w:bCs w:val="0"/>
          <w:color w:val="548DD4" w:themeColor="text2" w:themeTint="99"/>
          <w:sz w:val="16"/>
          <w:szCs w:val="16"/>
        </w:rPr>
        <w:fldChar w:fldCharType="separate"/>
      </w:r>
      <w:r w:rsidR="00E71593">
        <w:rPr>
          <w:bCs w:val="0"/>
          <w:noProof/>
          <w:color w:val="548DD4" w:themeColor="text2" w:themeTint="99"/>
          <w:sz w:val="16"/>
          <w:szCs w:val="16"/>
        </w:rPr>
        <w:t>1</w:t>
      </w:r>
      <w:r w:rsidR="0075172E">
        <w:rPr>
          <w:bCs w:val="0"/>
          <w:color w:val="548DD4" w:themeColor="text2" w:themeTint="99"/>
          <w:sz w:val="16"/>
          <w:szCs w:val="16"/>
        </w:rPr>
        <w:fldChar w:fldCharType="end"/>
      </w:r>
      <w:r w:rsidR="00E71593">
        <w:rPr>
          <w:bCs w:val="0"/>
          <w:color w:val="548DD4" w:themeColor="text2" w:themeTint="99"/>
          <w:sz w:val="16"/>
          <w:szCs w:val="16"/>
        </w:rPr>
        <w:t>.</w:t>
      </w:r>
      <w:r w:rsidR="0075172E">
        <w:rPr>
          <w:bCs w:val="0"/>
          <w:color w:val="548DD4" w:themeColor="text2" w:themeTint="99"/>
          <w:sz w:val="16"/>
          <w:szCs w:val="16"/>
        </w:rPr>
        <w:fldChar w:fldCharType="begin"/>
      </w:r>
      <w:r w:rsidR="00E71593">
        <w:rPr>
          <w:bCs w:val="0"/>
          <w:color w:val="548DD4" w:themeColor="text2" w:themeTint="99"/>
          <w:sz w:val="16"/>
          <w:szCs w:val="16"/>
        </w:rPr>
        <w:instrText xml:space="preserve"> SEQ Table \* ARABIC \s 1 </w:instrText>
      </w:r>
      <w:r w:rsidR="0075172E">
        <w:rPr>
          <w:bCs w:val="0"/>
          <w:color w:val="548DD4" w:themeColor="text2" w:themeTint="99"/>
          <w:sz w:val="16"/>
          <w:szCs w:val="16"/>
        </w:rPr>
        <w:fldChar w:fldCharType="separate"/>
      </w:r>
      <w:r w:rsidR="00E71593">
        <w:rPr>
          <w:bCs w:val="0"/>
          <w:noProof/>
          <w:color w:val="548DD4" w:themeColor="text2" w:themeTint="99"/>
          <w:sz w:val="16"/>
          <w:szCs w:val="16"/>
        </w:rPr>
        <w:t>5</w:t>
      </w:r>
      <w:r w:rsidR="0075172E">
        <w:rPr>
          <w:bCs w:val="0"/>
          <w:color w:val="548DD4" w:themeColor="text2" w:themeTint="99"/>
          <w:sz w:val="16"/>
          <w:szCs w:val="16"/>
        </w:rPr>
        <w:fldChar w:fldCharType="end"/>
      </w:r>
      <w:bookmarkEnd w:id="31"/>
      <w:r w:rsidRPr="009E32BC">
        <w:rPr>
          <w:color w:val="548DD4" w:themeColor="text2" w:themeTint="99"/>
          <w:sz w:val="16"/>
          <w:szCs w:val="16"/>
        </w:rPr>
        <w:t>: Protein, hydration shell dynamics, size of the apparent hydration shell, protein concentration, buffer, temperature and the particular technique used to determine these values. Please note single dipole auto correlation and hydrogen bond auto correlation functions are molecular modelling techniques. NR = Not Reported.</w:t>
      </w:r>
    </w:p>
    <w:tbl>
      <w:tblPr>
        <w:tblW w:w="0" w:type="auto"/>
        <w:tblInd w:w="108" w:type="dxa"/>
        <w:tblLook w:val="04A0" w:firstRow="1" w:lastRow="0" w:firstColumn="1" w:lastColumn="0" w:noHBand="0" w:noVBand="1"/>
      </w:tblPr>
      <w:tblGrid>
        <w:gridCol w:w="854"/>
        <w:gridCol w:w="1475"/>
        <w:gridCol w:w="950"/>
        <w:gridCol w:w="1329"/>
        <w:gridCol w:w="873"/>
        <w:gridCol w:w="860"/>
        <w:gridCol w:w="1305"/>
        <w:gridCol w:w="660"/>
      </w:tblGrid>
      <w:tr w:rsidR="00FB39B7" w:rsidRPr="00604275" w:rsidTr="002F534E">
        <w:trPr>
          <w:trHeight w:val="1162"/>
        </w:trPr>
        <w:tc>
          <w:tcPr>
            <w:tcW w:w="862" w:type="dxa"/>
            <w:tcBorders>
              <w:top w:val="single" w:sz="4" w:space="0" w:color="auto"/>
              <w:left w:val="nil"/>
              <w:bottom w:val="single" w:sz="4" w:space="0" w:color="auto"/>
              <w:right w:val="nil"/>
            </w:tcBorders>
          </w:tcPr>
          <w:p w:rsidR="00FB39B7" w:rsidRPr="00604275" w:rsidRDefault="00FB39B7" w:rsidP="002F534E">
            <w:pPr>
              <w:jc w:val="center"/>
              <w:rPr>
                <w:b/>
                <w:bCs/>
                <w:iCs/>
                <w:sz w:val="16"/>
                <w:szCs w:val="16"/>
              </w:rPr>
            </w:pPr>
            <w:r w:rsidRPr="00604275">
              <w:rPr>
                <w:b/>
                <w:bCs/>
                <w:iCs/>
                <w:sz w:val="16"/>
                <w:szCs w:val="16"/>
              </w:rPr>
              <w:t>Protein</w:t>
            </w:r>
          </w:p>
        </w:tc>
        <w:tc>
          <w:tcPr>
            <w:tcW w:w="1690" w:type="dxa"/>
            <w:tcBorders>
              <w:top w:val="single" w:sz="4" w:space="0" w:color="auto"/>
              <w:left w:val="nil"/>
              <w:bottom w:val="single" w:sz="4" w:space="0" w:color="auto"/>
              <w:right w:val="nil"/>
            </w:tcBorders>
          </w:tcPr>
          <w:p w:rsidR="00FB39B7" w:rsidRPr="00604275" w:rsidRDefault="00FB39B7" w:rsidP="002F534E">
            <w:pPr>
              <w:jc w:val="center"/>
              <w:rPr>
                <w:b/>
                <w:bCs/>
                <w:iCs/>
                <w:sz w:val="16"/>
                <w:szCs w:val="16"/>
              </w:rPr>
            </w:pPr>
            <w:r w:rsidRPr="00604275">
              <w:rPr>
                <w:b/>
                <w:bCs/>
                <w:iCs/>
                <w:sz w:val="16"/>
                <w:szCs w:val="16"/>
              </w:rPr>
              <w:t>Hydration shell Dynamics</w:t>
            </w:r>
          </w:p>
        </w:tc>
        <w:tc>
          <w:tcPr>
            <w:tcW w:w="992" w:type="dxa"/>
            <w:tcBorders>
              <w:top w:val="single" w:sz="4" w:space="0" w:color="auto"/>
              <w:left w:val="nil"/>
              <w:bottom w:val="single" w:sz="4" w:space="0" w:color="auto"/>
              <w:right w:val="nil"/>
            </w:tcBorders>
          </w:tcPr>
          <w:p w:rsidR="00FB39B7" w:rsidRPr="00604275" w:rsidRDefault="00FB39B7" w:rsidP="002F534E">
            <w:pPr>
              <w:jc w:val="center"/>
              <w:rPr>
                <w:b/>
                <w:bCs/>
                <w:iCs/>
                <w:sz w:val="16"/>
                <w:szCs w:val="16"/>
              </w:rPr>
            </w:pPr>
            <w:r w:rsidRPr="00604275">
              <w:rPr>
                <w:b/>
                <w:bCs/>
                <w:iCs/>
                <w:sz w:val="16"/>
                <w:szCs w:val="16"/>
              </w:rPr>
              <w:t>Size of apparent hydration shell</w:t>
            </w:r>
          </w:p>
          <w:p w:rsidR="00FB39B7" w:rsidRPr="00604275" w:rsidRDefault="00FB39B7" w:rsidP="002F534E">
            <w:pPr>
              <w:jc w:val="center"/>
              <w:rPr>
                <w:b/>
                <w:bCs/>
                <w:iCs/>
                <w:sz w:val="16"/>
                <w:szCs w:val="16"/>
              </w:rPr>
            </w:pPr>
            <w:r w:rsidRPr="00604275">
              <w:rPr>
                <w:b/>
                <w:bCs/>
                <w:iCs/>
                <w:sz w:val="16"/>
                <w:szCs w:val="16"/>
              </w:rPr>
              <w:t>(Å)</w:t>
            </w:r>
          </w:p>
        </w:tc>
        <w:tc>
          <w:tcPr>
            <w:tcW w:w="1418" w:type="dxa"/>
            <w:tcBorders>
              <w:top w:val="single" w:sz="4" w:space="0" w:color="auto"/>
              <w:left w:val="nil"/>
              <w:bottom w:val="single" w:sz="4" w:space="0" w:color="auto"/>
              <w:right w:val="nil"/>
            </w:tcBorders>
          </w:tcPr>
          <w:p w:rsidR="00FB39B7" w:rsidRPr="00604275" w:rsidRDefault="00FB39B7" w:rsidP="002F534E">
            <w:pPr>
              <w:jc w:val="center"/>
              <w:rPr>
                <w:b/>
                <w:bCs/>
                <w:iCs/>
                <w:sz w:val="16"/>
                <w:szCs w:val="16"/>
              </w:rPr>
            </w:pPr>
            <w:r w:rsidRPr="00604275">
              <w:rPr>
                <w:b/>
                <w:bCs/>
                <w:iCs/>
                <w:sz w:val="16"/>
                <w:szCs w:val="16"/>
              </w:rPr>
              <w:t>Protein concentration</w:t>
            </w:r>
          </w:p>
        </w:tc>
        <w:tc>
          <w:tcPr>
            <w:tcW w:w="992" w:type="dxa"/>
            <w:tcBorders>
              <w:top w:val="single" w:sz="4" w:space="0" w:color="auto"/>
              <w:left w:val="nil"/>
              <w:bottom w:val="single" w:sz="4" w:space="0" w:color="auto"/>
              <w:right w:val="nil"/>
            </w:tcBorders>
          </w:tcPr>
          <w:p w:rsidR="00FB39B7" w:rsidRPr="00604275" w:rsidRDefault="00FB39B7" w:rsidP="002F534E">
            <w:pPr>
              <w:jc w:val="center"/>
              <w:rPr>
                <w:b/>
                <w:bCs/>
                <w:iCs/>
                <w:sz w:val="16"/>
                <w:szCs w:val="16"/>
              </w:rPr>
            </w:pPr>
            <w:r w:rsidRPr="00604275">
              <w:rPr>
                <w:b/>
                <w:bCs/>
                <w:iCs/>
                <w:sz w:val="16"/>
                <w:szCs w:val="16"/>
              </w:rPr>
              <w:t>Buffer</w:t>
            </w:r>
          </w:p>
        </w:tc>
        <w:tc>
          <w:tcPr>
            <w:tcW w:w="992" w:type="dxa"/>
            <w:tcBorders>
              <w:top w:val="single" w:sz="4" w:space="0" w:color="auto"/>
              <w:left w:val="nil"/>
              <w:bottom w:val="single" w:sz="4" w:space="0" w:color="auto"/>
              <w:right w:val="nil"/>
            </w:tcBorders>
          </w:tcPr>
          <w:p w:rsidR="00FB39B7" w:rsidRPr="00604275" w:rsidRDefault="00FB39B7" w:rsidP="002F534E">
            <w:pPr>
              <w:jc w:val="center"/>
              <w:rPr>
                <w:b/>
                <w:bCs/>
                <w:iCs/>
                <w:sz w:val="16"/>
                <w:szCs w:val="16"/>
              </w:rPr>
            </w:pPr>
            <w:r w:rsidRPr="00604275">
              <w:rPr>
                <w:b/>
                <w:bCs/>
                <w:iCs/>
                <w:sz w:val="16"/>
                <w:szCs w:val="16"/>
              </w:rPr>
              <w:t>Temp</w:t>
            </w:r>
          </w:p>
          <w:p w:rsidR="00FB39B7" w:rsidRPr="00604275" w:rsidRDefault="00FB39B7" w:rsidP="00E43944">
            <w:pPr>
              <w:jc w:val="center"/>
              <w:rPr>
                <w:b/>
                <w:bCs/>
                <w:iCs/>
                <w:sz w:val="16"/>
                <w:szCs w:val="16"/>
              </w:rPr>
            </w:pPr>
            <w:r w:rsidRPr="00604275">
              <w:rPr>
                <w:b/>
                <w:bCs/>
                <w:iCs/>
                <w:sz w:val="16"/>
                <w:szCs w:val="16"/>
              </w:rPr>
              <w:t>(</w:t>
            </w:r>
            <w:r w:rsidR="00E43944">
              <w:rPr>
                <w:b/>
                <w:bCs/>
                <w:iCs/>
                <w:sz w:val="16"/>
                <w:szCs w:val="16"/>
              </w:rPr>
              <w:t>°C</w:t>
            </w:r>
            <w:r w:rsidRPr="00604275">
              <w:rPr>
                <w:b/>
                <w:bCs/>
                <w:iCs/>
                <w:sz w:val="16"/>
                <w:szCs w:val="16"/>
              </w:rPr>
              <w:t>)</w:t>
            </w:r>
          </w:p>
        </w:tc>
        <w:tc>
          <w:tcPr>
            <w:tcW w:w="1418" w:type="dxa"/>
            <w:tcBorders>
              <w:top w:val="single" w:sz="4" w:space="0" w:color="auto"/>
              <w:left w:val="nil"/>
              <w:bottom w:val="single" w:sz="4" w:space="0" w:color="auto"/>
              <w:right w:val="nil"/>
            </w:tcBorders>
          </w:tcPr>
          <w:p w:rsidR="00FB39B7" w:rsidRPr="00604275" w:rsidRDefault="00FB39B7" w:rsidP="002F534E">
            <w:pPr>
              <w:jc w:val="center"/>
              <w:rPr>
                <w:b/>
                <w:bCs/>
                <w:iCs/>
                <w:sz w:val="16"/>
                <w:szCs w:val="16"/>
              </w:rPr>
            </w:pPr>
            <w:r w:rsidRPr="00604275">
              <w:rPr>
                <w:b/>
                <w:bCs/>
                <w:iCs/>
                <w:sz w:val="16"/>
                <w:szCs w:val="16"/>
              </w:rPr>
              <w:t>Technique</w:t>
            </w:r>
          </w:p>
        </w:tc>
        <w:tc>
          <w:tcPr>
            <w:tcW w:w="770" w:type="dxa"/>
            <w:tcBorders>
              <w:top w:val="single" w:sz="4" w:space="0" w:color="auto"/>
              <w:left w:val="nil"/>
              <w:bottom w:val="single" w:sz="4" w:space="0" w:color="auto"/>
              <w:right w:val="nil"/>
            </w:tcBorders>
          </w:tcPr>
          <w:p w:rsidR="00FB39B7" w:rsidRPr="00604275" w:rsidRDefault="00FB39B7" w:rsidP="002F534E">
            <w:pPr>
              <w:jc w:val="center"/>
              <w:rPr>
                <w:b/>
                <w:bCs/>
                <w:iCs/>
                <w:sz w:val="16"/>
                <w:szCs w:val="16"/>
              </w:rPr>
            </w:pPr>
            <w:r w:rsidRPr="00604275">
              <w:rPr>
                <w:b/>
                <w:bCs/>
                <w:iCs/>
                <w:sz w:val="16"/>
                <w:szCs w:val="16"/>
              </w:rPr>
              <w:t>Ref</w:t>
            </w:r>
          </w:p>
        </w:tc>
      </w:tr>
      <w:tr w:rsidR="00FB39B7" w:rsidRPr="00604275" w:rsidTr="002F534E">
        <w:trPr>
          <w:trHeight w:val="904"/>
        </w:trPr>
        <w:tc>
          <w:tcPr>
            <w:tcW w:w="862" w:type="dxa"/>
            <w:tcBorders>
              <w:top w:val="single" w:sz="4" w:space="0" w:color="auto"/>
              <w:left w:val="nil"/>
              <w:bottom w:val="nil"/>
              <w:right w:val="nil"/>
            </w:tcBorders>
          </w:tcPr>
          <w:p w:rsidR="00FB39B7" w:rsidRPr="00604275" w:rsidRDefault="00FB39B7" w:rsidP="002F534E">
            <w:pPr>
              <w:jc w:val="center"/>
              <w:rPr>
                <w:bCs/>
                <w:iCs/>
                <w:sz w:val="16"/>
                <w:szCs w:val="16"/>
              </w:rPr>
            </w:pPr>
            <w:r w:rsidRPr="00604275">
              <w:rPr>
                <w:bCs/>
                <w:iCs/>
                <w:sz w:val="16"/>
                <w:szCs w:val="16"/>
              </w:rPr>
              <w:t>λ*</w:t>
            </w:r>
            <w:r w:rsidRPr="00604275">
              <w:rPr>
                <w:bCs/>
                <w:iCs/>
                <w:sz w:val="16"/>
                <w:szCs w:val="16"/>
                <w:vertAlign w:val="subscript"/>
              </w:rPr>
              <w:t>6–85</w:t>
            </w:r>
            <w:r w:rsidRPr="00604275">
              <w:rPr>
                <w:bCs/>
                <w:iCs/>
                <w:sz w:val="16"/>
                <w:szCs w:val="16"/>
              </w:rPr>
              <w:t>-repressor protein</w:t>
            </w:r>
          </w:p>
        </w:tc>
        <w:tc>
          <w:tcPr>
            <w:tcW w:w="1690" w:type="dxa"/>
            <w:tcBorders>
              <w:top w:val="single" w:sz="4" w:space="0" w:color="auto"/>
              <w:left w:val="nil"/>
              <w:bottom w:val="nil"/>
              <w:right w:val="nil"/>
            </w:tcBorders>
          </w:tcPr>
          <w:p w:rsidR="00FB39B7" w:rsidRPr="00604275" w:rsidRDefault="00FB39B7" w:rsidP="002F534E">
            <w:pPr>
              <w:jc w:val="center"/>
              <w:rPr>
                <w:bCs/>
                <w:iCs/>
                <w:sz w:val="16"/>
                <w:szCs w:val="16"/>
              </w:rPr>
            </w:pPr>
            <w:r w:rsidRPr="00604275">
              <w:rPr>
                <w:bCs/>
                <w:iCs/>
                <w:sz w:val="16"/>
                <w:szCs w:val="16"/>
              </w:rPr>
              <w:t>5.5 ps for water solvating hydrophobic residues (Hydrogen bond auto-correlation functions)</w:t>
            </w:r>
          </w:p>
          <w:p w:rsidR="00FB39B7" w:rsidRPr="00604275" w:rsidRDefault="00FB39B7" w:rsidP="002F534E">
            <w:pPr>
              <w:jc w:val="center"/>
              <w:rPr>
                <w:bCs/>
                <w:iCs/>
                <w:sz w:val="16"/>
                <w:szCs w:val="16"/>
              </w:rPr>
            </w:pPr>
          </w:p>
        </w:tc>
        <w:tc>
          <w:tcPr>
            <w:tcW w:w="992" w:type="dxa"/>
            <w:tcBorders>
              <w:top w:val="single" w:sz="4" w:space="0" w:color="auto"/>
              <w:left w:val="nil"/>
              <w:bottom w:val="nil"/>
              <w:right w:val="nil"/>
            </w:tcBorders>
          </w:tcPr>
          <w:p w:rsidR="00FB39B7" w:rsidRPr="00604275" w:rsidRDefault="00FB39B7" w:rsidP="002F534E">
            <w:pPr>
              <w:jc w:val="center"/>
              <w:rPr>
                <w:bCs/>
                <w:iCs/>
                <w:sz w:val="16"/>
                <w:szCs w:val="16"/>
              </w:rPr>
            </w:pPr>
            <w:r w:rsidRPr="00604275">
              <w:rPr>
                <w:bCs/>
                <w:iCs/>
                <w:sz w:val="16"/>
                <w:szCs w:val="16"/>
              </w:rPr>
              <w:t>22</w:t>
            </w:r>
          </w:p>
        </w:tc>
        <w:tc>
          <w:tcPr>
            <w:tcW w:w="1418" w:type="dxa"/>
            <w:tcBorders>
              <w:top w:val="single" w:sz="4" w:space="0" w:color="auto"/>
              <w:left w:val="nil"/>
              <w:bottom w:val="nil"/>
              <w:right w:val="nil"/>
            </w:tcBorders>
          </w:tcPr>
          <w:p w:rsidR="00FB39B7" w:rsidRPr="00604275" w:rsidRDefault="00FB39B7" w:rsidP="002F534E">
            <w:pPr>
              <w:jc w:val="center"/>
              <w:rPr>
                <w:bCs/>
                <w:iCs/>
                <w:sz w:val="16"/>
                <w:szCs w:val="16"/>
              </w:rPr>
            </w:pPr>
            <w:r w:rsidRPr="00604275">
              <w:rPr>
                <w:bCs/>
                <w:iCs/>
                <w:sz w:val="16"/>
                <w:szCs w:val="16"/>
              </w:rPr>
              <w:t>Range used to determine the size of the hydration layer 0 to 1.75 mM</w:t>
            </w:r>
          </w:p>
        </w:tc>
        <w:tc>
          <w:tcPr>
            <w:tcW w:w="992" w:type="dxa"/>
            <w:tcBorders>
              <w:top w:val="single" w:sz="4" w:space="0" w:color="auto"/>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992" w:type="dxa"/>
            <w:tcBorders>
              <w:top w:val="single" w:sz="4" w:space="0" w:color="auto"/>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1418" w:type="dxa"/>
            <w:tcBorders>
              <w:top w:val="single" w:sz="4" w:space="0" w:color="auto"/>
              <w:left w:val="nil"/>
              <w:bottom w:val="nil"/>
              <w:right w:val="nil"/>
            </w:tcBorders>
          </w:tcPr>
          <w:p w:rsidR="00FB39B7" w:rsidRPr="00604275" w:rsidRDefault="00FB39B7" w:rsidP="002F534E">
            <w:pPr>
              <w:jc w:val="center"/>
              <w:rPr>
                <w:bCs/>
                <w:iCs/>
                <w:sz w:val="16"/>
                <w:szCs w:val="16"/>
              </w:rPr>
            </w:pPr>
            <w:r w:rsidRPr="00604275">
              <w:rPr>
                <w:bCs/>
                <w:iCs/>
                <w:sz w:val="16"/>
                <w:szCs w:val="16"/>
              </w:rPr>
              <w:t>Terahertz time domain spectroscopy</w:t>
            </w:r>
          </w:p>
        </w:tc>
        <w:tc>
          <w:tcPr>
            <w:tcW w:w="770" w:type="dxa"/>
            <w:tcBorders>
              <w:top w:val="single" w:sz="4" w:space="0" w:color="auto"/>
              <w:left w:val="nil"/>
              <w:bottom w:val="nil"/>
              <w:right w:val="nil"/>
            </w:tcBorders>
          </w:tcPr>
          <w:p w:rsidR="00FB39B7" w:rsidRPr="00604275" w:rsidRDefault="00040F10" w:rsidP="00512D09">
            <w:pPr>
              <w:jc w:val="center"/>
              <w:rPr>
                <w:bCs/>
                <w:iCs/>
                <w:sz w:val="16"/>
                <w:szCs w:val="16"/>
              </w:rPr>
            </w:pPr>
            <w:hyperlink w:anchor="_ENREF_54" w:tooltip="Heyden, 2010 #187" w:history="1">
              <w:r w:rsidR="00512D09" w:rsidRPr="00604275">
                <w:rPr>
                  <w:bCs/>
                  <w:iCs/>
                  <w:sz w:val="16"/>
                  <w:szCs w:val="16"/>
                </w:rPr>
                <w:fldChar w:fldCharType="begin"/>
              </w:r>
              <w:r w:rsidR="00512D09">
                <w:rPr>
                  <w:bCs/>
                  <w:iCs/>
                  <w:sz w:val="16"/>
                  <w:szCs w:val="16"/>
                </w:rPr>
                <w:instrText xml:space="preserve"> ADDIN EN.CITE &lt;EndNote&gt;&lt;Cite&gt;&lt;Author&gt;Heyden&lt;/Author&gt;&lt;Year&gt;2010&lt;/Year&gt;&lt;RecNum&gt;187&lt;/RecNum&gt;&lt;DisplayText&gt;&lt;style face="superscript"&gt;54&lt;/style&gt;&lt;/DisplayText&gt;&lt;record&gt;&lt;rec-number&gt;187&lt;/rec-number&gt;&lt;foreign-keys&gt;&lt;key app="EN" db-id="5trrespwzsdr07efd5tx2w96x22re9s0fsdt"&gt;187&lt;/key&gt;&lt;/foreign-keys&gt;&lt;ref-type name="Journal Article"&gt;17&lt;/ref-type&gt;&lt;contributors&gt;&lt;authors&gt;&lt;author&gt;Heyden, Matthias&lt;/author&gt;&lt;author&gt;Havenith, Martina&lt;/author&gt;&lt;/authors&gt;&lt;/contributors&gt;&lt;titles&gt;&lt;title&gt;Combining THz spectroscopy and MD simulations to study protein-hydration coupling&lt;/title&gt;&lt;secondary-title&gt;Methods&lt;/secondary-title&gt;&lt;/titles&gt;&lt;periodical&gt;&lt;full-title&gt;Methods&lt;/full-title&gt;&lt;/periodical&gt;&lt;pages&gt;74-83&lt;/pages&gt;&lt;volume&gt;52&lt;/volume&gt;&lt;number&gt;1&lt;/number&gt;&lt;dates&gt;&lt;year&gt;2010&lt;/year&gt;&lt;pub-dates&gt;&lt;date&gt;Sep&lt;/date&gt;&lt;/pub-dates&gt;&lt;/dates&gt;&lt;isbn&gt;1046-2023&lt;/isbn&gt;&lt;accession-num&gt;WOS:000281941300008&lt;/accession-num&gt;&lt;urls&gt;&lt;related-urls&gt;&lt;url&gt;&amp;lt;Go to ISI&amp;gt;://WOS:000281941300008&lt;/url&gt;&lt;/related-urls&gt;&lt;/urls&gt;&lt;electronic-resource-num&gt;10.1016/j.ymeth.2010.05.007&lt;/electronic-resource-num&gt;&lt;/record&gt;&lt;/Cite&gt;&lt;/EndNote&gt;</w:instrText>
              </w:r>
              <w:r w:rsidR="00512D09" w:rsidRPr="00604275">
                <w:rPr>
                  <w:bCs/>
                  <w:iCs/>
                  <w:sz w:val="16"/>
                  <w:szCs w:val="16"/>
                </w:rPr>
                <w:fldChar w:fldCharType="separate"/>
              </w:r>
              <w:r w:rsidR="00512D09" w:rsidRPr="00F04E2C">
                <w:rPr>
                  <w:bCs/>
                  <w:iCs/>
                  <w:noProof/>
                  <w:sz w:val="16"/>
                  <w:szCs w:val="16"/>
                  <w:vertAlign w:val="superscript"/>
                </w:rPr>
                <w:t>54</w:t>
              </w:r>
              <w:r w:rsidR="00512D09" w:rsidRPr="00604275">
                <w:rPr>
                  <w:sz w:val="16"/>
                  <w:szCs w:val="16"/>
                </w:rPr>
                <w:fldChar w:fldCharType="end"/>
              </w:r>
            </w:hyperlink>
          </w:p>
        </w:tc>
      </w:tr>
      <w:tr w:rsidR="00FB39B7" w:rsidRPr="00604275" w:rsidTr="002F534E">
        <w:tc>
          <w:tcPr>
            <w:tcW w:w="86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λ*</w:t>
            </w:r>
            <w:r w:rsidRPr="00604275">
              <w:rPr>
                <w:bCs/>
                <w:iCs/>
                <w:sz w:val="16"/>
                <w:szCs w:val="16"/>
                <w:vertAlign w:val="subscript"/>
              </w:rPr>
              <w:t>6–85</w:t>
            </w:r>
            <w:r w:rsidRPr="00604275">
              <w:rPr>
                <w:bCs/>
                <w:iCs/>
                <w:sz w:val="16"/>
                <w:szCs w:val="16"/>
              </w:rPr>
              <w:t>-repressor protein</w:t>
            </w:r>
          </w:p>
        </w:tc>
        <w:tc>
          <w:tcPr>
            <w:tcW w:w="1690"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4.2 ps for water solvating hydrophilic residues (Hydrogen bond auto-correlation functions)</w:t>
            </w:r>
          </w:p>
          <w:p w:rsidR="00FB39B7" w:rsidRPr="00604275" w:rsidRDefault="00FB39B7" w:rsidP="002F534E">
            <w:pPr>
              <w:jc w:val="center"/>
              <w:rPr>
                <w:bCs/>
                <w:iCs/>
                <w:sz w:val="16"/>
                <w:szCs w:val="16"/>
              </w:rPr>
            </w:pP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22</w:t>
            </w:r>
          </w:p>
        </w:tc>
        <w:tc>
          <w:tcPr>
            <w:tcW w:w="1418"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Range used to determine the size of the hydration layer 0 to 1.75 mM</w:t>
            </w: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1418"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Terahertz time domain spectroscopy</w:t>
            </w:r>
          </w:p>
        </w:tc>
        <w:tc>
          <w:tcPr>
            <w:tcW w:w="770" w:type="dxa"/>
            <w:tcBorders>
              <w:top w:val="nil"/>
              <w:left w:val="nil"/>
              <w:bottom w:val="nil"/>
              <w:right w:val="nil"/>
            </w:tcBorders>
          </w:tcPr>
          <w:p w:rsidR="00FB39B7" w:rsidRPr="00604275" w:rsidRDefault="00040F10" w:rsidP="00512D09">
            <w:pPr>
              <w:jc w:val="center"/>
              <w:rPr>
                <w:bCs/>
                <w:iCs/>
                <w:sz w:val="16"/>
                <w:szCs w:val="16"/>
              </w:rPr>
            </w:pPr>
            <w:hyperlink w:anchor="_ENREF_54" w:tooltip="Heyden, 2010 #187" w:history="1">
              <w:r w:rsidR="00512D09" w:rsidRPr="00604275">
                <w:rPr>
                  <w:bCs/>
                  <w:iCs/>
                  <w:sz w:val="16"/>
                  <w:szCs w:val="16"/>
                </w:rPr>
                <w:fldChar w:fldCharType="begin"/>
              </w:r>
              <w:r w:rsidR="00512D09">
                <w:rPr>
                  <w:bCs/>
                  <w:iCs/>
                  <w:sz w:val="16"/>
                  <w:szCs w:val="16"/>
                </w:rPr>
                <w:instrText xml:space="preserve"> ADDIN EN.CITE &lt;EndNote&gt;&lt;Cite&gt;&lt;Author&gt;Heyden&lt;/Author&gt;&lt;Year&gt;2010&lt;/Year&gt;&lt;RecNum&gt;187&lt;/RecNum&gt;&lt;DisplayText&gt;&lt;style face="superscript"&gt;54&lt;/style&gt;&lt;/DisplayText&gt;&lt;record&gt;&lt;rec-number&gt;187&lt;/rec-number&gt;&lt;foreign-keys&gt;&lt;key app="EN" db-id="5trrespwzsdr07efd5tx2w96x22re9s0fsdt"&gt;187&lt;/key&gt;&lt;/foreign-keys&gt;&lt;ref-type name="Journal Article"&gt;17&lt;/ref-type&gt;&lt;contributors&gt;&lt;authors&gt;&lt;author&gt;Heyden, Matthias&lt;/author&gt;&lt;author&gt;Havenith, Martina&lt;/author&gt;&lt;/authors&gt;&lt;/contributors&gt;&lt;titles&gt;&lt;title&gt;Combining THz spectroscopy and MD simulations to study protein-hydration coupling&lt;/title&gt;&lt;secondary-title&gt;Methods&lt;/secondary-title&gt;&lt;/titles&gt;&lt;periodical&gt;&lt;full-title&gt;Methods&lt;/full-title&gt;&lt;/periodical&gt;&lt;pages&gt;74-83&lt;/pages&gt;&lt;volume&gt;52&lt;/volume&gt;&lt;number&gt;1&lt;/number&gt;&lt;dates&gt;&lt;year&gt;2010&lt;/year&gt;&lt;pub-dates&gt;&lt;date&gt;Sep&lt;/date&gt;&lt;/pub-dates&gt;&lt;/dates&gt;&lt;isbn&gt;1046-2023&lt;/isbn&gt;&lt;accession-num&gt;WOS:000281941300008&lt;/accession-num&gt;&lt;urls&gt;&lt;related-urls&gt;&lt;url&gt;&amp;lt;Go to ISI&amp;gt;://WOS:000281941300008&lt;/url&gt;&lt;/related-urls&gt;&lt;/urls&gt;&lt;electronic-resource-num&gt;10.1016/j.ymeth.2010.05.007&lt;/electronic-resource-num&gt;&lt;/record&gt;&lt;/Cite&gt;&lt;/EndNote&gt;</w:instrText>
              </w:r>
              <w:r w:rsidR="00512D09" w:rsidRPr="00604275">
                <w:rPr>
                  <w:bCs/>
                  <w:iCs/>
                  <w:sz w:val="16"/>
                  <w:szCs w:val="16"/>
                </w:rPr>
                <w:fldChar w:fldCharType="separate"/>
              </w:r>
              <w:r w:rsidR="00512D09" w:rsidRPr="00F04E2C">
                <w:rPr>
                  <w:bCs/>
                  <w:iCs/>
                  <w:noProof/>
                  <w:sz w:val="16"/>
                  <w:szCs w:val="16"/>
                  <w:vertAlign w:val="superscript"/>
                </w:rPr>
                <w:t>54</w:t>
              </w:r>
              <w:r w:rsidR="00512D09" w:rsidRPr="00604275">
                <w:rPr>
                  <w:sz w:val="16"/>
                  <w:szCs w:val="16"/>
                </w:rPr>
                <w:fldChar w:fldCharType="end"/>
              </w:r>
            </w:hyperlink>
          </w:p>
        </w:tc>
      </w:tr>
      <w:tr w:rsidR="00FB39B7" w:rsidRPr="00604275" w:rsidTr="002F534E">
        <w:tc>
          <w:tcPr>
            <w:tcW w:w="86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λ*</w:t>
            </w:r>
            <w:r w:rsidRPr="00604275">
              <w:rPr>
                <w:bCs/>
                <w:iCs/>
                <w:sz w:val="16"/>
                <w:szCs w:val="16"/>
                <w:vertAlign w:val="subscript"/>
              </w:rPr>
              <w:t>6–85</w:t>
            </w:r>
            <w:r w:rsidRPr="00604275">
              <w:rPr>
                <w:bCs/>
                <w:iCs/>
                <w:sz w:val="16"/>
                <w:szCs w:val="16"/>
              </w:rPr>
              <w:t>-repressor protein</w:t>
            </w:r>
          </w:p>
        </w:tc>
        <w:tc>
          <w:tcPr>
            <w:tcW w:w="1690"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9.6 ps for water solvating hydrophobic residues (single dipole auto-correlation functions)</w:t>
            </w:r>
          </w:p>
          <w:p w:rsidR="00FB39B7" w:rsidRPr="00604275" w:rsidRDefault="00FB39B7" w:rsidP="002F534E">
            <w:pPr>
              <w:jc w:val="center"/>
              <w:rPr>
                <w:bCs/>
                <w:iCs/>
                <w:sz w:val="16"/>
                <w:szCs w:val="16"/>
              </w:rPr>
            </w:pP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22</w:t>
            </w:r>
          </w:p>
        </w:tc>
        <w:tc>
          <w:tcPr>
            <w:tcW w:w="1418"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Range used to determine the size of the hydration layer 0 to 1.75 mM</w:t>
            </w: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1418"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Terahertz time domain spectroscopy</w:t>
            </w:r>
          </w:p>
        </w:tc>
        <w:tc>
          <w:tcPr>
            <w:tcW w:w="770" w:type="dxa"/>
            <w:tcBorders>
              <w:top w:val="nil"/>
              <w:left w:val="nil"/>
              <w:bottom w:val="nil"/>
              <w:right w:val="nil"/>
            </w:tcBorders>
          </w:tcPr>
          <w:p w:rsidR="00FB39B7" w:rsidRPr="00604275" w:rsidRDefault="00040F10" w:rsidP="00512D09">
            <w:pPr>
              <w:jc w:val="center"/>
              <w:rPr>
                <w:bCs/>
                <w:iCs/>
                <w:sz w:val="16"/>
                <w:szCs w:val="16"/>
              </w:rPr>
            </w:pPr>
            <w:hyperlink w:anchor="_ENREF_54" w:tooltip="Heyden, 2010 #187" w:history="1">
              <w:r w:rsidR="00512D09" w:rsidRPr="00604275">
                <w:rPr>
                  <w:bCs/>
                  <w:iCs/>
                  <w:sz w:val="16"/>
                  <w:szCs w:val="16"/>
                </w:rPr>
                <w:fldChar w:fldCharType="begin"/>
              </w:r>
              <w:r w:rsidR="00512D09">
                <w:rPr>
                  <w:bCs/>
                  <w:iCs/>
                  <w:sz w:val="16"/>
                  <w:szCs w:val="16"/>
                </w:rPr>
                <w:instrText xml:space="preserve"> ADDIN EN.CITE &lt;EndNote&gt;&lt;Cite&gt;&lt;Author&gt;Heyden&lt;/Author&gt;&lt;Year&gt;2010&lt;/Year&gt;&lt;RecNum&gt;187&lt;/RecNum&gt;&lt;DisplayText&gt;&lt;style face="superscript"&gt;54&lt;/style&gt;&lt;/DisplayText&gt;&lt;record&gt;&lt;rec-number&gt;187&lt;/rec-number&gt;&lt;foreign-keys&gt;&lt;key app="EN" db-id="5trrespwzsdr07efd5tx2w96x22re9s0fsdt"&gt;187&lt;/key&gt;&lt;/foreign-keys&gt;&lt;ref-type name="Journal Article"&gt;17&lt;/ref-type&gt;&lt;contributors&gt;&lt;authors&gt;&lt;author&gt;Heyden, Matthias&lt;/author&gt;&lt;author&gt;Havenith, Martina&lt;/author&gt;&lt;/authors&gt;&lt;/contributors&gt;&lt;titles&gt;&lt;title&gt;Combining THz spectroscopy and MD simulations to study protein-hydration coupling&lt;/title&gt;&lt;secondary-title&gt;Methods&lt;/secondary-title&gt;&lt;/titles&gt;&lt;periodical&gt;&lt;full-title&gt;Methods&lt;/full-title&gt;&lt;/periodical&gt;&lt;pages&gt;74-83&lt;/pages&gt;&lt;volume&gt;52&lt;/volume&gt;&lt;number&gt;1&lt;/number&gt;&lt;dates&gt;&lt;year&gt;2010&lt;/year&gt;&lt;pub-dates&gt;&lt;date&gt;Sep&lt;/date&gt;&lt;/pub-dates&gt;&lt;/dates&gt;&lt;isbn&gt;1046-2023&lt;/isbn&gt;&lt;accession-num&gt;WOS:000281941300008&lt;/accession-num&gt;&lt;urls&gt;&lt;related-urls&gt;&lt;url&gt;&amp;lt;Go to ISI&amp;gt;://WOS:000281941300008&lt;/url&gt;&lt;/related-urls&gt;&lt;/urls&gt;&lt;electronic-resource-num&gt;10.1016/j.ymeth.2010.05.007&lt;/electronic-resource-num&gt;&lt;/record&gt;&lt;/Cite&gt;&lt;/EndNote&gt;</w:instrText>
              </w:r>
              <w:r w:rsidR="00512D09" w:rsidRPr="00604275">
                <w:rPr>
                  <w:bCs/>
                  <w:iCs/>
                  <w:sz w:val="16"/>
                  <w:szCs w:val="16"/>
                </w:rPr>
                <w:fldChar w:fldCharType="separate"/>
              </w:r>
              <w:r w:rsidR="00512D09" w:rsidRPr="00F04E2C">
                <w:rPr>
                  <w:bCs/>
                  <w:iCs/>
                  <w:noProof/>
                  <w:sz w:val="16"/>
                  <w:szCs w:val="16"/>
                  <w:vertAlign w:val="superscript"/>
                </w:rPr>
                <w:t>54</w:t>
              </w:r>
              <w:r w:rsidR="00512D09" w:rsidRPr="00604275">
                <w:rPr>
                  <w:sz w:val="16"/>
                  <w:szCs w:val="16"/>
                </w:rPr>
                <w:fldChar w:fldCharType="end"/>
              </w:r>
            </w:hyperlink>
          </w:p>
        </w:tc>
      </w:tr>
      <w:tr w:rsidR="00FB39B7" w:rsidRPr="00604275" w:rsidTr="002F534E">
        <w:tc>
          <w:tcPr>
            <w:tcW w:w="86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λ*</w:t>
            </w:r>
            <w:r w:rsidRPr="00604275">
              <w:rPr>
                <w:bCs/>
                <w:iCs/>
                <w:sz w:val="16"/>
                <w:szCs w:val="16"/>
                <w:vertAlign w:val="subscript"/>
              </w:rPr>
              <w:t>6–85</w:t>
            </w:r>
            <w:r w:rsidRPr="00604275">
              <w:rPr>
                <w:bCs/>
                <w:iCs/>
                <w:sz w:val="16"/>
                <w:szCs w:val="16"/>
              </w:rPr>
              <w:t>-repressor protein</w:t>
            </w:r>
          </w:p>
        </w:tc>
        <w:tc>
          <w:tcPr>
            <w:tcW w:w="1690"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7.7 ps for water solvating hydrophilic residues (single dipole auto-correlation functions)</w:t>
            </w:r>
          </w:p>
          <w:p w:rsidR="00FB39B7" w:rsidRPr="00604275" w:rsidRDefault="00FB39B7" w:rsidP="002F534E">
            <w:pPr>
              <w:jc w:val="center"/>
              <w:rPr>
                <w:bCs/>
                <w:iCs/>
                <w:sz w:val="16"/>
                <w:szCs w:val="16"/>
              </w:rPr>
            </w:pP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22</w:t>
            </w:r>
          </w:p>
        </w:tc>
        <w:tc>
          <w:tcPr>
            <w:tcW w:w="1418"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Range used to determine the size of the hydration layer 0 to 1.75 mM</w:t>
            </w: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1418"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Terahertz time domain spectroscopy</w:t>
            </w:r>
          </w:p>
        </w:tc>
        <w:tc>
          <w:tcPr>
            <w:tcW w:w="770" w:type="dxa"/>
            <w:tcBorders>
              <w:top w:val="nil"/>
              <w:left w:val="nil"/>
              <w:bottom w:val="nil"/>
              <w:right w:val="nil"/>
            </w:tcBorders>
          </w:tcPr>
          <w:p w:rsidR="00FB39B7" w:rsidRPr="00604275" w:rsidRDefault="00040F10" w:rsidP="00512D09">
            <w:pPr>
              <w:jc w:val="center"/>
              <w:rPr>
                <w:bCs/>
                <w:iCs/>
                <w:sz w:val="16"/>
                <w:szCs w:val="16"/>
              </w:rPr>
            </w:pPr>
            <w:hyperlink w:anchor="_ENREF_54" w:tooltip="Heyden, 2010 #187" w:history="1">
              <w:r w:rsidR="00512D09" w:rsidRPr="00604275">
                <w:rPr>
                  <w:bCs/>
                  <w:iCs/>
                  <w:sz w:val="16"/>
                  <w:szCs w:val="16"/>
                </w:rPr>
                <w:fldChar w:fldCharType="begin"/>
              </w:r>
              <w:r w:rsidR="00512D09">
                <w:rPr>
                  <w:bCs/>
                  <w:iCs/>
                  <w:sz w:val="16"/>
                  <w:szCs w:val="16"/>
                </w:rPr>
                <w:instrText xml:space="preserve"> ADDIN EN.CITE &lt;EndNote&gt;&lt;Cite&gt;&lt;Author&gt;Heyden&lt;/Author&gt;&lt;Year&gt;2010&lt;/Year&gt;&lt;RecNum&gt;187&lt;/RecNum&gt;&lt;DisplayText&gt;&lt;style face="superscript"&gt;54&lt;/style&gt;&lt;/DisplayText&gt;&lt;record&gt;&lt;rec-number&gt;187&lt;/rec-number&gt;&lt;foreign-keys&gt;&lt;key app="EN" db-id="5trrespwzsdr07efd5tx2w96x22re9s0fsdt"&gt;187&lt;/key&gt;&lt;/foreign-keys&gt;&lt;ref-type name="Journal Article"&gt;17&lt;/ref-type&gt;&lt;contributors&gt;&lt;authors&gt;&lt;author&gt;Heyden, Matthias&lt;/author&gt;&lt;author&gt;Havenith, Martina&lt;/author&gt;&lt;/authors&gt;&lt;/contributors&gt;&lt;titles&gt;&lt;title&gt;Combining THz spectroscopy and MD simulations to study protein-hydration coupling&lt;/title&gt;&lt;secondary-title&gt;Methods&lt;/secondary-title&gt;&lt;/titles&gt;&lt;periodical&gt;&lt;full-title&gt;Methods&lt;/full-title&gt;&lt;/periodical&gt;&lt;pages&gt;74-83&lt;/pages&gt;&lt;volume&gt;52&lt;/volume&gt;&lt;number&gt;1&lt;/number&gt;&lt;dates&gt;&lt;year&gt;2010&lt;/year&gt;&lt;pub-dates&gt;&lt;date&gt;Sep&lt;/date&gt;&lt;/pub-dates&gt;&lt;/dates&gt;&lt;isbn&gt;1046-2023&lt;/isbn&gt;&lt;accession-num&gt;WOS:000281941300008&lt;/accession-num&gt;&lt;urls&gt;&lt;related-urls&gt;&lt;url&gt;&amp;lt;Go to ISI&amp;gt;://WOS:000281941300008&lt;/url&gt;&lt;/related-urls&gt;&lt;/urls&gt;&lt;electronic-resource-num&gt;10.1016/j.ymeth.2010.05.007&lt;/electronic-resource-num&gt;&lt;/record&gt;&lt;/Cite&gt;&lt;/EndNote&gt;</w:instrText>
              </w:r>
              <w:r w:rsidR="00512D09" w:rsidRPr="00604275">
                <w:rPr>
                  <w:bCs/>
                  <w:iCs/>
                  <w:sz w:val="16"/>
                  <w:szCs w:val="16"/>
                </w:rPr>
                <w:fldChar w:fldCharType="separate"/>
              </w:r>
              <w:r w:rsidR="00512D09" w:rsidRPr="00F04E2C">
                <w:rPr>
                  <w:bCs/>
                  <w:iCs/>
                  <w:noProof/>
                  <w:sz w:val="16"/>
                  <w:szCs w:val="16"/>
                  <w:vertAlign w:val="superscript"/>
                </w:rPr>
                <w:t>54</w:t>
              </w:r>
              <w:r w:rsidR="00512D09" w:rsidRPr="00604275">
                <w:rPr>
                  <w:sz w:val="16"/>
                  <w:szCs w:val="16"/>
                </w:rPr>
                <w:fldChar w:fldCharType="end"/>
              </w:r>
            </w:hyperlink>
          </w:p>
        </w:tc>
      </w:tr>
      <w:tr w:rsidR="00FB39B7" w:rsidRPr="00604275" w:rsidTr="002F534E">
        <w:tc>
          <w:tcPr>
            <w:tcW w:w="86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λ*</w:t>
            </w:r>
            <w:r w:rsidRPr="00604275">
              <w:rPr>
                <w:bCs/>
                <w:iCs/>
                <w:sz w:val="16"/>
                <w:szCs w:val="16"/>
                <w:vertAlign w:val="subscript"/>
              </w:rPr>
              <w:t>6–85</w:t>
            </w:r>
            <w:r w:rsidRPr="00604275">
              <w:rPr>
                <w:bCs/>
                <w:iCs/>
                <w:sz w:val="16"/>
                <w:szCs w:val="16"/>
              </w:rPr>
              <w:t>-repressor protein</w:t>
            </w:r>
          </w:p>
        </w:tc>
        <w:tc>
          <w:tcPr>
            <w:tcW w:w="1690"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4.1 ps for the protein (Hydrogen bond auto-correlation functions)</w:t>
            </w: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22</w:t>
            </w:r>
          </w:p>
        </w:tc>
        <w:tc>
          <w:tcPr>
            <w:tcW w:w="1418"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Range used to determine the size of the hydration layer 0 to 1.75 mM</w:t>
            </w: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992"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NR</w:t>
            </w:r>
          </w:p>
        </w:tc>
        <w:tc>
          <w:tcPr>
            <w:tcW w:w="1418" w:type="dxa"/>
            <w:tcBorders>
              <w:top w:val="nil"/>
              <w:left w:val="nil"/>
              <w:bottom w:val="nil"/>
              <w:right w:val="nil"/>
            </w:tcBorders>
          </w:tcPr>
          <w:p w:rsidR="00FB39B7" w:rsidRPr="00604275" w:rsidRDefault="00FB39B7" w:rsidP="002F534E">
            <w:pPr>
              <w:jc w:val="center"/>
              <w:rPr>
                <w:bCs/>
                <w:iCs/>
                <w:sz w:val="16"/>
                <w:szCs w:val="16"/>
              </w:rPr>
            </w:pPr>
            <w:r w:rsidRPr="00604275">
              <w:rPr>
                <w:bCs/>
                <w:iCs/>
                <w:sz w:val="16"/>
                <w:szCs w:val="16"/>
              </w:rPr>
              <w:t>Terahertz time domain spectroscopy</w:t>
            </w:r>
          </w:p>
        </w:tc>
        <w:tc>
          <w:tcPr>
            <w:tcW w:w="770" w:type="dxa"/>
            <w:tcBorders>
              <w:top w:val="nil"/>
              <w:left w:val="nil"/>
              <w:bottom w:val="nil"/>
              <w:right w:val="nil"/>
            </w:tcBorders>
          </w:tcPr>
          <w:p w:rsidR="00FB39B7" w:rsidRPr="00604275" w:rsidRDefault="00040F10" w:rsidP="00512D09">
            <w:pPr>
              <w:jc w:val="center"/>
              <w:rPr>
                <w:bCs/>
                <w:iCs/>
                <w:sz w:val="16"/>
                <w:szCs w:val="16"/>
              </w:rPr>
            </w:pPr>
            <w:hyperlink w:anchor="_ENREF_54" w:tooltip="Heyden, 2010 #187" w:history="1">
              <w:r w:rsidR="00512D09" w:rsidRPr="00604275">
                <w:rPr>
                  <w:bCs/>
                  <w:iCs/>
                  <w:sz w:val="16"/>
                  <w:szCs w:val="16"/>
                </w:rPr>
                <w:fldChar w:fldCharType="begin"/>
              </w:r>
              <w:r w:rsidR="00512D09">
                <w:rPr>
                  <w:bCs/>
                  <w:iCs/>
                  <w:sz w:val="16"/>
                  <w:szCs w:val="16"/>
                </w:rPr>
                <w:instrText xml:space="preserve"> ADDIN EN.CITE &lt;EndNote&gt;&lt;Cite&gt;&lt;Author&gt;Heyden&lt;/Author&gt;&lt;Year&gt;2010&lt;/Year&gt;&lt;RecNum&gt;187&lt;/RecNum&gt;&lt;DisplayText&gt;&lt;style face="superscript"&gt;54&lt;/style&gt;&lt;/DisplayText&gt;&lt;record&gt;&lt;rec-number&gt;187&lt;/rec-number&gt;&lt;foreign-keys&gt;&lt;key app="EN" db-id="5trrespwzsdr07efd5tx2w96x22re9s0fsdt"&gt;187&lt;/key&gt;&lt;/foreign-keys&gt;&lt;ref-type name="Journal Article"&gt;17&lt;/ref-type&gt;&lt;contributors&gt;&lt;authors&gt;&lt;author&gt;Heyden, Matthias&lt;/author&gt;&lt;author&gt;Havenith, Martina&lt;/author&gt;&lt;/authors&gt;&lt;/contributors&gt;&lt;titles&gt;&lt;title&gt;Combining THz spectroscopy and MD simulations to study protein-hydration coupling&lt;/title&gt;&lt;secondary-title&gt;Methods&lt;/secondary-title&gt;&lt;/titles&gt;&lt;periodical&gt;&lt;full-title&gt;Methods&lt;/full-title&gt;&lt;/periodical&gt;&lt;pages&gt;74-83&lt;/pages&gt;&lt;volume&gt;52&lt;/volume&gt;&lt;number&gt;1&lt;/number&gt;&lt;dates&gt;&lt;year&gt;2010&lt;/year&gt;&lt;pub-dates&gt;&lt;date&gt;Sep&lt;/date&gt;&lt;/pub-dates&gt;&lt;/dates&gt;&lt;isbn&gt;1046-2023&lt;/isbn&gt;&lt;accession-num&gt;WOS:000281941300008&lt;/accession-num&gt;&lt;urls&gt;&lt;related-urls&gt;&lt;url&gt;&amp;lt;Go to ISI&amp;gt;://WOS:000281941300008&lt;/url&gt;&lt;/related-urls&gt;&lt;/urls&gt;&lt;electronic-resource-num&gt;10.1016/j.ymeth.2010.05.007&lt;/electronic-resource-num&gt;&lt;/record&gt;&lt;/Cite&gt;&lt;/EndNote&gt;</w:instrText>
              </w:r>
              <w:r w:rsidR="00512D09" w:rsidRPr="00604275">
                <w:rPr>
                  <w:bCs/>
                  <w:iCs/>
                  <w:sz w:val="16"/>
                  <w:szCs w:val="16"/>
                </w:rPr>
                <w:fldChar w:fldCharType="separate"/>
              </w:r>
              <w:r w:rsidR="00512D09" w:rsidRPr="00F04E2C">
                <w:rPr>
                  <w:bCs/>
                  <w:iCs/>
                  <w:noProof/>
                  <w:sz w:val="16"/>
                  <w:szCs w:val="16"/>
                  <w:vertAlign w:val="superscript"/>
                </w:rPr>
                <w:t>54</w:t>
              </w:r>
              <w:r w:rsidR="00512D09" w:rsidRPr="00604275">
                <w:rPr>
                  <w:sz w:val="16"/>
                  <w:szCs w:val="16"/>
                </w:rPr>
                <w:fldChar w:fldCharType="end"/>
              </w:r>
            </w:hyperlink>
          </w:p>
        </w:tc>
      </w:tr>
      <w:tr w:rsidR="00FB39B7" w:rsidRPr="00604275" w:rsidTr="002F534E">
        <w:tc>
          <w:tcPr>
            <w:tcW w:w="862" w:type="dxa"/>
            <w:tcBorders>
              <w:top w:val="nil"/>
              <w:left w:val="nil"/>
              <w:bottom w:val="single" w:sz="4" w:space="0" w:color="auto"/>
              <w:right w:val="nil"/>
            </w:tcBorders>
          </w:tcPr>
          <w:p w:rsidR="00FB39B7" w:rsidRPr="00604275" w:rsidRDefault="00FB39B7" w:rsidP="002F534E">
            <w:pPr>
              <w:jc w:val="center"/>
              <w:rPr>
                <w:bCs/>
                <w:iCs/>
                <w:sz w:val="16"/>
                <w:szCs w:val="16"/>
              </w:rPr>
            </w:pPr>
          </w:p>
        </w:tc>
        <w:tc>
          <w:tcPr>
            <w:tcW w:w="1690" w:type="dxa"/>
            <w:tcBorders>
              <w:top w:val="nil"/>
              <w:left w:val="nil"/>
              <w:bottom w:val="single" w:sz="4" w:space="0" w:color="auto"/>
              <w:right w:val="nil"/>
            </w:tcBorders>
          </w:tcPr>
          <w:p w:rsidR="00FB39B7" w:rsidRPr="00604275" w:rsidRDefault="00FB39B7" w:rsidP="002F534E">
            <w:pPr>
              <w:jc w:val="center"/>
              <w:rPr>
                <w:bCs/>
                <w:iCs/>
                <w:sz w:val="16"/>
                <w:szCs w:val="16"/>
              </w:rPr>
            </w:pPr>
          </w:p>
        </w:tc>
        <w:tc>
          <w:tcPr>
            <w:tcW w:w="992" w:type="dxa"/>
            <w:tcBorders>
              <w:top w:val="nil"/>
              <w:left w:val="nil"/>
              <w:bottom w:val="single" w:sz="4" w:space="0" w:color="auto"/>
              <w:right w:val="nil"/>
            </w:tcBorders>
          </w:tcPr>
          <w:p w:rsidR="00FB39B7" w:rsidRPr="00604275" w:rsidRDefault="00FB39B7" w:rsidP="002F534E">
            <w:pPr>
              <w:jc w:val="center"/>
              <w:rPr>
                <w:bCs/>
                <w:iCs/>
                <w:sz w:val="16"/>
                <w:szCs w:val="16"/>
              </w:rPr>
            </w:pPr>
          </w:p>
        </w:tc>
        <w:tc>
          <w:tcPr>
            <w:tcW w:w="1418" w:type="dxa"/>
            <w:tcBorders>
              <w:top w:val="nil"/>
              <w:left w:val="nil"/>
              <w:bottom w:val="single" w:sz="4" w:space="0" w:color="auto"/>
              <w:right w:val="nil"/>
            </w:tcBorders>
          </w:tcPr>
          <w:p w:rsidR="00FB39B7" w:rsidRPr="00604275" w:rsidRDefault="00FB39B7" w:rsidP="002F534E">
            <w:pPr>
              <w:jc w:val="center"/>
              <w:rPr>
                <w:bCs/>
                <w:iCs/>
                <w:sz w:val="16"/>
                <w:szCs w:val="16"/>
              </w:rPr>
            </w:pPr>
          </w:p>
        </w:tc>
        <w:tc>
          <w:tcPr>
            <w:tcW w:w="992" w:type="dxa"/>
            <w:tcBorders>
              <w:top w:val="nil"/>
              <w:left w:val="nil"/>
              <w:bottom w:val="single" w:sz="4" w:space="0" w:color="auto"/>
              <w:right w:val="nil"/>
            </w:tcBorders>
          </w:tcPr>
          <w:p w:rsidR="00FB39B7" w:rsidRPr="00604275" w:rsidRDefault="00FB39B7" w:rsidP="002F534E">
            <w:pPr>
              <w:jc w:val="center"/>
              <w:rPr>
                <w:bCs/>
                <w:iCs/>
                <w:sz w:val="16"/>
                <w:szCs w:val="16"/>
              </w:rPr>
            </w:pPr>
          </w:p>
        </w:tc>
        <w:tc>
          <w:tcPr>
            <w:tcW w:w="992" w:type="dxa"/>
            <w:tcBorders>
              <w:top w:val="nil"/>
              <w:left w:val="nil"/>
              <w:bottom w:val="single" w:sz="4" w:space="0" w:color="auto"/>
              <w:right w:val="nil"/>
            </w:tcBorders>
          </w:tcPr>
          <w:p w:rsidR="00FB39B7" w:rsidRPr="00604275" w:rsidRDefault="00FB39B7" w:rsidP="002F534E">
            <w:pPr>
              <w:jc w:val="center"/>
              <w:rPr>
                <w:bCs/>
                <w:iCs/>
                <w:sz w:val="16"/>
                <w:szCs w:val="16"/>
              </w:rPr>
            </w:pPr>
          </w:p>
        </w:tc>
        <w:tc>
          <w:tcPr>
            <w:tcW w:w="1418" w:type="dxa"/>
            <w:tcBorders>
              <w:top w:val="nil"/>
              <w:left w:val="nil"/>
              <w:bottom w:val="single" w:sz="4" w:space="0" w:color="auto"/>
              <w:right w:val="nil"/>
            </w:tcBorders>
          </w:tcPr>
          <w:p w:rsidR="00FB39B7" w:rsidRPr="00604275" w:rsidRDefault="00FB39B7" w:rsidP="002F534E">
            <w:pPr>
              <w:jc w:val="center"/>
              <w:rPr>
                <w:bCs/>
                <w:iCs/>
                <w:sz w:val="16"/>
                <w:szCs w:val="16"/>
              </w:rPr>
            </w:pPr>
          </w:p>
        </w:tc>
        <w:tc>
          <w:tcPr>
            <w:tcW w:w="770" w:type="dxa"/>
            <w:tcBorders>
              <w:top w:val="nil"/>
              <w:left w:val="nil"/>
              <w:bottom w:val="single" w:sz="4" w:space="0" w:color="auto"/>
              <w:right w:val="nil"/>
            </w:tcBorders>
          </w:tcPr>
          <w:p w:rsidR="00FB39B7" w:rsidRPr="00604275" w:rsidRDefault="00FB39B7" w:rsidP="002F534E">
            <w:pPr>
              <w:jc w:val="center"/>
              <w:rPr>
                <w:bCs/>
                <w:iCs/>
                <w:sz w:val="16"/>
                <w:szCs w:val="16"/>
              </w:rPr>
            </w:pPr>
          </w:p>
        </w:tc>
      </w:tr>
    </w:tbl>
    <w:p w:rsidR="00FB39B7" w:rsidRPr="00965B7D" w:rsidRDefault="00FB39B7" w:rsidP="00217116">
      <w:pPr>
        <w:spacing w:line="480" w:lineRule="auto"/>
        <w:jc w:val="both"/>
        <w:rPr>
          <w:bCs/>
        </w:rPr>
      </w:pPr>
    </w:p>
    <w:p w:rsidR="00965B7D" w:rsidRDefault="0053318E" w:rsidP="00217116">
      <w:pPr>
        <w:pStyle w:val="Heading2"/>
        <w:jc w:val="both"/>
      </w:pPr>
      <w:bookmarkStart w:id="32" w:name="_Toc376614238"/>
      <w:bookmarkStart w:id="33" w:name="_Toc459130660"/>
      <w:r>
        <w:lastRenderedPageBreak/>
        <w:t>Dielectric S</w:t>
      </w:r>
      <w:r w:rsidR="00965B7D" w:rsidRPr="00965B7D">
        <w:t>pectroscopy</w:t>
      </w:r>
      <w:bookmarkEnd w:id="32"/>
      <w:bookmarkEnd w:id="33"/>
    </w:p>
    <w:p w:rsidR="0077575C" w:rsidRPr="0077575C" w:rsidRDefault="0077575C" w:rsidP="00217116">
      <w:pPr>
        <w:jc w:val="both"/>
      </w:pPr>
    </w:p>
    <w:p w:rsidR="00965B7D" w:rsidRPr="00965B7D" w:rsidRDefault="00965B7D" w:rsidP="00217116">
      <w:pPr>
        <w:spacing w:line="480" w:lineRule="auto"/>
        <w:jc w:val="both"/>
        <w:rPr>
          <w:bCs/>
        </w:rPr>
      </w:pPr>
      <w:r w:rsidRPr="00965B7D">
        <w:rPr>
          <w:bCs/>
        </w:rPr>
        <w:t xml:space="preserve">Dielectric </w:t>
      </w:r>
      <w:r w:rsidR="00CB3C2F">
        <w:rPr>
          <w:bCs/>
        </w:rPr>
        <w:t>s</w:t>
      </w:r>
      <w:r w:rsidR="00CB3C2F" w:rsidRPr="00965B7D">
        <w:rPr>
          <w:bCs/>
        </w:rPr>
        <w:t>pectroscopy</w:t>
      </w:r>
      <w:r w:rsidRPr="00965B7D">
        <w:rPr>
          <w:bCs/>
        </w:rPr>
        <w:t xml:space="preserve"> can be used to investigate both the spatiality and dynamics of water around proteins. Oleinikova </w:t>
      </w:r>
      <w:r w:rsidR="002D4FF8">
        <w:rPr>
          <w:bCs/>
          <w:i/>
          <w:iCs/>
        </w:rPr>
        <w:t xml:space="preserve">et al. </w:t>
      </w:r>
      <w:r w:rsidRPr="00965B7D">
        <w:rPr>
          <w:bCs/>
        </w:rPr>
        <w:t>used this technique to discern the time scales of different populations of water. However</w:t>
      </w:r>
      <w:r w:rsidR="003915D1">
        <w:rPr>
          <w:bCs/>
        </w:rPr>
        <w:t>,</w:t>
      </w:r>
      <w:r w:rsidRPr="00965B7D">
        <w:rPr>
          <w:bCs/>
        </w:rPr>
        <w:t xml:space="preserve"> this technique has to be complementary, to say NMR studies, as interpretation of the data is difficult. For example, Oleinikova </w:t>
      </w:r>
      <w:r w:rsidR="002D4FF8">
        <w:rPr>
          <w:bCs/>
          <w:i/>
          <w:iCs/>
        </w:rPr>
        <w:t>et al.</w:t>
      </w:r>
      <w:r w:rsidRPr="00965B7D">
        <w:rPr>
          <w:bCs/>
        </w:rPr>
        <w:t xml:space="preserve">, Nandi </w:t>
      </w:r>
      <w:r w:rsidR="002D4FF8">
        <w:rPr>
          <w:bCs/>
          <w:i/>
        </w:rPr>
        <w:t xml:space="preserve">et al. </w:t>
      </w:r>
      <w:r w:rsidRPr="00965B7D">
        <w:rPr>
          <w:bCs/>
        </w:rPr>
        <w:t xml:space="preserve"> and Pethig all interpreted the population of water around ribonuclease A at 2 ns as protein-water interactions, water exchange and tightly bound water, respectively</w:t>
      </w:r>
      <w:r w:rsidR="00784261">
        <w:rPr>
          <w:bCs/>
        </w:rPr>
        <w:t>.</w:t>
      </w:r>
      <w:hyperlink w:anchor="_ENREF_52" w:tooltip="Oleinikova, 2004 #137" w:history="1">
        <w:r w:rsidR="00512D09" w:rsidRPr="00965B7D">
          <w:rPr>
            <w:bCs/>
          </w:rPr>
          <w:fldChar w:fldCharType="begin"/>
        </w:r>
        <w:r w:rsidR="00512D09">
          <w:rPr>
            <w:bCs/>
          </w:rPr>
          <w:instrText xml:space="preserve"> ADDIN EN.CITE &lt;EndNote&gt;&lt;Cite&gt;&lt;Author&gt;Oleinikova&lt;/Author&gt;&lt;Year&gt;2004&lt;/Year&gt;&lt;RecNum&gt;137&lt;/RecNum&gt;&lt;DisplayText&gt;&lt;style face="superscript"&gt;52&lt;/style&gt;&lt;/DisplayText&gt;&lt;record&gt;&lt;rec-number&gt;137&lt;/rec-number&gt;&lt;foreign-keys&gt;&lt;key app="EN" db-id="5trrespwzsdr07efd5tx2w96x22re9s0fsdt"&gt;137&lt;/key&gt;&lt;/foreign-keys&gt;&lt;ref-type name="Journal Article"&gt;17&lt;/ref-type&gt;&lt;contributors&gt;&lt;authors&gt;&lt;author&gt;Oleinikova, A.&lt;/author&gt;&lt;author&gt;Sasisanker, P.&lt;/author&gt;&lt;author&gt;Weingartner, H.&lt;/author&gt;&lt;/authors&gt;&lt;/contributors&gt;&lt;titles&gt;&lt;title&gt;What can really be learned from dielectric spectroscopy of protein solutions? A case study of ribonuclease A&lt;/title&gt;&lt;secondary-title&gt;Journal of Physical Chemistry B&lt;/secondary-title&gt;&lt;/titles&gt;&lt;periodical&gt;&lt;full-title&gt;Journal of Physical Chemistry B&lt;/full-title&gt;&lt;/periodical&gt;&lt;pages&gt;8467-8474&lt;/pages&gt;&lt;volume&gt;108&lt;/volume&gt;&lt;number&gt;24&lt;/number&gt;&lt;dates&gt;&lt;year&gt;2004&lt;/year&gt;&lt;pub-dates&gt;&lt;date&gt;Jun 17&lt;/date&gt;&lt;/pub-dates&gt;&lt;/dates&gt;&lt;isbn&gt;1520-6106&lt;/isbn&gt;&lt;accession-num&gt;WOS:000221965400054&lt;/accession-num&gt;&lt;urls&gt;&lt;related-urls&gt;&lt;url&gt;&amp;lt;Go to ISI&amp;gt;://WOS:000221965400054&lt;/url&gt;&lt;/related-urls&gt;&lt;/urls&gt;&lt;electronic-resource-num&gt;10.1021/jp049618b&lt;/electronic-resource-num&gt;&lt;/record&gt;&lt;/Cite&gt;&lt;/EndNote&gt;</w:instrText>
        </w:r>
        <w:r w:rsidR="00512D09" w:rsidRPr="00965B7D">
          <w:rPr>
            <w:bCs/>
          </w:rPr>
          <w:fldChar w:fldCharType="separate"/>
        </w:r>
        <w:r w:rsidR="00512D09" w:rsidRPr="00F04E2C">
          <w:rPr>
            <w:bCs/>
            <w:noProof/>
            <w:vertAlign w:val="superscript"/>
          </w:rPr>
          <w:t>52</w:t>
        </w:r>
        <w:r w:rsidR="00512D09" w:rsidRPr="00965B7D">
          <w:fldChar w:fldCharType="end"/>
        </w:r>
      </w:hyperlink>
      <w:r w:rsidRPr="00965B7D">
        <w:rPr>
          <w:bCs/>
        </w:rPr>
        <w:t xml:space="preserve"> </w:t>
      </w:r>
    </w:p>
    <w:p w:rsidR="00965B7D" w:rsidRPr="00965B7D" w:rsidRDefault="00965B7D" w:rsidP="00217116">
      <w:pPr>
        <w:spacing w:line="480" w:lineRule="auto"/>
        <w:jc w:val="both"/>
        <w:rPr>
          <w:bCs/>
        </w:rPr>
      </w:pPr>
      <w:r w:rsidRPr="00965B7D">
        <w:rPr>
          <w:bCs/>
        </w:rPr>
        <w:t xml:space="preserve">Typically, dielectric spectroscopists have used the δ relaxation time to look at hydration water. It shows bimodal distribution with assignment of </w:t>
      </w:r>
      <w:r w:rsidR="00E17692" w:rsidRPr="00965B7D">
        <w:rPr>
          <w:bCs/>
        </w:rPr>
        <w:t>loosely</w:t>
      </w:r>
      <w:r w:rsidRPr="00965B7D">
        <w:rPr>
          <w:bCs/>
        </w:rPr>
        <w:t xml:space="preserve"> bound and tightly bound water. Oleinikova </w:t>
      </w:r>
      <w:r w:rsidR="002D4FF8">
        <w:rPr>
          <w:bCs/>
          <w:i/>
        </w:rPr>
        <w:t xml:space="preserve">et al. </w:t>
      </w:r>
      <w:r w:rsidRPr="00965B7D">
        <w:rPr>
          <w:bCs/>
        </w:rPr>
        <w:t xml:space="preserve">disagrees with this, noting a 3 modal distribution, with δ3 and δ1 corresponding to hydration water and protein-water interactions. δ2 was interpreted as the movement of polar side chains. </w:t>
      </w:r>
    </w:p>
    <w:p w:rsidR="00FB39B7" w:rsidRPr="00965B7D" w:rsidRDefault="00965B7D" w:rsidP="00217116">
      <w:pPr>
        <w:spacing w:line="480" w:lineRule="auto"/>
        <w:jc w:val="both"/>
        <w:rPr>
          <w:bCs/>
        </w:rPr>
      </w:pPr>
      <w:r w:rsidRPr="00965B7D">
        <w:rPr>
          <w:bCs/>
        </w:rPr>
        <w:t xml:space="preserve">Wolf </w:t>
      </w:r>
      <w:r w:rsidR="002D4FF8">
        <w:rPr>
          <w:bCs/>
          <w:i/>
        </w:rPr>
        <w:t xml:space="preserve">et al. </w:t>
      </w:r>
      <w:r w:rsidRPr="00965B7D">
        <w:rPr>
          <w:bCs/>
        </w:rPr>
        <w:t xml:space="preserve"> found lysozyme with a hydration shell of 1.96 nm for the 5 mmol solution and 1.91</w:t>
      </w:r>
      <w:r w:rsidR="008E110C">
        <w:rPr>
          <w:bCs/>
        </w:rPr>
        <w:t xml:space="preserve"> </w:t>
      </w:r>
      <w:r w:rsidRPr="00965B7D">
        <w:rPr>
          <w:bCs/>
        </w:rPr>
        <w:t>nm for the 3 mmol sample</w:t>
      </w:r>
      <w:r w:rsidR="00784261">
        <w:rPr>
          <w:bCs/>
        </w:rPr>
        <w:t>.</w:t>
      </w:r>
      <w:r w:rsidRPr="00965B7D">
        <w:rPr>
          <w:bCs/>
        </w:rPr>
        <w:t xml:space="preserve"> </w:t>
      </w:r>
      <w:hyperlink w:anchor="_ENREF_61" w:tooltip="Wolf, 2012 #268" w:history="1">
        <w:r w:rsidR="00512D09" w:rsidRPr="00965B7D">
          <w:rPr>
            <w:bCs/>
          </w:rPr>
          <w:fldChar w:fldCharType="begin"/>
        </w:r>
        <w:r w:rsidR="00512D09">
          <w:rPr>
            <w:bCs/>
          </w:rPr>
          <w:instrText xml:space="preserve"> ADDIN EN.CITE &lt;EndNote&gt;&lt;Cite&gt;&lt;Author&gt;Wolf&lt;/Author&gt;&lt;Year&gt;2012&lt;/Year&gt;&lt;RecNum&gt;268&lt;/RecNum&gt;&lt;DisplayText&gt;&lt;style face="superscript"&gt;61&lt;/style&gt;&lt;/DisplayText&gt;&lt;record&gt;&lt;rec-number&gt;268&lt;/rec-number&gt;&lt;foreign-keys&gt;&lt;key app="EN" db-id="5trrespwzsdr07efd5tx2w96x22re9s0fsdt"&gt;268&lt;/key&gt;&lt;/foreign-keys&gt;&lt;ref-type name="Journal Article"&gt;17&lt;/ref-type&gt;&lt;contributors&gt;&lt;authors&gt;&lt;author&gt;Wolf, M.&lt;/author&gt;&lt;author&gt;Gulich, R.&lt;/author&gt;&lt;author&gt;Lunkenheimer, P.&lt;/author&gt;&lt;author&gt;Loidl, A.&lt;/author&gt;&lt;/authors&gt;&lt;/contributors&gt;&lt;titles&gt;&lt;title&gt;Relaxation dynamics of a protein solution investigated by dielectric spectroscopy&lt;/title&gt;&lt;secondary-title&gt;Biochimica et Biophysica Acta (BBA) - Proteins and Proteomics&lt;/secondary-title&gt;&lt;/titles&gt;&lt;periodical&gt;&lt;full-title&gt;Biochimica et Biophysica Acta (BBA) - Proteins and Proteomics&lt;/full-title&gt;&lt;/periodical&gt;&lt;pages&gt;723-730&lt;/pages&gt;&lt;volume&gt;1824&lt;/volume&gt;&lt;number&gt;5&lt;/number&gt;&lt;keywords&gt;&lt;keyword&gt;Protein dynamics&lt;/keyword&gt;&lt;keyword&gt;Protein solution&lt;/keyword&gt;&lt;keyword&gt;Dielectric spectroscopy&lt;/keyword&gt;&lt;keyword&gt;Lysozyme&lt;/keyword&gt;&lt;keyword&gt;Hydration shell&lt;/keyword&gt;&lt;keyword&gt;Debye–Stokes–Einstein relation&lt;/keyword&gt;&lt;/keywords&gt;&lt;dates&gt;&lt;year&gt;2012&lt;/year&gt;&lt;/dates&gt;&lt;isbn&gt;1570-9639&lt;/isbn&gt;&lt;urls&gt;&lt;related-urls&gt;&lt;url&gt;http://www.sciencedirect.com/science/article/pii/S1570963912000374&lt;/url&gt;&lt;/related-urls&gt;&lt;/urls&gt;&lt;electronic-resource-num&gt;http://dx.doi.org/10.1016/j.bbapap.2012.02.008&lt;/electronic-resource-num&gt;&lt;/record&gt;&lt;/Cite&gt;&lt;/EndNote&gt;</w:instrText>
        </w:r>
        <w:r w:rsidR="00512D09" w:rsidRPr="00965B7D">
          <w:rPr>
            <w:bCs/>
          </w:rPr>
          <w:fldChar w:fldCharType="separate"/>
        </w:r>
        <w:r w:rsidR="00512D09" w:rsidRPr="00F04E2C">
          <w:rPr>
            <w:bCs/>
            <w:noProof/>
            <w:vertAlign w:val="superscript"/>
          </w:rPr>
          <w:t>61</w:t>
        </w:r>
        <w:r w:rsidR="00512D09" w:rsidRPr="00965B7D">
          <w:fldChar w:fldCharType="end"/>
        </w:r>
      </w:hyperlink>
      <w:r w:rsidRPr="00965B7D">
        <w:rPr>
          <w:bCs/>
        </w:rPr>
        <w:t xml:space="preserve"> This contradicts terahertz spectroscopy </w:t>
      </w:r>
      <w:r w:rsidR="004B3926" w:rsidRPr="00965B7D">
        <w:rPr>
          <w:bCs/>
        </w:rPr>
        <w:t>work that</w:t>
      </w:r>
      <w:r w:rsidRPr="00965B7D">
        <w:rPr>
          <w:bCs/>
        </w:rPr>
        <w:t xml:space="preserve"> shows the hydration layers shrink upon addition of protein beyond a certain concentration. The work done by Wolf </w:t>
      </w:r>
      <w:r w:rsidR="002D4FF8">
        <w:rPr>
          <w:bCs/>
          <w:i/>
        </w:rPr>
        <w:t xml:space="preserve">et al. </w:t>
      </w:r>
      <w:r w:rsidRPr="00965B7D">
        <w:rPr>
          <w:bCs/>
        </w:rPr>
        <w:t xml:space="preserve">is supported by Vinh </w:t>
      </w:r>
      <w:r w:rsidRPr="00965B7D">
        <w:rPr>
          <w:bCs/>
          <w:i/>
        </w:rPr>
        <w:t>et al</w:t>
      </w:r>
      <w:r w:rsidR="002D4FF8">
        <w:rPr>
          <w:bCs/>
          <w:i/>
        </w:rPr>
        <w:t>.</w:t>
      </w:r>
      <w:r w:rsidRPr="00965B7D">
        <w:rPr>
          <w:bCs/>
        </w:rPr>
        <w:t xml:space="preserve"> who also found the protein hydration layers were independent </w:t>
      </w:r>
      <w:r w:rsidR="00CB3C2F">
        <w:rPr>
          <w:bCs/>
        </w:rPr>
        <w:t>of protein concentration using d</w:t>
      </w:r>
      <w:r w:rsidRPr="00965B7D">
        <w:rPr>
          <w:bCs/>
        </w:rPr>
        <w:t>ielectric spectroscopy in the GHz range</w:t>
      </w:r>
      <w:r w:rsidR="00784261">
        <w:rPr>
          <w:bCs/>
        </w:rPr>
        <w:t>.</w:t>
      </w:r>
      <w:r w:rsidRPr="00965B7D">
        <w:rPr>
          <w:bCs/>
        </w:rPr>
        <w:t xml:space="preserve"> </w:t>
      </w:r>
      <w:hyperlink w:anchor="_ENREF_62" w:tooltip="Vinh, 2011 #289" w:history="1">
        <w:r w:rsidR="00512D09" w:rsidRPr="00965B7D">
          <w:rPr>
            <w:bCs/>
          </w:rPr>
          <w:fldChar w:fldCharType="begin"/>
        </w:r>
        <w:r w:rsidR="00512D09">
          <w:rPr>
            <w:bCs/>
          </w:rPr>
          <w:instrText xml:space="preserve"> ADDIN EN.CITE &lt;EndNote&gt;&lt;Cite&gt;&lt;Author&gt;Vinh&lt;/Author&gt;&lt;Year&gt;2011&lt;/Year&gt;&lt;RecNum&gt;289&lt;/RecNum&gt;&lt;DisplayText&gt;&lt;style face="superscript"&gt;62&lt;/style&gt;&lt;/DisplayText&gt;&lt;record&gt;&lt;rec-number&gt;289&lt;/rec-number&gt;&lt;foreign-keys&gt;&lt;key app="EN" db-id="5trrespwzsdr07efd5tx2w96x22re9s0fsdt"&gt;289&lt;/key&gt;&lt;/foreign-keys&gt;&lt;ref-type name="Journal Article"&gt;17&lt;/ref-type&gt;&lt;contributors&gt;&lt;authors&gt;&lt;author&gt;Vinh, N. Q.&lt;/author&gt;&lt;author&gt;Allen, S. James&lt;/author&gt;&lt;author&gt;Plaxco, Kevin W.&lt;/author&gt;&lt;/authors&gt;&lt;/contributors&gt;&lt;titles&gt;&lt;title&gt;Dielectric Spectroscopy of Proteins as a Quantitative Experimental Test of Computational Models of Their Low-Frequency Harmonic Motions&lt;/title&gt;&lt;secondary-title&gt;J Am Chem Soc&lt;/secondary-title&gt;&lt;/titles&gt;&lt;periodical&gt;&lt;full-title&gt;J Am Chem Soc&lt;/full-title&gt;&lt;abbr-1&gt;Journal of the American Chemical Society&lt;/abbr-1&gt;&lt;/periodical&gt;&lt;pages&gt;8942-8947&lt;/pages&gt;&lt;volume&gt;133&lt;/volume&gt;&lt;number&gt;23&lt;/number&gt;&lt;dates&gt;&lt;year&gt;2011&lt;/year&gt;&lt;pub-dates&gt;&lt;date&gt;2011/06/15&lt;/date&gt;&lt;/pub-dates&gt;&lt;/dates&gt;&lt;publisher&gt;American Chemical Society&lt;/publisher&gt;&lt;isbn&gt;0002-7863&lt;/isbn&gt;&lt;urls&gt;&lt;related-urls&gt;&lt;url&gt;http://dx.doi.org/10.1021/ja200566u&lt;/url&gt;&lt;/related-urls&gt;&lt;/urls&gt;&lt;electronic-resource-num&gt;10.1021/ja200566u&lt;/electronic-resource-num&gt;&lt;access-date&gt;2013/12/21&lt;/access-date&gt;&lt;/record&gt;&lt;/Cite&gt;&lt;/EndNote&gt;</w:instrText>
        </w:r>
        <w:r w:rsidR="00512D09" w:rsidRPr="00965B7D">
          <w:rPr>
            <w:bCs/>
          </w:rPr>
          <w:fldChar w:fldCharType="separate"/>
        </w:r>
        <w:r w:rsidR="00512D09" w:rsidRPr="00F04E2C">
          <w:rPr>
            <w:bCs/>
            <w:noProof/>
            <w:vertAlign w:val="superscript"/>
          </w:rPr>
          <w:t>62</w:t>
        </w:r>
        <w:r w:rsidR="00512D09" w:rsidRPr="00965B7D">
          <w:fldChar w:fldCharType="end"/>
        </w:r>
      </w:hyperlink>
      <w:r w:rsidRPr="00965B7D">
        <w:rPr>
          <w:bCs/>
        </w:rPr>
        <w:t xml:space="preserve"> Several explanations were put forward by Vinh </w:t>
      </w:r>
      <w:r w:rsidRPr="00965B7D">
        <w:rPr>
          <w:bCs/>
          <w:i/>
        </w:rPr>
        <w:t>et al</w:t>
      </w:r>
      <w:r w:rsidR="002D4FF8">
        <w:rPr>
          <w:bCs/>
          <w:i/>
        </w:rPr>
        <w:t>.</w:t>
      </w:r>
      <w:r w:rsidRPr="00965B7D">
        <w:rPr>
          <w:bCs/>
        </w:rPr>
        <w:t xml:space="preserve"> for this discrepancy, including the THz frequencies used by Havenith group and the proteins lysozyme and the λ*</w:t>
      </w:r>
      <w:r w:rsidRPr="00965B7D">
        <w:rPr>
          <w:bCs/>
          <w:vertAlign w:val="subscript"/>
        </w:rPr>
        <w:t>6–85</w:t>
      </w:r>
      <w:r w:rsidRPr="00965B7D">
        <w:rPr>
          <w:bCs/>
        </w:rPr>
        <w:t>-repressor being structurally distinct. However</w:t>
      </w:r>
      <w:r w:rsidR="003915D1">
        <w:rPr>
          <w:bCs/>
        </w:rPr>
        <w:t>,</w:t>
      </w:r>
      <w:r w:rsidRPr="00965B7D">
        <w:rPr>
          <w:bCs/>
        </w:rPr>
        <w:t xml:space="preserve"> it is not untypical for experimental results regarding the nature of protein solvation using different techniques or sometimes with the same one to contradict each other. Another possible reason for the inconsistencies is the differing buffers used in the experiments. Salts are known to interact with the protein and alter both the bulk taking on their own hydration shells, </w:t>
      </w:r>
      <w:r w:rsidR="00784261">
        <w:rPr>
          <w:bCs/>
        </w:rPr>
        <w:t>removing</w:t>
      </w:r>
      <w:r w:rsidRPr="00965B7D">
        <w:rPr>
          <w:bCs/>
        </w:rPr>
        <w:t xml:space="preserve"> water from the protein hydration layer or adding to it</w:t>
      </w:r>
      <w:r w:rsidR="00784261">
        <w:rPr>
          <w:bCs/>
        </w:rPr>
        <w:t>.</w:t>
      </w:r>
      <w:r w:rsidRPr="00965B7D">
        <w:rPr>
          <w:bCs/>
        </w:rPr>
        <w:t xml:space="preserve"> </w:t>
      </w:r>
      <w:hyperlink w:anchor="_ENREF_63" w:tooltip="Bye, 2013 #288" w:history="1">
        <w:r w:rsidR="00512D09" w:rsidRPr="00965B7D">
          <w:rPr>
            <w:bCs/>
          </w:rPr>
          <w:fldChar w:fldCharType="begin"/>
        </w:r>
        <w:r w:rsidR="00512D09">
          <w:rPr>
            <w:bCs/>
          </w:rPr>
          <w:instrText xml:space="preserve"> ADDIN EN.CITE &lt;EndNote&gt;&lt;Cite&gt;&lt;Author&gt;Bye&lt;/Author&gt;&lt;Year&gt;2013&lt;/Year&gt;&lt;RecNum&gt;288&lt;/RecNum&gt;&lt;DisplayText&gt;&lt;style face="superscript"&gt;63&lt;/style&gt;&lt;/DisplayText&gt;&lt;record&gt;&lt;rec-number&gt;288&lt;/rec-number&gt;&lt;foreign-keys&gt;&lt;key app="EN" db-id="5trrespwzsdr07efd5tx2w96x22re9s0fsdt"&gt;288&lt;/key&gt;&lt;/foreign-keys&gt;&lt;ref-type name="Journal Article"&gt;17&lt;/ref-type&gt;&lt;contributors&gt;&lt;authors&gt;&lt;author&gt;Bye, Jordan W.&lt;/author&gt;&lt;author&gt;Falconer, Robert J.&lt;/author&gt;&lt;/authors&gt;&lt;/contributors&gt;&lt;titles&gt;&lt;title&gt;Thermal stability of lysozyme as a function of ion concentration: A reappraisal of the relationship between the Hofmeister series and protein stability&lt;/title&gt;&lt;secondary-title&gt;Protein Science&lt;/secondary-title&gt;&lt;/titles&gt;&lt;periodical&gt;&lt;full-title&gt;Protein Science&lt;/full-title&gt;&lt;/periodical&gt;&lt;pages&gt;1563-1570&lt;/pages&gt;&lt;volume&gt;22&lt;/volume&gt;&lt;number&gt;11&lt;/number&gt;&lt;keywords&gt;&lt;keyword&gt;calorimeter&lt;/keyword&gt;&lt;keyword&gt;DSC&lt;/keyword&gt;&lt;keyword&gt;formulation&lt;/keyword&gt;&lt;keyword&gt;Hofmeister&lt;/keyword&gt;&lt;keyword&gt;chaotrope&lt;/keyword&gt;&lt;keyword&gt;kosmotrope&lt;/keyword&gt;&lt;/keywords&gt;&lt;dates&gt;&lt;year&gt;2013&lt;/year&gt;&lt;/dates&gt;&lt;isbn&gt;1469-896X&lt;/isbn&gt;&lt;urls&gt;&lt;related-urls&gt;&lt;url&gt;http://dx.doi.org/10.1002/pro.2355&lt;/url&gt;&lt;/related-urls&gt;&lt;/urls&gt;&lt;electronic-resource-num&gt;10.1002/pro.2355&lt;/electronic-resource-num&gt;&lt;/record&gt;&lt;/Cite&gt;&lt;/EndNote&gt;</w:instrText>
        </w:r>
        <w:r w:rsidR="00512D09" w:rsidRPr="00965B7D">
          <w:rPr>
            <w:bCs/>
          </w:rPr>
          <w:fldChar w:fldCharType="separate"/>
        </w:r>
        <w:r w:rsidR="00512D09" w:rsidRPr="00F04E2C">
          <w:rPr>
            <w:bCs/>
            <w:noProof/>
            <w:vertAlign w:val="superscript"/>
          </w:rPr>
          <w:t>63</w:t>
        </w:r>
        <w:r w:rsidR="00512D09" w:rsidRPr="00965B7D">
          <w:fldChar w:fldCharType="end"/>
        </w:r>
      </w:hyperlink>
      <w:r w:rsidRPr="00965B7D">
        <w:rPr>
          <w:bCs/>
        </w:rPr>
        <w:t xml:space="preserve"> Additionally, using protein </w:t>
      </w:r>
      <w:r w:rsidRPr="00965B7D">
        <w:rPr>
          <w:bCs/>
        </w:rPr>
        <w:lastRenderedPageBreak/>
        <w:t>concentrations higher than around 0.5 mM may be too high to measure hydration shells. According to THz spectroscopy the onset of hydration layers begin at much lower concentrations, above 0.75 mM for λ*</w:t>
      </w:r>
      <w:r w:rsidRPr="00965B7D">
        <w:rPr>
          <w:bCs/>
          <w:vertAlign w:val="subscript"/>
        </w:rPr>
        <w:t>6–85</w:t>
      </w:r>
      <w:r w:rsidRPr="00965B7D">
        <w:rPr>
          <w:bCs/>
        </w:rPr>
        <w:t>-repressor protein. Therefore</w:t>
      </w:r>
      <w:r w:rsidR="00040F10">
        <w:rPr>
          <w:bCs/>
        </w:rPr>
        <w:t>,</w:t>
      </w:r>
      <w:r w:rsidRPr="00965B7D">
        <w:rPr>
          <w:bCs/>
        </w:rPr>
        <w:t xml:space="preserve"> interpretation of protein hydration spatiality at the concentrations done by Wolf and Vinh </w:t>
      </w:r>
      <w:r w:rsidR="002D4FF8">
        <w:rPr>
          <w:bCs/>
          <w:i/>
        </w:rPr>
        <w:t xml:space="preserve">et al. </w:t>
      </w:r>
      <w:r w:rsidRPr="00965B7D">
        <w:rPr>
          <w:bCs/>
        </w:rPr>
        <w:t>respectively may be prone to significant error. Anyone of these scenarios could cause disparities between two sets of experiments with two different buffers and protein concentrations. Temperature would also have an effect on both the dynamics and spatiality of the hydration shells</w:t>
      </w:r>
      <w:r w:rsidR="00454522">
        <w:rPr>
          <w:bCs/>
        </w:rPr>
        <w:t xml:space="preserve">. </w:t>
      </w:r>
      <w:r w:rsidRPr="00965B7D">
        <w:rPr>
          <w:bCs/>
        </w:rPr>
        <w:t>Where it has been made obviously apparent both the temperature and the buffer used has been noted</w:t>
      </w:r>
      <w:r w:rsidR="00FB39B7">
        <w:rPr>
          <w:bCs/>
        </w:rPr>
        <w:t xml:space="preserve">. </w:t>
      </w:r>
    </w:p>
    <w:p w:rsidR="00965B7D" w:rsidRDefault="00A626CE" w:rsidP="00217116">
      <w:pPr>
        <w:pStyle w:val="Heading2"/>
        <w:jc w:val="both"/>
      </w:pPr>
      <w:bookmarkStart w:id="34" w:name="_Toc376614239"/>
      <w:bookmarkStart w:id="35" w:name="_Toc459130661"/>
      <w:r w:rsidRPr="00A626CE">
        <w:t xml:space="preserve">NMR Magnetic Relaxation Dispersion </w:t>
      </w:r>
      <w:r>
        <w:t>(</w:t>
      </w:r>
      <w:r w:rsidR="00965B7D" w:rsidRPr="00965B7D">
        <w:t>NMR-MRD</w:t>
      </w:r>
      <w:bookmarkEnd w:id="34"/>
      <w:r>
        <w:t>)</w:t>
      </w:r>
      <w:bookmarkEnd w:id="35"/>
    </w:p>
    <w:p w:rsidR="0077575C" w:rsidRPr="0077575C" w:rsidRDefault="0077575C" w:rsidP="00217116">
      <w:pPr>
        <w:jc w:val="both"/>
      </w:pPr>
    </w:p>
    <w:p w:rsidR="00965B7D" w:rsidRPr="00965B7D" w:rsidRDefault="00965B7D" w:rsidP="00217116">
      <w:pPr>
        <w:spacing w:line="480" w:lineRule="auto"/>
        <w:jc w:val="both"/>
        <w:rPr>
          <w:bCs/>
        </w:rPr>
      </w:pPr>
      <w:r w:rsidRPr="00965B7D">
        <w:rPr>
          <w:bCs/>
        </w:rPr>
        <w:t xml:space="preserve">NMR </w:t>
      </w:r>
      <w:r w:rsidR="000656A7" w:rsidRPr="00965B7D">
        <w:rPr>
          <w:bCs/>
        </w:rPr>
        <w:t xml:space="preserve">magnetic relaxation dispersion </w:t>
      </w:r>
      <w:r w:rsidRPr="00965B7D">
        <w:rPr>
          <w:bCs/>
        </w:rPr>
        <w:t>(MRD) is a technique primary used to investigate water which occupies protein crevices on a nanosecond or longer time scale</w:t>
      </w:r>
      <w:r w:rsidR="007C062D">
        <w:rPr>
          <w:bCs/>
        </w:rPr>
        <w:t>.</w:t>
      </w:r>
      <w:hyperlink w:anchor="_ENREF_64" w:tooltip="Halle, 2002 #283" w:history="1">
        <w:r w:rsidR="00512D09" w:rsidRPr="00965B7D">
          <w:rPr>
            <w:bCs/>
          </w:rPr>
          <w:fldChar w:fldCharType="begin"/>
        </w:r>
        <w:r w:rsidR="00512D09">
          <w:rPr>
            <w:bCs/>
          </w:rPr>
          <w:instrText xml:space="preserve"> ADDIN EN.CITE &lt;EndNote&gt;&lt;Cite&gt;&lt;Author&gt;Halle&lt;/Author&gt;&lt;Year&gt;2002&lt;/Year&gt;&lt;RecNum&gt;283&lt;/RecNum&gt;&lt;DisplayText&gt;&lt;style face="superscript"&gt;64&lt;/style&gt;&lt;/DisplayText&gt;&lt;record&gt;&lt;rec-number&gt;283&lt;/rec-number&gt;&lt;foreign-keys&gt;&lt;key app="EN" db-id="5trrespwzsdr07efd5tx2w96x22re9s0fsdt"&gt;283&lt;/key&gt;&lt;/foreign-keys&gt;&lt;ref-type name="Book Section"&gt;5&lt;/ref-type&gt;&lt;contributors&gt;&lt;authors&gt;&lt;author&gt;Halle, Bertil&lt;/author&gt;&lt;author&gt;Denisov, VladimirP&lt;/author&gt;&lt;author&gt;Venu, Kandadai&lt;/author&gt;&lt;/authors&gt;&lt;secondary-authors&gt;&lt;author&gt;Krishna, N. Rama&lt;/author&gt;&lt;author&gt;Berliner, LawrenceJ&lt;/author&gt;&lt;/secondary-authors&gt;&lt;/contributors&gt;&lt;titles&gt;&lt;title&gt;Multinuclear Relaxation Dispersion Studies of Protein Hydration&lt;/title&gt;&lt;secondary-title&gt;Biological Magnetic Resonance&lt;/secondary-title&gt;&lt;tertiary-title&gt;Biological Magnetic Resonance&lt;/tertiary-title&gt;&lt;/titles&gt;&lt;pages&gt;419-484&lt;/pages&gt;&lt;volume&gt;17&lt;/volume&gt;&lt;section&gt;10&lt;/section&gt;&lt;dates&gt;&lt;year&gt;2002&lt;/year&gt;&lt;pub-dates&gt;&lt;date&gt;2002/01/01&lt;/date&gt;&lt;/pub-dates&gt;&lt;/dates&gt;&lt;publisher&gt;Springer US&lt;/publisher&gt;&lt;isbn&gt;978-0-306-45953-5&lt;/isbn&gt;&lt;urls&gt;&lt;related-urls&gt;&lt;url&gt;http://dx.doi.org/10.1007/0-306-47084-5_10&lt;/url&gt;&lt;/related-urls&gt;&lt;/urls&gt;&lt;electronic-resource-num&gt;10.1007/0-306-47084-5_10&lt;/electronic-resource-num&gt;&lt;/record&gt;&lt;/Cite&gt;&lt;/EndNote&gt;</w:instrText>
        </w:r>
        <w:r w:rsidR="00512D09" w:rsidRPr="00965B7D">
          <w:rPr>
            <w:bCs/>
          </w:rPr>
          <w:fldChar w:fldCharType="separate"/>
        </w:r>
        <w:r w:rsidR="00512D09" w:rsidRPr="00F04E2C">
          <w:rPr>
            <w:bCs/>
            <w:noProof/>
            <w:vertAlign w:val="superscript"/>
          </w:rPr>
          <w:t>64</w:t>
        </w:r>
        <w:r w:rsidR="00512D09" w:rsidRPr="00965B7D">
          <w:fldChar w:fldCharType="end"/>
        </w:r>
      </w:hyperlink>
      <w:r w:rsidRPr="00965B7D">
        <w:rPr>
          <w:bCs/>
        </w:rPr>
        <w:t xml:space="preserve"> This approach works by measuring the </w:t>
      </w:r>
      <w:r w:rsidRPr="00965B7D">
        <w:rPr>
          <w:bCs/>
          <w:vertAlign w:val="superscript"/>
        </w:rPr>
        <w:t>17</w:t>
      </w:r>
      <w:r w:rsidRPr="00965B7D">
        <w:rPr>
          <w:bCs/>
        </w:rPr>
        <w:t xml:space="preserve">O relaxation rate of water rather than measuring that of </w:t>
      </w:r>
      <w:r w:rsidR="004B3926" w:rsidRPr="00965B7D">
        <w:rPr>
          <w:bCs/>
        </w:rPr>
        <w:t>protons, which</w:t>
      </w:r>
      <w:r w:rsidRPr="00965B7D">
        <w:rPr>
          <w:bCs/>
        </w:rPr>
        <w:t xml:space="preserve"> is in contrast to regular NMR. </w:t>
      </w:r>
    </w:p>
    <w:p w:rsidR="00965B7D" w:rsidRDefault="00965B7D" w:rsidP="00217116">
      <w:pPr>
        <w:spacing w:line="480" w:lineRule="auto"/>
        <w:jc w:val="both"/>
        <w:rPr>
          <w:bCs/>
        </w:rPr>
      </w:pPr>
      <w:r w:rsidRPr="00965B7D">
        <w:rPr>
          <w:bCs/>
        </w:rPr>
        <w:t xml:space="preserve">Qvist </w:t>
      </w:r>
      <w:r w:rsidR="002D4FF8">
        <w:rPr>
          <w:bCs/>
          <w:i/>
        </w:rPr>
        <w:t xml:space="preserve">et al. </w:t>
      </w:r>
      <w:r w:rsidR="007C062D">
        <w:rPr>
          <w:bCs/>
        </w:rPr>
        <w:t>used site-</w:t>
      </w:r>
      <w:r w:rsidRPr="00965B7D">
        <w:rPr>
          <w:bCs/>
        </w:rPr>
        <w:t xml:space="preserve">directed mutagenesis to change six lysines </w:t>
      </w:r>
      <w:r w:rsidR="00FB39B7">
        <w:rPr>
          <w:bCs/>
        </w:rPr>
        <w:t xml:space="preserve">to </w:t>
      </w:r>
      <w:r w:rsidRPr="00965B7D">
        <w:rPr>
          <w:bCs/>
        </w:rPr>
        <w:t xml:space="preserve">found on the protein surface of Protein L from </w:t>
      </w:r>
      <w:r w:rsidRPr="00965B7D">
        <w:rPr>
          <w:bCs/>
          <w:i/>
        </w:rPr>
        <w:t>Streptococcus magnus</w:t>
      </w:r>
      <w:r w:rsidRPr="00965B7D">
        <w:rPr>
          <w:bCs/>
        </w:rPr>
        <w:t xml:space="preserve"> to glutamate to understand the effect of charge, chemical structure and polarity of the amino acids on the hydration layer</w:t>
      </w:r>
      <w:r w:rsidR="0092704A">
        <w:rPr>
          <w:bCs/>
        </w:rPr>
        <w:t xml:space="preserve"> (Table 1.6)</w:t>
      </w:r>
      <w:r w:rsidRPr="00965B7D">
        <w:rPr>
          <w:bCs/>
        </w:rPr>
        <w:t xml:space="preserve">. Using NMR-MRD Qvist </w:t>
      </w:r>
      <w:r w:rsidR="002D4FF8">
        <w:rPr>
          <w:bCs/>
          <w:i/>
        </w:rPr>
        <w:t xml:space="preserve">et al. </w:t>
      </w:r>
      <w:r w:rsidRPr="00965B7D">
        <w:rPr>
          <w:bCs/>
        </w:rPr>
        <w:t xml:space="preserve"> showed the rotational time of the hydration layer waters does not appreciably change between the WT and the mutant when the differences in the perturbation caused by the change in accessible surface area and the number of methyl groups between the two amino acids. Qvist </w:t>
      </w:r>
      <w:r w:rsidR="002D4FF8">
        <w:rPr>
          <w:bCs/>
          <w:i/>
        </w:rPr>
        <w:t xml:space="preserve">et al. </w:t>
      </w:r>
      <w:r w:rsidRPr="00965B7D">
        <w:rPr>
          <w:bCs/>
        </w:rPr>
        <w:t>reasoned the surface topography of proteins, rather than the chemical nature, polarity or charge of the amino acids</w:t>
      </w:r>
      <w:r w:rsidR="007C062D">
        <w:rPr>
          <w:bCs/>
        </w:rPr>
        <w:t>,</w:t>
      </w:r>
      <w:r w:rsidRPr="00965B7D">
        <w:rPr>
          <w:bCs/>
        </w:rPr>
        <w:t xml:space="preserve"> was the major factor in determining the dynamics of the hydration layer</w:t>
      </w:r>
      <w:r w:rsidR="00C82662">
        <w:rPr>
          <w:bCs/>
        </w:rPr>
        <w:t>.</w:t>
      </w:r>
      <w:r w:rsidRPr="00965B7D">
        <w:rPr>
          <w:bCs/>
        </w:rPr>
        <w:t xml:space="preserve"> </w:t>
      </w:r>
      <w:hyperlink w:anchor="_ENREF_65" w:tooltip="Qvist, 2012 #221" w:history="1">
        <w:r w:rsidR="00512D09" w:rsidRPr="00965B7D">
          <w:rPr>
            <w:bCs/>
          </w:rPr>
          <w:fldChar w:fldCharType="begin"/>
        </w:r>
        <w:r w:rsidR="00512D09">
          <w:rPr>
            <w:bCs/>
          </w:rPr>
          <w:instrText xml:space="preserve"> ADDIN EN.CITE &lt;EndNote&gt;&lt;Cite&gt;&lt;Author&gt;Qvist&lt;/Author&gt;&lt;Year&gt;2012&lt;/Year&gt;&lt;RecNum&gt;221&lt;/RecNum&gt;&lt;DisplayText&gt;&lt;style face="superscript"&gt;65&lt;/style&gt;&lt;/DisplayText&gt;&lt;record&gt;&lt;rec-number&gt;221&lt;/rec-number&gt;&lt;foreign-keys&gt;&lt;key app="EN" db-id="5trrespwzsdr07efd5tx2w96x22re9s0fsdt"&gt;221&lt;/key&gt;&lt;/foreign-keys&gt;&lt;ref-type name="Journal Article"&gt;17&lt;/ref-type&gt;&lt;contributors&gt;&lt;authors&gt;&lt;author&gt;Qvist, Johan&lt;/author&gt;&lt;author&gt;Ortega, Gabriel&lt;/author&gt;&lt;author&gt;Tadeo, Xavier&lt;/author&gt;&lt;author&gt;Millet, Oscar&lt;/author&gt;&lt;author&gt;Halle, Bertil&lt;/author&gt;&lt;/authors&gt;&lt;/contributors&gt;&lt;titles&gt;&lt;title&gt;Hydration Dynamics of a Halophilic Protein in Folded and Unfolded States&lt;/title&gt;&lt;secondary-title&gt;Journal of Physical Chemistry B&lt;/secondary-title&gt;&lt;/titles&gt;&lt;periodical&gt;&lt;full-title&gt;Journal of Physical Chemistry B&lt;/full-title&gt;&lt;/periodical&gt;&lt;pages&gt;3436-3444&lt;/pages&gt;&lt;volume&gt;116&lt;/volume&gt;&lt;number&gt;10&lt;/number&gt;&lt;dates&gt;&lt;year&gt;2012&lt;/year&gt;&lt;pub-dates&gt;&lt;date&gt;Mar 15&lt;/date&gt;&lt;/pub-dates&gt;&lt;/dates&gt;&lt;isbn&gt;1520-6106&lt;/isbn&gt;&lt;accession-num&gt;WOS:000301509500041&lt;/accession-num&gt;&lt;urls&gt;&lt;related-urls&gt;&lt;url&gt;&amp;lt;Go to ISI&amp;gt;://WOS:000301509500041&lt;/url&gt;&lt;/related-urls&gt;&lt;/urls&gt;&lt;electronic-resource-num&gt;10.1021/jp3000569&lt;/electronic-resource-num&gt;&lt;/record&gt;&lt;/Cite&gt;&lt;/EndNote&gt;</w:instrText>
        </w:r>
        <w:r w:rsidR="00512D09" w:rsidRPr="00965B7D">
          <w:rPr>
            <w:bCs/>
          </w:rPr>
          <w:fldChar w:fldCharType="separate"/>
        </w:r>
        <w:r w:rsidR="00512D09" w:rsidRPr="00F04E2C">
          <w:rPr>
            <w:bCs/>
            <w:noProof/>
            <w:vertAlign w:val="superscript"/>
          </w:rPr>
          <w:t>65</w:t>
        </w:r>
        <w:r w:rsidR="00512D09" w:rsidRPr="00965B7D">
          <w:fldChar w:fldCharType="end"/>
        </w:r>
      </w:hyperlink>
      <w:r w:rsidRPr="00965B7D">
        <w:rPr>
          <w:bCs/>
        </w:rPr>
        <w:t xml:space="preserve">  The mutant was unfolded and it was found the rotational time of the hydration layer water increased. If the isoelectric point of the protein or the chemical nature of the amino acids contributed to the </w:t>
      </w:r>
      <w:r w:rsidRPr="00965B7D">
        <w:rPr>
          <w:bCs/>
        </w:rPr>
        <w:lastRenderedPageBreak/>
        <w:t>hydration layer</w:t>
      </w:r>
      <w:r w:rsidR="007C062D">
        <w:rPr>
          <w:bCs/>
        </w:rPr>
        <w:t>,</w:t>
      </w:r>
      <w:r w:rsidRPr="00965B7D">
        <w:rPr>
          <w:bCs/>
        </w:rPr>
        <w:t xml:space="preserve"> it would be expected some level of the hydration layer would be identified for the unfolded state</w:t>
      </w:r>
      <w:r w:rsidR="00BC7394">
        <w:rPr>
          <w:bCs/>
        </w:rPr>
        <w:t>,</w:t>
      </w:r>
      <w:r w:rsidRPr="00965B7D">
        <w:rPr>
          <w:bCs/>
        </w:rPr>
        <w:t xml:space="preserve"> which it was not</w:t>
      </w:r>
      <w:r w:rsidR="00C82662">
        <w:rPr>
          <w:bCs/>
        </w:rPr>
        <w:t>.</w:t>
      </w:r>
      <w:r w:rsidRPr="00965B7D">
        <w:rPr>
          <w:bCs/>
        </w:rPr>
        <w:t xml:space="preserve"> </w:t>
      </w:r>
      <w:hyperlink w:anchor="_ENREF_65" w:tooltip="Qvist, 2012 #221" w:history="1">
        <w:r w:rsidR="00512D09" w:rsidRPr="00965B7D">
          <w:rPr>
            <w:bCs/>
          </w:rPr>
          <w:fldChar w:fldCharType="begin"/>
        </w:r>
        <w:r w:rsidR="00512D09">
          <w:rPr>
            <w:bCs/>
          </w:rPr>
          <w:instrText xml:space="preserve"> ADDIN EN.CITE &lt;EndNote&gt;&lt;Cite&gt;&lt;Author&gt;Qvist&lt;/Author&gt;&lt;Year&gt;2012&lt;/Year&gt;&lt;RecNum&gt;221&lt;/RecNum&gt;&lt;DisplayText&gt;&lt;style face="superscript"&gt;65&lt;/style&gt;&lt;/DisplayText&gt;&lt;record&gt;&lt;rec-number&gt;221&lt;/rec-number&gt;&lt;foreign-keys&gt;&lt;key app="EN" db-id="5trrespwzsdr07efd5tx2w96x22re9s0fsdt"&gt;221&lt;/key&gt;&lt;/foreign-keys&gt;&lt;ref-type name="Journal Article"&gt;17&lt;/ref-type&gt;&lt;contributors&gt;&lt;authors&gt;&lt;author&gt;Qvist, Johan&lt;/author&gt;&lt;author&gt;Ortega, Gabriel&lt;/author&gt;&lt;author&gt;Tadeo, Xavier&lt;/author&gt;&lt;author&gt;Millet, Oscar&lt;/author&gt;&lt;author&gt;Halle, Bertil&lt;/author&gt;&lt;/authors&gt;&lt;/contributors&gt;&lt;titles&gt;&lt;title&gt;Hydration Dynamics of a Halophilic Protein in Folded and Unfolded States&lt;/title&gt;&lt;secondary-title&gt;Journal of Physical Chemistry B&lt;/secondary-title&gt;&lt;/titles&gt;&lt;periodical&gt;&lt;full-title&gt;Journal of Physical Chemistry B&lt;/full-title&gt;&lt;/periodical&gt;&lt;pages&gt;3436-3444&lt;/pages&gt;&lt;volume&gt;116&lt;/volume&gt;&lt;number&gt;10&lt;/number&gt;&lt;dates&gt;&lt;year&gt;2012&lt;/year&gt;&lt;pub-dates&gt;&lt;date&gt;Mar 15&lt;/date&gt;&lt;/pub-dates&gt;&lt;/dates&gt;&lt;isbn&gt;1520-6106&lt;/isbn&gt;&lt;accession-num&gt;WOS:000301509500041&lt;/accession-num&gt;&lt;urls&gt;&lt;related-urls&gt;&lt;url&gt;&amp;lt;Go to ISI&amp;gt;://WOS:000301509500041&lt;/url&gt;&lt;/related-urls&gt;&lt;/urls&gt;&lt;electronic-resource-num&gt;10.1021/jp3000569&lt;/electronic-resource-num&gt;&lt;/record&gt;&lt;/Cite&gt;&lt;/EndNote&gt;</w:instrText>
        </w:r>
        <w:r w:rsidR="00512D09" w:rsidRPr="00965B7D">
          <w:rPr>
            <w:bCs/>
          </w:rPr>
          <w:fldChar w:fldCharType="separate"/>
        </w:r>
        <w:r w:rsidR="00512D09" w:rsidRPr="00F04E2C">
          <w:rPr>
            <w:bCs/>
            <w:noProof/>
            <w:vertAlign w:val="superscript"/>
          </w:rPr>
          <w:t>65</w:t>
        </w:r>
        <w:r w:rsidR="00512D09" w:rsidRPr="00965B7D">
          <w:fldChar w:fldCharType="end"/>
        </w:r>
      </w:hyperlink>
      <w:r w:rsidRPr="00965B7D">
        <w:rPr>
          <w:bCs/>
        </w:rPr>
        <w:t xml:space="preserve"> This is in contradiction with fluorescence spectroscopy experiments which found a reduction of 40 ps to 10 ps from changing an isoleucine to the larger</w:t>
      </w:r>
      <w:r w:rsidR="007C062D">
        <w:rPr>
          <w:bCs/>
        </w:rPr>
        <w:t>,</w:t>
      </w:r>
      <w:r w:rsidRPr="00965B7D">
        <w:rPr>
          <w:bCs/>
        </w:rPr>
        <w:t xml:space="preserve"> more hydrophobic surface exposed homoisoleucine for a coiled-coil protein</w:t>
      </w:r>
      <w:r w:rsidR="00C82662">
        <w:rPr>
          <w:bCs/>
        </w:rPr>
        <w:t>.</w:t>
      </w:r>
      <w:r w:rsidRPr="00965B7D">
        <w:rPr>
          <w:bCs/>
        </w:rPr>
        <w:t xml:space="preserve"> </w:t>
      </w:r>
      <w:hyperlink w:anchor="_ENREF_66" w:tooltip="Kwon, 2010 #230" w:history="1">
        <w:r w:rsidR="00512D09" w:rsidRPr="00965B7D">
          <w:rPr>
            <w:bCs/>
          </w:rPr>
          <w:fldChar w:fldCharType="begin">
            <w:fldData xml:space="preserve">PEVuZE5vdGU+PENpdGU+PEF1dGhvcj5Ld29uPC9BdXRob3I+PFllYXI+MjAxMDwvWWVhcj48UmVj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L2FsdC1wZXJpb2RpY2FsPjxwYWdlcz4xNzEwMS02PC9wYWdlcz48dm9sdW1lPjEwNzwvdm9sdW1l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Pjx1cmw+aHR0cDovL3d3dy5uY2JpLm5sbS5uaWguZ292L3B1Ym1lZC8yMDg1NTU4MzwvdXJsPjwv
cmVsYXRlZC11cmxzPjwvdXJscz48Y3VzdG9tMj4yOTUxMzkzPC9jdXN0b20yPjxlbGVjdHJvbmlj
LXJlc291cmNlLW51bT4xMC4xMDczL3BuYXMuMTAxMTU2OTEwNzwvZWxlY3Ryb25pYy1yZXNvdXJj
ZS1udW0+PGxhbmd1YWdlPmVuZzwvbGFuZ3VhZ2U+PC9yZWNvcmQ+PC9DaXRlPjwvRW5kTm90ZT4A
</w:fldData>
          </w:fldChar>
        </w:r>
        <w:r w:rsidR="00512D09">
          <w:rPr>
            <w:bCs/>
          </w:rPr>
          <w:instrText xml:space="preserve"> ADDIN EN.CITE </w:instrText>
        </w:r>
        <w:r w:rsidR="00512D09">
          <w:rPr>
            <w:bCs/>
          </w:rPr>
          <w:fldChar w:fldCharType="begin">
            <w:fldData xml:space="preserve">PEVuZE5vdGU+PENpdGU+PEF1dGhvcj5Ld29uPC9BdXRob3I+PFllYXI+MjAxMDwvWWVhcj48UmVj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L2FsdC1wZXJpb2RpY2FsPjxwYWdlcz4xNzEwMS02PC9wYWdlcz48dm9sdW1lPjEwNzwvdm9sdW1l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Pjx1cmw+aHR0cDovL3d3dy5uY2JpLm5sbS5uaWguZ292L3B1Ym1lZC8yMDg1NTU4MzwvdXJsPjwv
cmVsYXRlZC11cmxzPjwvdXJscz48Y3VzdG9tMj4yOTUxMzkzPC9jdXN0b20yPjxlbGVjdHJvbmlj
LXJlc291cmNlLW51bT4xMC4xMDczL3BuYXMuMTAxMTU2OTEwNzwvZWxlY3Ryb25pYy1yZXNvdXJj
ZS1udW0+PGxhbmd1YWdlPmVuZzwvbGFuZ3VhZ2U+PC9yZWNvcmQ+PC9DaXRlPjwvRW5kTm90ZT4A
</w:fldData>
          </w:fldChar>
        </w:r>
        <w:r w:rsidR="00512D09">
          <w:rPr>
            <w:bCs/>
          </w:rPr>
          <w:instrText xml:space="preserve"> ADDIN EN.CITE.DATA </w:instrText>
        </w:r>
        <w:r w:rsidR="00512D09">
          <w:rPr>
            <w:bCs/>
          </w:rPr>
        </w:r>
        <w:r w:rsidR="00512D09">
          <w:rPr>
            <w:bCs/>
          </w:rPr>
          <w:fldChar w:fldCharType="end"/>
        </w:r>
        <w:r w:rsidR="00512D09" w:rsidRPr="00965B7D">
          <w:rPr>
            <w:bCs/>
          </w:rPr>
        </w:r>
        <w:r w:rsidR="00512D09" w:rsidRPr="00965B7D">
          <w:rPr>
            <w:bCs/>
          </w:rPr>
          <w:fldChar w:fldCharType="separate"/>
        </w:r>
        <w:r w:rsidR="00512D09" w:rsidRPr="00F04E2C">
          <w:rPr>
            <w:bCs/>
            <w:noProof/>
            <w:vertAlign w:val="superscript"/>
          </w:rPr>
          <w:t>66</w:t>
        </w:r>
        <w:r w:rsidR="00512D09" w:rsidRPr="00965B7D">
          <w:fldChar w:fldCharType="end"/>
        </w:r>
      </w:hyperlink>
      <w:r w:rsidRPr="00965B7D">
        <w:rPr>
          <w:bCs/>
        </w:rPr>
        <w:t xml:space="preserve">  </w:t>
      </w:r>
    </w:p>
    <w:p w:rsidR="0092704A" w:rsidRPr="00B650CC" w:rsidRDefault="0092704A" w:rsidP="0092704A">
      <w:pPr>
        <w:pStyle w:val="Caption"/>
        <w:spacing w:line="480" w:lineRule="auto"/>
        <w:jc w:val="center"/>
        <w:rPr>
          <w:b w:val="0"/>
          <w:bCs w:val="0"/>
          <w:color w:val="548DD4" w:themeColor="text2" w:themeTint="99"/>
          <w:sz w:val="16"/>
          <w:szCs w:val="16"/>
        </w:rPr>
      </w:pPr>
      <w:bookmarkStart w:id="36" w:name="_Ref442863066"/>
      <w:r w:rsidRPr="00EC5041">
        <w:rPr>
          <w:color w:val="548DD4" w:themeColor="text2" w:themeTint="99"/>
          <w:sz w:val="16"/>
          <w:szCs w:val="16"/>
        </w:rPr>
        <w:t xml:space="preserve">Table </w:t>
      </w:r>
      <w:bookmarkEnd w:id="36"/>
      <w:r w:rsidR="0075172E">
        <w:rPr>
          <w:color w:val="548DD4" w:themeColor="text2" w:themeTint="99"/>
          <w:sz w:val="16"/>
          <w:szCs w:val="16"/>
        </w:rPr>
        <w:fldChar w:fldCharType="begin"/>
      </w:r>
      <w:r w:rsidR="00EB1DC7">
        <w:rPr>
          <w:color w:val="548DD4" w:themeColor="text2" w:themeTint="99"/>
          <w:sz w:val="16"/>
          <w:szCs w:val="16"/>
        </w:rPr>
        <w:instrText xml:space="preserve"> STYLEREF 1 \s </w:instrText>
      </w:r>
      <w:r w:rsidR="0075172E">
        <w:rPr>
          <w:color w:val="548DD4" w:themeColor="text2" w:themeTint="99"/>
          <w:sz w:val="16"/>
          <w:szCs w:val="16"/>
        </w:rPr>
        <w:fldChar w:fldCharType="separate"/>
      </w:r>
      <w:r w:rsidR="00CB4EDC">
        <w:rPr>
          <w:noProof/>
          <w:color w:val="548DD4" w:themeColor="text2" w:themeTint="99"/>
          <w:sz w:val="16"/>
          <w:szCs w:val="16"/>
        </w:rPr>
        <w:t>1</w:t>
      </w:r>
      <w:r w:rsidR="0075172E">
        <w:rPr>
          <w:color w:val="548DD4" w:themeColor="text2" w:themeTint="99"/>
          <w:sz w:val="16"/>
          <w:szCs w:val="16"/>
        </w:rPr>
        <w:fldChar w:fldCharType="end"/>
      </w:r>
      <w:r w:rsidR="00EB1DC7">
        <w:rPr>
          <w:color w:val="548DD4" w:themeColor="text2" w:themeTint="99"/>
          <w:sz w:val="16"/>
          <w:szCs w:val="16"/>
        </w:rPr>
        <w:t>.</w:t>
      </w:r>
      <w:r w:rsidR="0075172E">
        <w:rPr>
          <w:color w:val="548DD4" w:themeColor="text2" w:themeTint="99"/>
          <w:sz w:val="16"/>
          <w:szCs w:val="16"/>
        </w:rPr>
        <w:fldChar w:fldCharType="begin"/>
      </w:r>
      <w:r w:rsidR="00EB1DC7">
        <w:rPr>
          <w:color w:val="548DD4" w:themeColor="text2" w:themeTint="99"/>
          <w:sz w:val="16"/>
          <w:szCs w:val="16"/>
        </w:rPr>
        <w:instrText xml:space="preserve"> SEQ Figure \* ARABIC \s 1 </w:instrText>
      </w:r>
      <w:r w:rsidR="0075172E">
        <w:rPr>
          <w:color w:val="548DD4" w:themeColor="text2" w:themeTint="99"/>
          <w:sz w:val="16"/>
          <w:szCs w:val="16"/>
        </w:rPr>
        <w:fldChar w:fldCharType="separate"/>
      </w:r>
      <w:r w:rsidR="00CB4EDC">
        <w:rPr>
          <w:noProof/>
          <w:color w:val="548DD4" w:themeColor="text2" w:themeTint="99"/>
          <w:sz w:val="16"/>
          <w:szCs w:val="16"/>
        </w:rPr>
        <w:t>7</w:t>
      </w:r>
      <w:r w:rsidR="0075172E">
        <w:rPr>
          <w:color w:val="548DD4" w:themeColor="text2" w:themeTint="99"/>
          <w:sz w:val="16"/>
          <w:szCs w:val="16"/>
        </w:rPr>
        <w:fldChar w:fldCharType="end"/>
      </w:r>
      <w:r>
        <w:rPr>
          <w:color w:val="548DD4" w:themeColor="text2" w:themeTint="99"/>
          <w:sz w:val="16"/>
          <w:szCs w:val="16"/>
        </w:rPr>
        <w:t xml:space="preserve">: </w:t>
      </w:r>
      <w:r w:rsidRPr="00EC5041">
        <w:rPr>
          <w:color w:val="548DD4" w:themeColor="text2" w:themeTint="99"/>
          <w:sz w:val="16"/>
          <w:szCs w:val="16"/>
        </w:rPr>
        <w:t>Protein, hydration shell dynamics, size of the apparent hydration shell, protein concentration, buffer, temperature, reference and the particular technique used to determine these values. NR= Not Reported.</w:t>
      </w:r>
    </w:p>
    <w:tbl>
      <w:tblPr>
        <w:tblW w:w="7621" w:type="dxa"/>
        <w:tblLayout w:type="fixed"/>
        <w:tblLook w:val="04A0" w:firstRow="1" w:lastRow="0" w:firstColumn="1" w:lastColumn="0" w:noHBand="0" w:noVBand="1"/>
      </w:tblPr>
      <w:tblGrid>
        <w:gridCol w:w="1013"/>
        <w:gridCol w:w="1014"/>
        <w:gridCol w:w="1014"/>
        <w:gridCol w:w="895"/>
        <w:gridCol w:w="1134"/>
        <w:gridCol w:w="1013"/>
        <w:gridCol w:w="1014"/>
        <w:gridCol w:w="524"/>
      </w:tblGrid>
      <w:tr w:rsidR="0092704A" w:rsidRPr="00FB39B7" w:rsidTr="000978E5">
        <w:trPr>
          <w:trHeight w:val="620"/>
        </w:trPr>
        <w:tc>
          <w:tcPr>
            <w:tcW w:w="1013" w:type="dxa"/>
            <w:tcBorders>
              <w:top w:val="single" w:sz="4" w:space="0" w:color="auto"/>
              <w:bottom w:val="single" w:sz="4" w:space="0" w:color="auto"/>
            </w:tcBorders>
          </w:tcPr>
          <w:p w:rsidR="0092704A" w:rsidRPr="00FB39B7" w:rsidRDefault="0092704A" w:rsidP="000978E5">
            <w:pPr>
              <w:jc w:val="center"/>
              <w:rPr>
                <w:b/>
                <w:iCs/>
                <w:color w:val="000000" w:themeColor="text1"/>
                <w:sz w:val="16"/>
                <w:szCs w:val="16"/>
              </w:rPr>
            </w:pPr>
            <w:r w:rsidRPr="00FB39B7">
              <w:rPr>
                <w:b/>
                <w:iCs/>
                <w:color w:val="000000" w:themeColor="text1"/>
                <w:sz w:val="16"/>
                <w:szCs w:val="16"/>
              </w:rPr>
              <w:t>Protein</w:t>
            </w:r>
          </w:p>
        </w:tc>
        <w:tc>
          <w:tcPr>
            <w:tcW w:w="1014" w:type="dxa"/>
            <w:tcBorders>
              <w:top w:val="single" w:sz="4" w:space="0" w:color="auto"/>
              <w:bottom w:val="single" w:sz="4" w:space="0" w:color="auto"/>
            </w:tcBorders>
          </w:tcPr>
          <w:p w:rsidR="0092704A" w:rsidRPr="00FB39B7" w:rsidRDefault="0092704A" w:rsidP="000978E5">
            <w:pPr>
              <w:jc w:val="center"/>
              <w:rPr>
                <w:b/>
                <w:iCs/>
                <w:color w:val="000000" w:themeColor="text1"/>
                <w:sz w:val="16"/>
                <w:szCs w:val="16"/>
              </w:rPr>
            </w:pPr>
            <w:r w:rsidRPr="00FB39B7">
              <w:rPr>
                <w:b/>
                <w:iCs/>
                <w:color w:val="000000" w:themeColor="text1"/>
                <w:sz w:val="16"/>
                <w:szCs w:val="16"/>
              </w:rPr>
              <w:t>Hydration shell Dynamics</w:t>
            </w:r>
          </w:p>
        </w:tc>
        <w:tc>
          <w:tcPr>
            <w:tcW w:w="1014" w:type="dxa"/>
            <w:tcBorders>
              <w:top w:val="single" w:sz="4" w:space="0" w:color="auto"/>
              <w:bottom w:val="single" w:sz="4" w:space="0" w:color="auto"/>
            </w:tcBorders>
          </w:tcPr>
          <w:p w:rsidR="0092704A" w:rsidRPr="00FB39B7" w:rsidRDefault="0092704A" w:rsidP="000978E5">
            <w:pPr>
              <w:jc w:val="center"/>
              <w:rPr>
                <w:b/>
                <w:iCs/>
                <w:color w:val="000000" w:themeColor="text1"/>
                <w:sz w:val="16"/>
                <w:szCs w:val="16"/>
              </w:rPr>
            </w:pPr>
            <w:r w:rsidRPr="00FB39B7">
              <w:rPr>
                <w:b/>
                <w:iCs/>
                <w:color w:val="000000" w:themeColor="text1"/>
                <w:sz w:val="16"/>
                <w:szCs w:val="16"/>
              </w:rPr>
              <w:t>Size of apparent hydration shell</w:t>
            </w:r>
          </w:p>
        </w:tc>
        <w:tc>
          <w:tcPr>
            <w:tcW w:w="895" w:type="dxa"/>
            <w:tcBorders>
              <w:top w:val="single" w:sz="4" w:space="0" w:color="auto"/>
              <w:bottom w:val="single" w:sz="4" w:space="0" w:color="auto"/>
            </w:tcBorders>
          </w:tcPr>
          <w:p w:rsidR="0092704A" w:rsidRDefault="0092704A" w:rsidP="000978E5">
            <w:pPr>
              <w:jc w:val="center"/>
              <w:rPr>
                <w:b/>
                <w:iCs/>
                <w:color w:val="000000" w:themeColor="text1"/>
                <w:sz w:val="16"/>
                <w:szCs w:val="16"/>
              </w:rPr>
            </w:pPr>
            <w:r w:rsidRPr="00FB39B7">
              <w:rPr>
                <w:b/>
                <w:iCs/>
                <w:color w:val="000000" w:themeColor="text1"/>
                <w:sz w:val="16"/>
                <w:szCs w:val="16"/>
              </w:rPr>
              <w:t>Protein concentra</w:t>
            </w:r>
            <w:r>
              <w:rPr>
                <w:b/>
                <w:iCs/>
                <w:color w:val="000000" w:themeColor="text1"/>
                <w:sz w:val="16"/>
                <w:szCs w:val="16"/>
              </w:rPr>
              <w:t>-</w:t>
            </w:r>
            <w:r w:rsidRPr="00FB39B7">
              <w:rPr>
                <w:b/>
                <w:iCs/>
                <w:color w:val="000000" w:themeColor="text1"/>
                <w:sz w:val="16"/>
                <w:szCs w:val="16"/>
              </w:rPr>
              <w:t>tion</w:t>
            </w:r>
          </w:p>
          <w:p w:rsidR="0092704A" w:rsidRPr="00FB39B7" w:rsidRDefault="0092704A" w:rsidP="000978E5">
            <w:pPr>
              <w:jc w:val="center"/>
              <w:rPr>
                <w:b/>
                <w:iCs/>
                <w:color w:val="000000" w:themeColor="text1"/>
                <w:sz w:val="16"/>
                <w:szCs w:val="16"/>
              </w:rPr>
            </w:pPr>
            <w:r w:rsidRPr="0076524B">
              <w:rPr>
                <w:b/>
                <w:iCs/>
                <w:color w:val="000000" w:themeColor="text1"/>
                <w:sz w:val="16"/>
                <w:szCs w:val="16"/>
              </w:rPr>
              <w:t>(mM)</w:t>
            </w:r>
          </w:p>
        </w:tc>
        <w:tc>
          <w:tcPr>
            <w:tcW w:w="1134" w:type="dxa"/>
            <w:tcBorders>
              <w:top w:val="single" w:sz="4" w:space="0" w:color="auto"/>
              <w:bottom w:val="single" w:sz="4" w:space="0" w:color="auto"/>
            </w:tcBorders>
          </w:tcPr>
          <w:p w:rsidR="0092704A" w:rsidRPr="00FB39B7" w:rsidRDefault="0092704A" w:rsidP="000978E5">
            <w:pPr>
              <w:jc w:val="center"/>
              <w:rPr>
                <w:b/>
                <w:iCs/>
                <w:color w:val="000000" w:themeColor="text1"/>
                <w:sz w:val="16"/>
                <w:szCs w:val="16"/>
              </w:rPr>
            </w:pPr>
            <w:r w:rsidRPr="00FB39B7">
              <w:rPr>
                <w:b/>
                <w:iCs/>
                <w:color w:val="000000" w:themeColor="text1"/>
                <w:sz w:val="16"/>
                <w:szCs w:val="16"/>
              </w:rPr>
              <w:t>Buffer</w:t>
            </w:r>
          </w:p>
        </w:tc>
        <w:tc>
          <w:tcPr>
            <w:tcW w:w="1013" w:type="dxa"/>
            <w:tcBorders>
              <w:top w:val="single" w:sz="4" w:space="0" w:color="auto"/>
              <w:bottom w:val="single" w:sz="4" w:space="0" w:color="auto"/>
            </w:tcBorders>
          </w:tcPr>
          <w:p w:rsidR="0092704A" w:rsidRDefault="0092704A" w:rsidP="000978E5">
            <w:pPr>
              <w:jc w:val="center"/>
              <w:rPr>
                <w:b/>
                <w:iCs/>
                <w:color w:val="000000" w:themeColor="text1"/>
                <w:sz w:val="16"/>
                <w:szCs w:val="16"/>
              </w:rPr>
            </w:pPr>
            <w:r w:rsidRPr="00FB39B7">
              <w:rPr>
                <w:b/>
                <w:iCs/>
                <w:color w:val="000000" w:themeColor="text1"/>
                <w:sz w:val="16"/>
                <w:szCs w:val="16"/>
              </w:rPr>
              <w:t>Temp</w:t>
            </w:r>
          </w:p>
          <w:p w:rsidR="0092704A" w:rsidRPr="00FB39B7" w:rsidRDefault="0092704A" w:rsidP="000978E5">
            <w:pPr>
              <w:jc w:val="center"/>
              <w:rPr>
                <w:b/>
                <w:iCs/>
                <w:color w:val="000000" w:themeColor="text1"/>
                <w:sz w:val="16"/>
                <w:szCs w:val="16"/>
              </w:rPr>
            </w:pPr>
            <w:r w:rsidRPr="00FB39B7">
              <w:rPr>
                <w:b/>
                <w:iCs/>
                <w:color w:val="000000" w:themeColor="text1"/>
                <w:sz w:val="16"/>
                <w:szCs w:val="16"/>
              </w:rPr>
              <w:t xml:space="preserve"> (</w:t>
            </w:r>
            <w:r>
              <w:rPr>
                <w:b/>
                <w:iCs/>
                <w:color w:val="000000" w:themeColor="text1"/>
                <w:sz w:val="16"/>
                <w:szCs w:val="16"/>
              </w:rPr>
              <w:t>°C</w:t>
            </w:r>
            <w:r w:rsidRPr="00FB39B7">
              <w:rPr>
                <w:b/>
                <w:iCs/>
                <w:color w:val="000000" w:themeColor="text1"/>
                <w:sz w:val="16"/>
                <w:szCs w:val="16"/>
              </w:rPr>
              <w:t>)</w:t>
            </w:r>
          </w:p>
        </w:tc>
        <w:tc>
          <w:tcPr>
            <w:tcW w:w="1014" w:type="dxa"/>
            <w:tcBorders>
              <w:top w:val="single" w:sz="4" w:space="0" w:color="auto"/>
              <w:bottom w:val="single" w:sz="4" w:space="0" w:color="auto"/>
            </w:tcBorders>
          </w:tcPr>
          <w:p w:rsidR="0092704A" w:rsidRPr="00FB39B7" w:rsidRDefault="0092704A" w:rsidP="000978E5">
            <w:pPr>
              <w:jc w:val="center"/>
              <w:rPr>
                <w:b/>
                <w:iCs/>
                <w:color w:val="000000" w:themeColor="text1"/>
                <w:sz w:val="16"/>
                <w:szCs w:val="16"/>
              </w:rPr>
            </w:pPr>
            <w:r w:rsidRPr="00FB39B7">
              <w:rPr>
                <w:b/>
                <w:iCs/>
                <w:color w:val="000000" w:themeColor="text1"/>
                <w:sz w:val="16"/>
                <w:szCs w:val="16"/>
              </w:rPr>
              <w:t>Technique</w:t>
            </w:r>
          </w:p>
        </w:tc>
        <w:tc>
          <w:tcPr>
            <w:tcW w:w="524" w:type="dxa"/>
            <w:tcBorders>
              <w:top w:val="single" w:sz="4" w:space="0" w:color="auto"/>
              <w:bottom w:val="single" w:sz="4" w:space="0" w:color="auto"/>
            </w:tcBorders>
          </w:tcPr>
          <w:p w:rsidR="0092704A" w:rsidRPr="00FB39B7" w:rsidRDefault="0092704A" w:rsidP="000978E5">
            <w:pPr>
              <w:rPr>
                <w:b/>
                <w:iCs/>
                <w:color w:val="000000" w:themeColor="text1"/>
                <w:sz w:val="16"/>
                <w:szCs w:val="16"/>
              </w:rPr>
            </w:pPr>
            <w:r w:rsidRPr="00FB39B7">
              <w:rPr>
                <w:b/>
                <w:iCs/>
                <w:color w:val="000000" w:themeColor="text1"/>
                <w:sz w:val="16"/>
                <w:szCs w:val="16"/>
              </w:rPr>
              <w:t>Ref</w:t>
            </w:r>
          </w:p>
        </w:tc>
      </w:tr>
      <w:tr w:rsidR="0092704A" w:rsidRPr="00EC5041" w:rsidTr="000978E5">
        <w:trPr>
          <w:trHeight w:val="2775"/>
        </w:trPr>
        <w:tc>
          <w:tcPr>
            <w:tcW w:w="1013" w:type="dxa"/>
            <w:tcBorders>
              <w:top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Protein L</w:t>
            </w:r>
          </w:p>
        </w:tc>
        <w:tc>
          <w:tcPr>
            <w:tcW w:w="1014" w:type="dxa"/>
            <w:tcBorders>
              <w:top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3.83 ns</w:t>
            </w:r>
          </w:p>
        </w:tc>
        <w:tc>
          <w:tcPr>
            <w:tcW w:w="1014" w:type="dxa"/>
            <w:tcBorders>
              <w:top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NR</w:t>
            </w:r>
          </w:p>
        </w:tc>
        <w:tc>
          <w:tcPr>
            <w:tcW w:w="895" w:type="dxa"/>
            <w:tcBorders>
              <w:top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NR</w:t>
            </w:r>
          </w:p>
        </w:tc>
        <w:tc>
          <w:tcPr>
            <w:tcW w:w="1134" w:type="dxa"/>
            <w:tcBorders>
              <w:top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water</w:t>
            </w:r>
          </w:p>
          <w:p w:rsidR="0092704A" w:rsidRPr="00EC5041" w:rsidRDefault="0092704A" w:rsidP="000978E5">
            <w:pPr>
              <w:jc w:val="center"/>
              <w:rPr>
                <w:iCs/>
                <w:color w:val="000000" w:themeColor="text1"/>
                <w:sz w:val="16"/>
                <w:szCs w:val="16"/>
              </w:rPr>
            </w:pPr>
            <w:r w:rsidRPr="00EC5041">
              <w:rPr>
                <w:iCs/>
                <w:color w:val="000000" w:themeColor="text1"/>
                <w:sz w:val="16"/>
                <w:szCs w:val="16"/>
              </w:rPr>
              <w:t>enriched to 21% in</w:t>
            </w:r>
          </w:p>
          <w:p w:rsidR="0092704A" w:rsidRPr="00EC5041" w:rsidRDefault="0092704A" w:rsidP="000978E5">
            <w:pPr>
              <w:jc w:val="center"/>
              <w:rPr>
                <w:iCs/>
                <w:color w:val="000000" w:themeColor="text1"/>
                <w:sz w:val="16"/>
                <w:szCs w:val="16"/>
                <w:vertAlign w:val="superscript"/>
              </w:rPr>
            </w:pPr>
            <w:r w:rsidRPr="00EC5041">
              <w:rPr>
                <w:iCs/>
                <w:color w:val="000000" w:themeColor="text1"/>
                <w:sz w:val="16"/>
                <w:szCs w:val="16"/>
                <w:vertAlign w:val="superscript"/>
              </w:rPr>
              <w:t>17</w:t>
            </w:r>
            <w:r w:rsidRPr="00EC5041">
              <w:rPr>
                <w:iCs/>
                <w:color w:val="000000" w:themeColor="text1"/>
                <w:sz w:val="16"/>
                <w:szCs w:val="16"/>
              </w:rPr>
              <w:t>O</w:t>
            </w:r>
          </w:p>
          <w:p w:rsidR="0092704A" w:rsidRPr="00EC5041" w:rsidRDefault="0092704A" w:rsidP="000978E5">
            <w:pPr>
              <w:jc w:val="center"/>
              <w:rPr>
                <w:iCs/>
                <w:color w:val="000000" w:themeColor="text1"/>
                <w:sz w:val="16"/>
                <w:szCs w:val="16"/>
              </w:rPr>
            </w:pPr>
            <w:r w:rsidRPr="00EC5041">
              <w:rPr>
                <w:iCs/>
                <w:color w:val="000000" w:themeColor="text1"/>
                <w:sz w:val="16"/>
                <w:szCs w:val="16"/>
              </w:rPr>
              <w:t>phosphate buffer</w:t>
            </w:r>
          </w:p>
          <w:p w:rsidR="0092704A" w:rsidRPr="00EC5041" w:rsidRDefault="0092704A" w:rsidP="000978E5">
            <w:pPr>
              <w:jc w:val="center"/>
              <w:rPr>
                <w:iCs/>
                <w:color w:val="000000" w:themeColor="text1"/>
                <w:sz w:val="16"/>
                <w:szCs w:val="16"/>
              </w:rPr>
            </w:pPr>
            <w:r w:rsidRPr="00EC5041">
              <w:rPr>
                <w:iCs/>
                <w:color w:val="000000" w:themeColor="text1"/>
                <w:sz w:val="16"/>
                <w:szCs w:val="16"/>
              </w:rPr>
              <w:t>2 mM NaN</w:t>
            </w:r>
            <w:r w:rsidRPr="00EC5041">
              <w:rPr>
                <w:iCs/>
                <w:color w:val="000000" w:themeColor="text1"/>
                <w:sz w:val="16"/>
                <w:szCs w:val="16"/>
                <w:vertAlign w:val="subscript"/>
              </w:rPr>
              <w:t>3</w:t>
            </w:r>
          </w:p>
        </w:tc>
        <w:tc>
          <w:tcPr>
            <w:tcW w:w="1013" w:type="dxa"/>
            <w:tcBorders>
              <w:top w:val="single" w:sz="4" w:space="0" w:color="auto"/>
            </w:tcBorders>
          </w:tcPr>
          <w:p w:rsidR="0092704A" w:rsidRPr="00EC5041" w:rsidRDefault="0092704A" w:rsidP="000978E5">
            <w:pPr>
              <w:jc w:val="center"/>
              <w:rPr>
                <w:iCs/>
                <w:color w:val="000000" w:themeColor="text1"/>
                <w:sz w:val="16"/>
                <w:szCs w:val="16"/>
              </w:rPr>
            </w:pPr>
            <w:r w:rsidRPr="006C2030">
              <w:rPr>
                <w:iCs/>
                <w:color w:val="000000" w:themeColor="text1"/>
                <w:sz w:val="16"/>
                <w:szCs w:val="16"/>
              </w:rPr>
              <w:t>26.85</w:t>
            </w:r>
          </w:p>
        </w:tc>
        <w:tc>
          <w:tcPr>
            <w:tcW w:w="1014" w:type="dxa"/>
            <w:tcBorders>
              <w:top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NMR-MRD</w:t>
            </w:r>
          </w:p>
        </w:tc>
        <w:tc>
          <w:tcPr>
            <w:tcW w:w="524" w:type="dxa"/>
            <w:tcBorders>
              <w:top w:val="single" w:sz="4" w:space="0" w:color="auto"/>
            </w:tcBorders>
          </w:tcPr>
          <w:p w:rsidR="0092704A" w:rsidRPr="00EC5041" w:rsidRDefault="00040F10" w:rsidP="00512D09">
            <w:pPr>
              <w:jc w:val="center"/>
              <w:rPr>
                <w:iCs/>
                <w:color w:val="000000" w:themeColor="text1"/>
                <w:sz w:val="16"/>
                <w:szCs w:val="16"/>
              </w:rPr>
            </w:pPr>
            <w:hyperlink w:anchor="_ENREF_65" w:tooltip="Qvist, 2012 #221" w:history="1">
              <w:r w:rsidR="00512D09" w:rsidRPr="00EC5041">
                <w:rPr>
                  <w:iCs/>
                  <w:color w:val="000000" w:themeColor="text1"/>
                  <w:sz w:val="16"/>
                  <w:szCs w:val="16"/>
                </w:rPr>
                <w:fldChar w:fldCharType="begin"/>
              </w:r>
              <w:r w:rsidR="00512D09">
                <w:rPr>
                  <w:iCs/>
                  <w:color w:val="000000" w:themeColor="text1"/>
                  <w:sz w:val="16"/>
                  <w:szCs w:val="16"/>
                </w:rPr>
                <w:instrText xml:space="preserve"> ADDIN EN.CITE &lt;EndNote&gt;&lt;Cite&gt;&lt;Author&gt;Qvist&lt;/Author&gt;&lt;Year&gt;2012&lt;/Year&gt;&lt;RecNum&gt;221&lt;/RecNum&gt;&lt;DisplayText&gt;&lt;style face="superscript"&gt;65&lt;/style&gt;&lt;/DisplayText&gt;&lt;record&gt;&lt;rec-number&gt;221&lt;/rec-number&gt;&lt;foreign-keys&gt;&lt;key app="EN" db-id="5trrespwzsdr07efd5tx2w96x22re9s0fsdt"&gt;221&lt;/key&gt;&lt;/foreign-keys&gt;&lt;ref-type name="Journal Article"&gt;17&lt;/ref-type&gt;&lt;contributors&gt;&lt;authors&gt;&lt;author&gt;Qvist, Johan&lt;/author&gt;&lt;author&gt;Ortega, Gabriel&lt;/author&gt;&lt;author&gt;Tadeo, Xavier&lt;/author&gt;&lt;author&gt;Millet, Oscar&lt;/author&gt;&lt;author&gt;Halle, Bertil&lt;/author&gt;&lt;/authors&gt;&lt;/contributors&gt;&lt;titles&gt;&lt;title&gt;Hydration Dynamics of a Halophilic Protein in Folded and Unfolded States&lt;/title&gt;&lt;secondary-title&gt;Journal of Physical Chemistry B&lt;/secondary-title&gt;&lt;/titles&gt;&lt;periodical&gt;&lt;full-title&gt;Journal of Physical Chemistry B&lt;/full-title&gt;&lt;/periodical&gt;&lt;pages&gt;3436-3444&lt;/pages&gt;&lt;volume&gt;116&lt;/volume&gt;&lt;number&gt;10&lt;/number&gt;&lt;dates&gt;&lt;year&gt;2012&lt;/year&gt;&lt;pub-dates&gt;&lt;date&gt;Mar 15&lt;/date&gt;&lt;/pub-dates&gt;&lt;/dates&gt;&lt;isbn&gt;1520-6106&lt;/isbn&gt;&lt;accession-num&gt;WOS:000301509500041&lt;/accession-num&gt;&lt;urls&gt;&lt;related-urls&gt;&lt;url&gt;&amp;lt;Go to ISI&amp;gt;://WOS:000301509500041&lt;/url&gt;&lt;/related-urls&gt;&lt;/urls&gt;&lt;electronic-resource-num&gt;10.1021/jp3000569&lt;/electronic-resource-num&gt;&lt;/record&gt;&lt;/Cite&gt;&lt;/EndNote&gt;</w:instrText>
              </w:r>
              <w:r w:rsidR="00512D09" w:rsidRPr="00EC5041">
                <w:rPr>
                  <w:iCs/>
                  <w:color w:val="000000" w:themeColor="text1"/>
                  <w:sz w:val="16"/>
                  <w:szCs w:val="16"/>
                </w:rPr>
                <w:fldChar w:fldCharType="separate"/>
              </w:r>
              <w:r w:rsidR="00512D09" w:rsidRPr="00F04E2C">
                <w:rPr>
                  <w:iCs/>
                  <w:noProof/>
                  <w:color w:val="000000" w:themeColor="text1"/>
                  <w:sz w:val="16"/>
                  <w:szCs w:val="16"/>
                  <w:vertAlign w:val="superscript"/>
                </w:rPr>
                <w:t>65</w:t>
              </w:r>
              <w:r w:rsidR="00512D09" w:rsidRPr="00EC5041">
                <w:rPr>
                  <w:color w:val="000000" w:themeColor="text1"/>
                  <w:sz w:val="16"/>
                  <w:szCs w:val="16"/>
                </w:rPr>
                <w:fldChar w:fldCharType="end"/>
              </w:r>
            </w:hyperlink>
          </w:p>
        </w:tc>
      </w:tr>
      <w:tr w:rsidR="0092704A" w:rsidRPr="00EC5041" w:rsidTr="000978E5">
        <w:trPr>
          <w:trHeight w:val="1292"/>
        </w:trPr>
        <w:tc>
          <w:tcPr>
            <w:tcW w:w="1013" w:type="dxa"/>
          </w:tcPr>
          <w:p w:rsidR="0092704A" w:rsidRPr="00EC5041" w:rsidRDefault="0092704A" w:rsidP="000978E5">
            <w:pPr>
              <w:jc w:val="center"/>
              <w:rPr>
                <w:iCs/>
                <w:color w:val="000000" w:themeColor="text1"/>
                <w:sz w:val="16"/>
                <w:szCs w:val="16"/>
              </w:rPr>
            </w:pPr>
            <w:r w:rsidRPr="00EC5041">
              <w:rPr>
                <w:iCs/>
                <w:color w:val="000000" w:themeColor="text1"/>
                <w:sz w:val="16"/>
                <w:szCs w:val="16"/>
              </w:rPr>
              <w:t>Protein L</w:t>
            </w:r>
          </w:p>
          <w:p w:rsidR="0092704A" w:rsidRPr="00EC5041" w:rsidRDefault="0092704A" w:rsidP="000978E5">
            <w:pPr>
              <w:jc w:val="center"/>
              <w:rPr>
                <w:iCs/>
                <w:color w:val="000000" w:themeColor="text1"/>
                <w:sz w:val="16"/>
                <w:szCs w:val="16"/>
              </w:rPr>
            </w:pPr>
            <w:r w:rsidRPr="00EC5041">
              <w:rPr>
                <w:iCs/>
                <w:color w:val="000000" w:themeColor="text1"/>
                <w:sz w:val="16"/>
                <w:szCs w:val="16"/>
              </w:rPr>
              <w:t>(Kx6E)</w:t>
            </w:r>
          </w:p>
        </w:tc>
        <w:tc>
          <w:tcPr>
            <w:tcW w:w="1014" w:type="dxa"/>
          </w:tcPr>
          <w:p w:rsidR="0092704A" w:rsidRPr="00EC5041" w:rsidRDefault="0092704A" w:rsidP="000978E5">
            <w:pPr>
              <w:jc w:val="center"/>
              <w:rPr>
                <w:iCs/>
                <w:color w:val="000000" w:themeColor="text1"/>
                <w:sz w:val="16"/>
                <w:szCs w:val="16"/>
              </w:rPr>
            </w:pPr>
            <w:r w:rsidRPr="00EC5041">
              <w:rPr>
                <w:iCs/>
                <w:color w:val="000000" w:themeColor="text1"/>
                <w:sz w:val="16"/>
                <w:szCs w:val="16"/>
              </w:rPr>
              <w:t>2.26 ns</w:t>
            </w:r>
          </w:p>
        </w:tc>
        <w:tc>
          <w:tcPr>
            <w:tcW w:w="1014" w:type="dxa"/>
          </w:tcPr>
          <w:p w:rsidR="0092704A" w:rsidRPr="00EC5041" w:rsidRDefault="0092704A" w:rsidP="000978E5">
            <w:pPr>
              <w:jc w:val="center"/>
              <w:rPr>
                <w:iCs/>
                <w:color w:val="000000" w:themeColor="text1"/>
                <w:sz w:val="16"/>
                <w:szCs w:val="16"/>
              </w:rPr>
            </w:pPr>
            <w:r w:rsidRPr="00EC5041">
              <w:rPr>
                <w:iCs/>
                <w:color w:val="000000" w:themeColor="text1"/>
                <w:sz w:val="16"/>
                <w:szCs w:val="16"/>
              </w:rPr>
              <w:t>NR</w:t>
            </w:r>
          </w:p>
        </w:tc>
        <w:tc>
          <w:tcPr>
            <w:tcW w:w="895" w:type="dxa"/>
          </w:tcPr>
          <w:p w:rsidR="0092704A" w:rsidRPr="00EC5041" w:rsidRDefault="0092704A" w:rsidP="000978E5">
            <w:pPr>
              <w:jc w:val="center"/>
              <w:rPr>
                <w:iCs/>
                <w:color w:val="000000" w:themeColor="text1"/>
                <w:sz w:val="16"/>
                <w:szCs w:val="16"/>
              </w:rPr>
            </w:pPr>
            <w:r w:rsidRPr="00EC5041">
              <w:rPr>
                <w:iCs/>
                <w:color w:val="000000" w:themeColor="text1"/>
                <w:sz w:val="16"/>
                <w:szCs w:val="16"/>
              </w:rPr>
              <w:t>NR</w:t>
            </w:r>
          </w:p>
        </w:tc>
        <w:tc>
          <w:tcPr>
            <w:tcW w:w="1134" w:type="dxa"/>
          </w:tcPr>
          <w:p w:rsidR="0092704A" w:rsidRPr="00EC5041" w:rsidRDefault="0092704A" w:rsidP="000978E5">
            <w:pPr>
              <w:jc w:val="center"/>
              <w:rPr>
                <w:iCs/>
                <w:color w:val="000000" w:themeColor="text1"/>
                <w:sz w:val="16"/>
                <w:szCs w:val="16"/>
              </w:rPr>
            </w:pPr>
            <w:r w:rsidRPr="00EC5041">
              <w:rPr>
                <w:iCs/>
                <w:color w:val="000000" w:themeColor="text1"/>
                <w:sz w:val="16"/>
                <w:szCs w:val="16"/>
              </w:rPr>
              <w:t>water</w:t>
            </w:r>
          </w:p>
          <w:p w:rsidR="0092704A" w:rsidRPr="00EC5041" w:rsidRDefault="0092704A" w:rsidP="000978E5">
            <w:pPr>
              <w:jc w:val="center"/>
              <w:rPr>
                <w:iCs/>
                <w:color w:val="000000" w:themeColor="text1"/>
                <w:sz w:val="16"/>
                <w:szCs w:val="16"/>
              </w:rPr>
            </w:pPr>
            <w:r w:rsidRPr="00EC5041">
              <w:rPr>
                <w:iCs/>
                <w:color w:val="000000" w:themeColor="text1"/>
                <w:sz w:val="16"/>
                <w:szCs w:val="16"/>
              </w:rPr>
              <w:t>enriched to 21% in</w:t>
            </w:r>
          </w:p>
          <w:p w:rsidR="0092704A" w:rsidRPr="00EC5041" w:rsidRDefault="0092704A" w:rsidP="000978E5">
            <w:pPr>
              <w:jc w:val="center"/>
              <w:rPr>
                <w:iCs/>
                <w:color w:val="000000" w:themeColor="text1"/>
                <w:sz w:val="16"/>
                <w:szCs w:val="16"/>
                <w:vertAlign w:val="superscript"/>
              </w:rPr>
            </w:pPr>
            <w:r w:rsidRPr="00EC5041">
              <w:rPr>
                <w:iCs/>
                <w:color w:val="000000" w:themeColor="text1"/>
                <w:sz w:val="16"/>
                <w:szCs w:val="16"/>
                <w:vertAlign w:val="superscript"/>
              </w:rPr>
              <w:t>17</w:t>
            </w:r>
            <w:r w:rsidRPr="00EC5041">
              <w:rPr>
                <w:iCs/>
                <w:color w:val="000000" w:themeColor="text1"/>
                <w:sz w:val="16"/>
                <w:szCs w:val="16"/>
              </w:rPr>
              <w:t>O</w:t>
            </w:r>
          </w:p>
          <w:p w:rsidR="0092704A" w:rsidRPr="00EC5041" w:rsidRDefault="0092704A" w:rsidP="000978E5">
            <w:pPr>
              <w:jc w:val="center"/>
              <w:rPr>
                <w:iCs/>
                <w:color w:val="000000" w:themeColor="text1"/>
                <w:sz w:val="16"/>
                <w:szCs w:val="16"/>
              </w:rPr>
            </w:pPr>
            <w:r w:rsidRPr="00EC5041">
              <w:rPr>
                <w:iCs/>
                <w:color w:val="000000" w:themeColor="text1"/>
                <w:sz w:val="16"/>
                <w:szCs w:val="16"/>
              </w:rPr>
              <w:t>phosphate buffer</w:t>
            </w:r>
          </w:p>
          <w:p w:rsidR="0092704A" w:rsidRPr="00EC5041" w:rsidRDefault="0092704A" w:rsidP="000978E5">
            <w:pPr>
              <w:jc w:val="center"/>
              <w:rPr>
                <w:iCs/>
                <w:color w:val="000000" w:themeColor="text1"/>
                <w:sz w:val="16"/>
                <w:szCs w:val="16"/>
              </w:rPr>
            </w:pPr>
            <w:r w:rsidRPr="00EC5041">
              <w:rPr>
                <w:iCs/>
                <w:color w:val="000000" w:themeColor="text1"/>
                <w:sz w:val="16"/>
                <w:szCs w:val="16"/>
              </w:rPr>
              <w:t>2 mM NaN</w:t>
            </w:r>
            <w:r w:rsidRPr="00EC5041">
              <w:rPr>
                <w:iCs/>
                <w:color w:val="000000" w:themeColor="text1"/>
                <w:sz w:val="16"/>
                <w:szCs w:val="16"/>
                <w:vertAlign w:val="subscript"/>
              </w:rPr>
              <w:t>3</w:t>
            </w:r>
          </w:p>
        </w:tc>
        <w:tc>
          <w:tcPr>
            <w:tcW w:w="1013" w:type="dxa"/>
          </w:tcPr>
          <w:p w:rsidR="0092704A" w:rsidRPr="00EC5041" w:rsidRDefault="0092704A" w:rsidP="000978E5">
            <w:pPr>
              <w:jc w:val="center"/>
              <w:rPr>
                <w:iCs/>
                <w:color w:val="000000" w:themeColor="text1"/>
                <w:sz w:val="16"/>
                <w:szCs w:val="16"/>
              </w:rPr>
            </w:pPr>
            <w:r w:rsidRPr="006C2030">
              <w:rPr>
                <w:iCs/>
                <w:color w:val="000000" w:themeColor="text1"/>
                <w:sz w:val="16"/>
                <w:szCs w:val="16"/>
              </w:rPr>
              <w:t>26.85</w:t>
            </w:r>
          </w:p>
        </w:tc>
        <w:tc>
          <w:tcPr>
            <w:tcW w:w="1014" w:type="dxa"/>
          </w:tcPr>
          <w:p w:rsidR="0092704A" w:rsidRPr="00EC5041" w:rsidRDefault="0092704A" w:rsidP="000978E5">
            <w:pPr>
              <w:jc w:val="center"/>
              <w:rPr>
                <w:iCs/>
                <w:color w:val="000000" w:themeColor="text1"/>
                <w:sz w:val="16"/>
                <w:szCs w:val="16"/>
              </w:rPr>
            </w:pPr>
            <w:r w:rsidRPr="00EC5041">
              <w:rPr>
                <w:iCs/>
                <w:color w:val="000000" w:themeColor="text1"/>
                <w:sz w:val="16"/>
                <w:szCs w:val="16"/>
              </w:rPr>
              <w:t>NMR-MRD</w:t>
            </w:r>
          </w:p>
        </w:tc>
        <w:tc>
          <w:tcPr>
            <w:tcW w:w="524" w:type="dxa"/>
          </w:tcPr>
          <w:p w:rsidR="0092704A" w:rsidRPr="00EC5041" w:rsidRDefault="00040F10" w:rsidP="00512D09">
            <w:pPr>
              <w:jc w:val="center"/>
              <w:rPr>
                <w:iCs/>
                <w:color w:val="000000" w:themeColor="text1"/>
                <w:sz w:val="16"/>
                <w:szCs w:val="16"/>
              </w:rPr>
            </w:pPr>
            <w:hyperlink w:anchor="_ENREF_65" w:tooltip="Qvist, 2012 #221" w:history="1">
              <w:r w:rsidR="00512D09" w:rsidRPr="00EC5041">
                <w:rPr>
                  <w:iCs/>
                  <w:color w:val="000000" w:themeColor="text1"/>
                  <w:sz w:val="16"/>
                  <w:szCs w:val="16"/>
                </w:rPr>
                <w:fldChar w:fldCharType="begin"/>
              </w:r>
              <w:r w:rsidR="00512D09">
                <w:rPr>
                  <w:iCs/>
                  <w:color w:val="000000" w:themeColor="text1"/>
                  <w:sz w:val="16"/>
                  <w:szCs w:val="16"/>
                </w:rPr>
                <w:instrText xml:space="preserve"> ADDIN EN.CITE &lt;EndNote&gt;&lt;Cite&gt;&lt;Author&gt;Qvist&lt;/Author&gt;&lt;Year&gt;2012&lt;/Year&gt;&lt;RecNum&gt;221&lt;/RecNum&gt;&lt;DisplayText&gt;&lt;style face="superscript"&gt;65&lt;/style&gt;&lt;/DisplayText&gt;&lt;record&gt;&lt;rec-number&gt;221&lt;/rec-number&gt;&lt;foreign-keys&gt;&lt;key app="EN" db-id="5trrespwzsdr07efd5tx2w96x22re9s0fsdt"&gt;221&lt;/key&gt;&lt;/foreign-keys&gt;&lt;ref-type name="Journal Article"&gt;17&lt;/ref-type&gt;&lt;contributors&gt;&lt;authors&gt;&lt;author&gt;Qvist, Johan&lt;/author&gt;&lt;author&gt;Ortega, Gabriel&lt;/author&gt;&lt;author&gt;Tadeo, Xavier&lt;/author&gt;&lt;author&gt;Millet, Oscar&lt;/author&gt;&lt;author&gt;Halle, Bertil&lt;/author&gt;&lt;/authors&gt;&lt;/contributors&gt;&lt;titles&gt;&lt;title&gt;Hydration Dynamics of a Halophilic Protein in Folded and Unfolded States&lt;/title&gt;&lt;secondary-title&gt;Journal of Physical Chemistry B&lt;/secondary-title&gt;&lt;/titles&gt;&lt;periodical&gt;&lt;full-title&gt;Journal of Physical Chemistry B&lt;/full-title&gt;&lt;/periodical&gt;&lt;pages&gt;3436-3444&lt;/pages&gt;&lt;volume&gt;116&lt;/volume&gt;&lt;number&gt;10&lt;/number&gt;&lt;dates&gt;&lt;year&gt;2012&lt;/year&gt;&lt;pub-dates&gt;&lt;date&gt;Mar 15&lt;/date&gt;&lt;/pub-dates&gt;&lt;/dates&gt;&lt;isbn&gt;1520-6106&lt;/isbn&gt;&lt;accession-num&gt;WOS:000301509500041&lt;/accession-num&gt;&lt;urls&gt;&lt;related-urls&gt;&lt;url&gt;&amp;lt;Go to ISI&amp;gt;://WOS:000301509500041&lt;/url&gt;&lt;/related-urls&gt;&lt;/urls&gt;&lt;electronic-resource-num&gt;10.1021/jp3000569&lt;/electronic-resource-num&gt;&lt;/record&gt;&lt;/Cite&gt;&lt;/EndNote&gt;</w:instrText>
              </w:r>
              <w:r w:rsidR="00512D09" w:rsidRPr="00EC5041">
                <w:rPr>
                  <w:iCs/>
                  <w:color w:val="000000" w:themeColor="text1"/>
                  <w:sz w:val="16"/>
                  <w:szCs w:val="16"/>
                </w:rPr>
                <w:fldChar w:fldCharType="separate"/>
              </w:r>
              <w:r w:rsidR="00512D09" w:rsidRPr="00F04E2C">
                <w:rPr>
                  <w:iCs/>
                  <w:noProof/>
                  <w:color w:val="000000" w:themeColor="text1"/>
                  <w:sz w:val="16"/>
                  <w:szCs w:val="16"/>
                  <w:vertAlign w:val="superscript"/>
                </w:rPr>
                <w:t>65</w:t>
              </w:r>
              <w:r w:rsidR="00512D09" w:rsidRPr="00EC5041">
                <w:rPr>
                  <w:color w:val="000000" w:themeColor="text1"/>
                  <w:sz w:val="16"/>
                  <w:szCs w:val="16"/>
                </w:rPr>
                <w:fldChar w:fldCharType="end"/>
              </w:r>
            </w:hyperlink>
          </w:p>
        </w:tc>
      </w:tr>
      <w:tr w:rsidR="0092704A" w:rsidRPr="00EC5041" w:rsidTr="000978E5">
        <w:trPr>
          <w:trHeight w:val="1183"/>
        </w:trPr>
        <w:tc>
          <w:tcPr>
            <w:tcW w:w="1013" w:type="dxa"/>
            <w:tcBorders>
              <w:bottom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Protein L</w:t>
            </w:r>
          </w:p>
          <w:p w:rsidR="0092704A" w:rsidRPr="00EC5041" w:rsidRDefault="0092704A" w:rsidP="000978E5">
            <w:pPr>
              <w:jc w:val="center"/>
              <w:rPr>
                <w:iCs/>
                <w:color w:val="000000" w:themeColor="text1"/>
                <w:sz w:val="16"/>
                <w:szCs w:val="16"/>
              </w:rPr>
            </w:pPr>
            <w:r w:rsidRPr="00EC5041">
              <w:rPr>
                <w:iCs/>
                <w:color w:val="000000" w:themeColor="text1"/>
                <w:sz w:val="16"/>
                <w:szCs w:val="16"/>
              </w:rPr>
              <w:t>(Kx6E)</w:t>
            </w:r>
          </w:p>
        </w:tc>
        <w:tc>
          <w:tcPr>
            <w:tcW w:w="1014" w:type="dxa"/>
            <w:tcBorders>
              <w:bottom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2.26 ns</w:t>
            </w:r>
          </w:p>
        </w:tc>
        <w:tc>
          <w:tcPr>
            <w:tcW w:w="1014" w:type="dxa"/>
            <w:tcBorders>
              <w:bottom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NR</w:t>
            </w:r>
          </w:p>
        </w:tc>
        <w:tc>
          <w:tcPr>
            <w:tcW w:w="895" w:type="dxa"/>
            <w:tcBorders>
              <w:bottom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NR</w:t>
            </w:r>
          </w:p>
        </w:tc>
        <w:tc>
          <w:tcPr>
            <w:tcW w:w="1134" w:type="dxa"/>
            <w:tcBorders>
              <w:bottom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water</w:t>
            </w:r>
          </w:p>
          <w:p w:rsidR="0092704A" w:rsidRPr="00EC5041" w:rsidRDefault="0092704A" w:rsidP="000978E5">
            <w:pPr>
              <w:jc w:val="center"/>
              <w:rPr>
                <w:iCs/>
                <w:color w:val="000000" w:themeColor="text1"/>
                <w:sz w:val="16"/>
                <w:szCs w:val="16"/>
              </w:rPr>
            </w:pPr>
            <w:r w:rsidRPr="00EC5041">
              <w:rPr>
                <w:iCs/>
                <w:color w:val="000000" w:themeColor="text1"/>
                <w:sz w:val="16"/>
                <w:szCs w:val="16"/>
              </w:rPr>
              <w:t>enriched to 21% in</w:t>
            </w:r>
          </w:p>
          <w:p w:rsidR="0092704A" w:rsidRPr="00EC5041" w:rsidRDefault="0092704A" w:rsidP="000978E5">
            <w:pPr>
              <w:jc w:val="center"/>
              <w:rPr>
                <w:iCs/>
                <w:color w:val="000000" w:themeColor="text1"/>
                <w:sz w:val="16"/>
                <w:szCs w:val="16"/>
                <w:vertAlign w:val="superscript"/>
              </w:rPr>
            </w:pPr>
            <w:r w:rsidRPr="00EC5041">
              <w:rPr>
                <w:iCs/>
                <w:color w:val="000000" w:themeColor="text1"/>
                <w:sz w:val="16"/>
                <w:szCs w:val="16"/>
                <w:vertAlign w:val="superscript"/>
              </w:rPr>
              <w:t>17</w:t>
            </w:r>
            <w:r w:rsidRPr="00EC5041">
              <w:rPr>
                <w:iCs/>
                <w:color w:val="000000" w:themeColor="text1"/>
                <w:sz w:val="16"/>
                <w:szCs w:val="16"/>
              </w:rPr>
              <w:t>O</w:t>
            </w:r>
          </w:p>
          <w:p w:rsidR="0092704A" w:rsidRPr="00EC5041" w:rsidRDefault="0092704A" w:rsidP="000978E5">
            <w:pPr>
              <w:jc w:val="center"/>
              <w:rPr>
                <w:iCs/>
                <w:color w:val="000000" w:themeColor="text1"/>
                <w:sz w:val="16"/>
                <w:szCs w:val="16"/>
              </w:rPr>
            </w:pPr>
            <w:r w:rsidRPr="00EC5041">
              <w:rPr>
                <w:iCs/>
                <w:color w:val="000000" w:themeColor="text1"/>
                <w:sz w:val="16"/>
                <w:szCs w:val="16"/>
              </w:rPr>
              <w:t>phosphate buffer</w:t>
            </w:r>
          </w:p>
          <w:p w:rsidR="0092704A" w:rsidRPr="00EC5041" w:rsidRDefault="0092704A" w:rsidP="000978E5">
            <w:pPr>
              <w:jc w:val="center"/>
              <w:rPr>
                <w:iCs/>
                <w:color w:val="000000" w:themeColor="text1"/>
                <w:sz w:val="16"/>
                <w:szCs w:val="16"/>
              </w:rPr>
            </w:pPr>
            <w:r w:rsidRPr="00EC5041">
              <w:rPr>
                <w:iCs/>
                <w:color w:val="000000" w:themeColor="text1"/>
                <w:sz w:val="16"/>
                <w:szCs w:val="16"/>
              </w:rPr>
              <w:t>2 mM NaN</w:t>
            </w:r>
            <w:r w:rsidRPr="00EC5041">
              <w:rPr>
                <w:iCs/>
                <w:color w:val="000000" w:themeColor="text1"/>
                <w:sz w:val="16"/>
                <w:szCs w:val="16"/>
                <w:vertAlign w:val="subscript"/>
              </w:rPr>
              <w:t>3</w:t>
            </w:r>
          </w:p>
          <w:p w:rsidR="0092704A" w:rsidRPr="00EC5041" w:rsidRDefault="0092704A" w:rsidP="000978E5">
            <w:pPr>
              <w:jc w:val="center"/>
              <w:rPr>
                <w:iCs/>
                <w:color w:val="000000" w:themeColor="text1"/>
                <w:sz w:val="16"/>
                <w:szCs w:val="16"/>
              </w:rPr>
            </w:pPr>
          </w:p>
        </w:tc>
        <w:tc>
          <w:tcPr>
            <w:tcW w:w="1013" w:type="dxa"/>
            <w:tcBorders>
              <w:bottom w:val="single" w:sz="4" w:space="0" w:color="auto"/>
            </w:tcBorders>
          </w:tcPr>
          <w:p w:rsidR="0092704A" w:rsidRPr="00EC5041" w:rsidRDefault="0092704A" w:rsidP="000978E5">
            <w:pPr>
              <w:jc w:val="center"/>
              <w:rPr>
                <w:iCs/>
                <w:color w:val="000000" w:themeColor="text1"/>
                <w:sz w:val="16"/>
                <w:szCs w:val="16"/>
              </w:rPr>
            </w:pPr>
            <w:r w:rsidRPr="006C2030">
              <w:rPr>
                <w:iCs/>
                <w:color w:val="000000" w:themeColor="text1"/>
                <w:sz w:val="16"/>
                <w:szCs w:val="16"/>
              </w:rPr>
              <w:t>26.85</w:t>
            </w:r>
          </w:p>
        </w:tc>
        <w:tc>
          <w:tcPr>
            <w:tcW w:w="1014" w:type="dxa"/>
            <w:tcBorders>
              <w:bottom w:val="single" w:sz="4" w:space="0" w:color="auto"/>
            </w:tcBorders>
          </w:tcPr>
          <w:p w:rsidR="0092704A" w:rsidRPr="00EC5041" w:rsidRDefault="0092704A" w:rsidP="000978E5">
            <w:pPr>
              <w:jc w:val="center"/>
              <w:rPr>
                <w:iCs/>
                <w:color w:val="000000" w:themeColor="text1"/>
                <w:sz w:val="16"/>
                <w:szCs w:val="16"/>
              </w:rPr>
            </w:pPr>
            <w:r w:rsidRPr="00EC5041">
              <w:rPr>
                <w:iCs/>
                <w:color w:val="000000" w:themeColor="text1"/>
                <w:sz w:val="16"/>
                <w:szCs w:val="16"/>
              </w:rPr>
              <w:t>NMR-MRD</w:t>
            </w:r>
          </w:p>
        </w:tc>
        <w:tc>
          <w:tcPr>
            <w:tcW w:w="524" w:type="dxa"/>
            <w:tcBorders>
              <w:bottom w:val="single" w:sz="4" w:space="0" w:color="auto"/>
            </w:tcBorders>
          </w:tcPr>
          <w:p w:rsidR="0092704A" w:rsidRPr="00EC5041" w:rsidRDefault="00040F10" w:rsidP="00512D09">
            <w:pPr>
              <w:jc w:val="center"/>
              <w:rPr>
                <w:iCs/>
                <w:color w:val="000000" w:themeColor="text1"/>
                <w:sz w:val="16"/>
                <w:szCs w:val="16"/>
              </w:rPr>
            </w:pPr>
            <w:hyperlink w:anchor="_ENREF_65" w:tooltip="Qvist, 2012 #221" w:history="1">
              <w:r w:rsidR="00512D09" w:rsidRPr="00EC5041">
                <w:rPr>
                  <w:iCs/>
                  <w:color w:val="000000" w:themeColor="text1"/>
                  <w:sz w:val="16"/>
                  <w:szCs w:val="16"/>
                </w:rPr>
                <w:fldChar w:fldCharType="begin"/>
              </w:r>
              <w:r w:rsidR="00512D09">
                <w:rPr>
                  <w:iCs/>
                  <w:color w:val="000000" w:themeColor="text1"/>
                  <w:sz w:val="16"/>
                  <w:szCs w:val="16"/>
                </w:rPr>
                <w:instrText xml:space="preserve"> ADDIN EN.CITE &lt;EndNote&gt;&lt;Cite&gt;&lt;Author&gt;Qvist&lt;/Author&gt;&lt;Year&gt;2012&lt;/Year&gt;&lt;RecNum&gt;221&lt;/RecNum&gt;&lt;DisplayText&gt;&lt;style face="superscript"&gt;65&lt;/style&gt;&lt;/DisplayText&gt;&lt;record&gt;&lt;rec-number&gt;221&lt;/rec-number&gt;&lt;foreign-keys&gt;&lt;key app="EN" db-id="5trrespwzsdr07efd5tx2w96x22re9s0fsdt"&gt;221&lt;/key&gt;&lt;/foreign-keys&gt;&lt;ref-type name="Journal Article"&gt;17&lt;/ref-type&gt;&lt;contributors&gt;&lt;authors&gt;&lt;author&gt;Qvist, Johan&lt;/author&gt;&lt;author&gt;Ortega, Gabriel&lt;/author&gt;&lt;author&gt;Tadeo, Xavier&lt;/author&gt;&lt;author&gt;Millet, Oscar&lt;/author&gt;&lt;author&gt;Halle, Bertil&lt;/author&gt;&lt;/authors&gt;&lt;/contributors&gt;&lt;titles&gt;&lt;title&gt;Hydration Dynamics of a Halophilic Protein in Folded and Unfolded States&lt;/title&gt;&lt;secondary-title&gt;Journal of Physical Chemistry B&lt;/secondary-title&gt;&lt;/titles&gt;&lt;periodical&gt;&lt;full-title&gt;Journal of Physical Chemistry B&lt;/full-title&gt;&lt;/periodical&gt;&lt;pages&gt;3436-3444&lt;/pages&gt;&lt;volume&gt;116&lt;/volume&gt;&lt;number&gt;10&lt;/number&gt;&lt;dates&gt;&lt;year&gt;2012&lt;/year&gt;&lt;pub-dates&gt;&lt;date&gt;Mar 15&lt;/date&gt;&lt;/pub-dates&gt;&lt;/dates&gt;&lt;isbn&gt;1520-6106&lt;/isbn&gt;&lt;accession-num&gt;WOS:000301509500041&lt;/accession-num&gt;&lt;urls&gt;&lt;related-urls&gt;&lt;url&gt;&amp;lt;Go to ISI&amp;gt;://WOS:000301509500041&lt;/url&gt;&lt;/related-urls&gt;&lt;/urls&gt;&lt;electronic-resource-num&gt;10.1021/jp3000569&lt;/electronic-resource-num&gt;&lt;/record&gt;&lt;/Cite&gt;&lt;/EndNote&gt;</w:instrText>
              </w:r>
              <w:r w:rsidR="00512D09" w:rsidRPr="00EC5041">
                <w:rPr>
                  <w:iCs/>
                  <w:color w:val="000000" w:themeColor="text1"/>
                  <w:sz w:val="16"/>
                  <w:szCs w:val="16"/>
                </w:rPr>
                <w:fldChar w:fldCharType="separate"/>
              </w:r>
              <w:r w:rsidR="00512D09" w:rsidRPr="00F04E2C">
                <w:rPr>
                  <w:iCs/>
                  <w:noProof/>
                  <w:color w:val="000000" w:themeColor="text1"/>
                  <w:sz w:val="16"/>
                  <w:szCs w:val="16"/>
                  <w:vertAlign w:val="superscript"/>
                </w:rPr>
                <w:t>65</w:t>
              </w:r>
              <w:r w:rsidR="00512D09" w:rsidRPr="00EC5041">
                <w:rPr>
                  <w:color w:val="000000" w:themeColor="text1"/>
                  <w:sz w:val="16"/>
                  <w:szCs w:val="16"/>
                </w:rPr>
                <w:fldChar w:fldCharType="end"/>
              </w:r>
            </w:hyperlink>
          </w:p>
        </w:tc>
      </w:tr>
    </w:tbl>
    <w:p w:rsidR="0092704A" w:rsidRDefault="0092704A" w:rsidP="00217116">
      <w:pPr>
        <w:spacing w:line="480" w:lineRule="auto"/>
        <w:jc w:val="both"/>
        <w:rPr>
          <w:bCs/>
        </w:rPr>
      </w:pPr>
    </w:p>
    <w:p w:rsidR="0077575C" w:rsidRPr="00FB39B7" w:rsidRDefault="00454522" w:rsidP="00FB39B7">
      <w:pPr>
        <w:spacing w:line="480" w:lineRule="auto"/>
        <w:jc w:val="both"/>
      </w:pPr>
      <w:r>
        <w:rPr>
          <w:bCs/>
        </w:rPr>
        <w:lastRenderedPageBreak/>
        <w:t xml:space="preserve">In line with the </w:t>
      </w:r>
      <w:r w:rsidR="007C1E6F">
        <w:rPr>
          <w:bCs/>
        </w:rPr>
        <w:t>findings by Whitesides’ and Homan</w:t>
      </w:r>
      <w:r>
        <w:rPr>
          <w:bCs/>
        </w:rPr>
        <w:t xml:space="preserve">s’ groups that it is highly unfavourable for water to be found in apolar cavities </w:t>
      </w:r>
      <w:r w:rsidR="00965B7D" w:rsidRPr="00454522">
        <w:rPr>
          <w:bCs/>
          <w:iCs/>
        </w:rPr>
        <w:t xml:space="preserve">Qvist </w:t>
      </w:r>
      <w:r w:rsidR="002D4FF8">
        <w:rPr>
          <w:bCs/>
          <w:i/>
          <w:iCs/>
        </w:rPr>
        <w:t xml:space="preserve">et al. </w:t>
      </w:r>
      <w:r w:rsidR="00965B7D" w:rsidRPr="00454522">
        <w:rPr>
          <w:bCs/>
          <w:iCs/>
        </w:rPr>
        <w:t xml:space="preserve"> used MRD NMR to show there was no water present with nanosecond residence times or longer for the 315 Å</w:t>
      </w:r>
      <w:r w:rsidR="00965B7D" w:rsidRPr="00454522">
        <w:rPr>
          <w:bCs/>
          <w:iCs/>
          <w:vertAlign w:val="superscript"/>
        </w:rPr>
        <w:t>3</w:t>
      </w:r>
      <w:r w:rsidR="00965B7D" w:rsidRPr="00454522">
        <w:rPr>
          <w:bCs/>
          <w:iCs/>
        </w:rPr>
        <w:t xml:space="preserve"> bovine apo β-lactoglobulin binding cavity. Using MDS they argued that it was entropically unfavourable for water to be present within this binding site due to the highly linear hydrogen bonds formed between the proposed waters</w:t>
      </w:r>
      <w:r w:rsidR="00C82662">
        <w:rPr>
          <w:bCs/>
          <w:iCs/>
        </w:rPr>
        <w:t>.</w:t>
      </w:r>
      <w:r w:rsidR="00965B7D" w:rsidRPr="00454522">
        <w:rPr>
          <w:bCs/>
          <w:iCs/>
        </w:rPr>
        <w:t xml:space="preserve"> </w:t>
      </w:r>
      <w:hyperlink w:anchor="_ENREF_67" w:tooltip="Qvist, 2008 #229" w:history="1">
        <w:r w:rsidR="00512D09" w:rsidRPr="00454522">
          <w:rPr>
            <w:bCs/>
            <w:iCs/>
          </w:rPr>
          <w:fldChar w:fldCharType="begin"/>
        </w:r>
        <w:r w:rsidR="00512D09">
          <w:rPr>
            <w:bCs/>
            <w:iCs/>
          </w:rPr>
          <w:instrText xml:space="preserve"> ADDIN EN.CITE &lt;EndNote&gt;&lt;Cite&gt;&lt;Author&gt;Qvist&lt;/Author&gt;&lt;Year&gt;2008&lt;/Year&gt;&lt;RecNum&gt;229&lt;/RecNum&gt;&lt;DisplayText&gt;&lt;style face="superscript"&gt;67&lt;/style&gt;&lt;/DisplayText&gt;&lt;record&gt;&lt;rec-number&gt;229&lt;/rec-number&gt;&lt;foreign-keys&gt;&lt;key app="EN" db-id="5trrespwzsdr07efd5tx2w96x22re9s0fsdt"&gt;229&lt;/key&gt;&lt;/foreign-keys&gt;&lt;ref-type name="Journal Article"&gt;17&lt;/ref-type&gt;&lt;contributors&gt;&lt;authors&gt;&lt;author&gt;Qvist, Johan&lt;/author&gt;&lt;author&gt;Davidovic, Monika&lt;/author&gt;&lt;author&gt;Hamelberg, Donald&lt;/author&gt;&lt;author&gt;Halle, Bertil&lt;/author&gt;&lt;/authors&gt;&lt;/contributors&gt;&lt;titles&gt;&lt;title&gt;A dry ligand-binding cavity in a solvated protein&lt;/title&gt;&lt;secondary-title&gt;Proceedings of the National Academy of Sciences&lt;/secondary-title&gt;&lt;/titles&gt;&lt;periodical&gt;&lt;full-title&gt;Proceedings of the National Academy of Sciences&lt;/full-title&gt;&lt;/periodical&gt;&lt;pages&gt;6296-6301&lt;/pages&gt;&lt;volume&gt;105&lt;/volume&gt;&lt;number&gt;17&lt;/number&gt;&lt;dates&gt;&lt;year&gt;2008&lt;/year&gt;&lt;pub-dates&gt;&lt;date&gt;April 29, 2008&lt;/date&gt;&lt;/pub-dates&gt;&lt;/dates&gt;&lt;urls&gt;&lt;related-urls&gt;&lt;url&gt;http://www.pnas.org/content/105/17/6296.abstract&lt;/url&gt;&lt;/related-urls&gt;&lt;/urls&gt;&lt;electronic-resource-num&gt;10.1073/pnas.0709844105&lt;/electronic-resource-num&gt;&lt;/record&gt;&lt;/Cite&gt;&lt;/EndNote&gt;</w:instrText>
        </w:r>
        <w:r w:rsidR="00512D09" w:rsidRPr="00454522">
          <w:rPr>
            <w:bCs/>
            <w:iCs/>
          </w:rPr>
          <w:fldChar w:fldCharType="separate"/>
        </w:r>
        <w:r w:rsidR="00512D09" w:rsidRPr="00F04E2C">
          <w:rPr>
            <w:bCs/>
            <w:iCs/>
            <w:noProof/>
            <w:vertAlign w:val="superscript"/>
          </w:rPr>
          <w:t>67</w:t>
        </w:r>
        <w:r w:rsidR="00512D09" w:rsidRPr="00454522">
          <w:fldChar w:fldCharType="end"/>
        </w:r>
      </w:hyperlink>
    </w:p>
    <w:p w:rsidR="00965B7D" w:rsidRDefault="007C062D" w:rsidP="00514313">
      <w:pPr>
        <w:pStyle w:val="Heading2"/>
      </w:pPr>
      <w:bookmarkStart w:id="37" w:name="_Toc376614240"/>
      <w:bookmarkStart w:id="38" w:name="_Toc459130662"/>
      <w:r>
        <w:t>E</w:t>
      </w:r>
      <w:r w:rsidR="0053318E">
        <w:t>xtended Frequency Range Depolarised Light S</w:t>
      </w:r>
      <w:r w:rsidRPr="007C062D">
        <w:t>cattering (</w:t>
      </w:r>
      <w:r w:rsidR="00965B7D" w:rsidRPr="00965B7D">
        <w:t>EDLS</w:t>
      </w:r>
      <w:bookmarkEnd w:id="37"/>
      <w:r w:rsidRPr="007C062D">
        <w:t>)</w:t>
      </w:r>
      <w:bookmarkEnd w:id="38"/>
    </w:p>
    <w:p w:rsidR="0077575C" w:rsidRPr="0077575C" w:rsidRDefault="0077575C" w:rsidP="0077575C"/>
    <w:p w:rsidR="00965B7D" w:rsidRDefault="00965B7D" w:rsidP="00217116">
      <w:pPr>
        <w:spacing w:line="480" w:lineRule="auto"/>
        <w:jc w:val="both"/>
      </w:pPr>
      <w:r w:rsidRPr="00965B7D">
        <w:t xml:space="preserve">The </w:t>
      </w:r>
      <w:r w:rsidR="000656A7" w:rsidRPr="00965B7D">
        <w:t xml:space="preserve">extended frequency range depolarised light scattering </w:t>
      </w:r>
      <w:r w:rsidRPr="00965B7D">
        <w:t>(EDLS) technique can give information about hydration dynamics and spatiality on a picosecond time scale</w:t>
      </w:r>
      <w:r w:rsidR="00C82662">
        <w:t>.</w:t>
      </w:r>
      <w:r w:rsidRPr="00965B7D">
        <w:t xml:space="preserve"> </w:t>
      </w:r>
      <w:r w:rsidR="0075172E" w:rsidRPr="00965B7D">
        <w:fldChar w:fldCharType="begin">
          <w:fldData xml:space="preserve">PEVuZE5vdGU+PENpdGU+PEF1dGhvcj5Db21lejwvQXV0aG9yPjxZZWFyPjIwMTM8L1llYXI+PFJl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</w:fldData>
        </w:fldChar>
      </w:r>
      <w:r w:rsidR="00F04E2C">
        <w:instrText xml:space="preserve"> ADDIN EN.CITE </w:instrText>
      </w:r>
      <w:r w:rsidR="0075172E">
        <w:fldChar w:fldCharType="begin">
          <w:fldData xml:space="preserve">PEVuZE5vdGU+PENpdGU+PEF1dGhvcj5Db21lejwvQXV0aG9yPjxZZWFyPjIwMTM8L1llYXI+PFJl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</w:fldData>
        </w:fldChar>
      </w:r>
      <w:r w:rsidR="00F04E2C">
        <w:instrText xml:space="preserve"> ADDIN EN.CITE.DATA </w:instrText>
      </w:r>
      <w:r w:rsidR="0075172E">
        <w:fldChar w:fldCharType="end"/>
      </w:r>
      <w:r w:rsidR="0075172E" w:rsidRPr="00965B7D">
        <w:fldChar w:fldCharType="separate"/>
      </w:r>
      <w:hyperlink w:anchor="_ENREF_68" w:tooltip="Comez, 2013 #290" w:history="1">
        <w:r w:rsidR="00512D09" w:rsidRPr="00F04E2C">
          <w:rPr>
            <w:noProof/>
            <w:vertAlign w:val="superscript"/>
          </w:rPr>
          <w:t>68</w:t>
        </w:r>
      </w:hyperlink>
      <w:r w:rsidR="00F04E2C" w:rsidRPr="00F04E2C">
        <w:rPr>
          <w:noProof/>
          <w:vertAlign w:val="superscript"/>
        </w:rPr>
        <w:t>,</w:t>
      </w:r>
      <w:hyperlink w:anchor="_ENREF_69" w:tooltip="Perticaroli, 2011 #291" w:history="1">
        <w:r w:rsidR="00512D09" w:rsidRPr="00F04E2C">
          <w:rPr>
            <w:noProof/>
            <w:vertAlign w:val="superscript"/>
          </w:rPr>
          <w:t>69</w:t>
        </w:r>
      </w:hyperlink>
      <w:r w:rsidR="0075172E" w:rsidRPr="00965B7D">
        <w:fldChar w:fldCharType="end"/>
      </w:r>
      <w:r w:rsidRPr="00965B7D">
        <w:t xml:space="preserve">  Comez </w:t>
      </w:r>
      <w:r w:rsidRPr="00965B7D">
        <w:rPr>
          <w:i/>
        </w:rPr>
        <w:t>et al</w:t>
      </w:r>
      <w:r w:rsidR="00856772">
        <w:rPr>
          <w:i/>
        </w:rPr>
        <w:t>.</w:t>
      </w:r>
      <w:r w:rsidRPr="00965B7D">
        <w:t xml:space="preserve"> investigated the hydration dynamics caused by molecules with differing chemistry and structure to argue that using peptides, amino acids, hydrophobic particles and sugars is insufficient to understand protein hydration. The suggestion put forward was that the interaction of water with proteins is a summation of all its parts; and so cannot be simply be broken down into simple systems</w:t>
      </w:r>
      <w:r w:rsidR="00C82662">
        <w:t>.</w:t>
      </w:r>
      <w:r w:rsidRPr="00965B7D">
        <w:t xml:space="preserve"> </w:t>
      </w:r>
      <w:hyperlink w:anchor="_ENREF_68" w:tooltip="Comez, 2013 #290" w:history="1">
        <w:r w:rsidR="00512D09" w:rsidRPr="00965B7D">
          <w:fldChar w:fldCharType="begin"/>
        </w:r>
        <w:r w:rsidR="00512D09">
          <w:instrText xml:space="preserve"> ADDIN EN.CITE &lt;EndNote&gt;&lt;Cite&gt;&lt;Author&gt;Comez&lt;/Author&gt;&lt;Year&gt;2013&lt;/Year&gt;&lt;RecNum&gt;290&lt;/RecNum&gt;&lt;DisplayText&gt;&lt;style face="superscript"&gt;68&lt;/style&gt;&lt;/DisplayText&gt;&lt;record&gt;&lt;rec-number&gt;290&lt;/rec-number&gt;&lt;foreign-keys&gt;&lt;key app="EN" db-id="5trrespwzsdr07efd5tx2w96x22re9s0fsdt"&gt;290&lt;/key&gt;&lt;/foreign-keys&gt;&lt;ref-type name="Journal Article"&gt;17&lt;/ref-type&gt;&lt;contributors&gt;&lt;authors&gt;&lt;author&gt;Comez, Lucia&lt;/author&gt;&lt;author&gt;Lupi, Laura&lt;/author&gt;&lt;author&gt;Morresi, Assunta&lt;/author&gt;&lt;author&gt;Paolantoni, Marco&lt;/author&gt;&lt;author&gt;Sassi, Paola&lt;/author&gt;&lt;author&gt;Fioretto, Daniele&lt;/author&gt;&lt;/authors&gt;&lt;/contributors&gt;&lt;titles&gt;&lt;title&gt;More Is Different: Experimental Results on the Effect of Biomolecules on the Dynamics of Hydration Water&lt;/title&gt;&lt;secondary-title&gt;The Journal of Physical Chemistry Letters&lt;/secondary-title&gt;&lt;/titles&gt;&lt;periodical&gt;&lt;full-title&gt;The Journal of Physical Chemistry Letters&lt;/full-title&gt;&lt;/periodical&gt;&lt;pages&gt;1188-1192&lt;/pages&gt;&lt;volume&gt;4&lt;/volume&gt;&lt;number&gt;7&lt;/number&gt;&lt;dates&gt;&lt;year&gt;2013&lt;/year&gt;&lt;pub-dates&gt;&lt;date&gt;2013/04/04&lt;/date&gt;&lt;/pub-dates&gt;&lt;/dates&gt;&lt;publisher&gt;American Chemical Society&lt;/publisher&gt;&lt;isbn&gt;1948-7185&lt;/isbn&gt;&lt;urls&gt;&lt;related-urls&gt;&lt;url&gt;http://dx.doi.org/10.1021/jz400360v&lt;/url&gt;&lt;/related-urls&gt;&lt;/urls&gt;&lt;electronic-resource-num&gt;10.1021/jz400360v&lt;/electronic-resource-num&gt;&lt;access-date&gt;2013/12/21&lt;/access-date&gt;&lt;/record&gt;&lt;/Cite&gt;&lt;/EndNote&gt;</w:instrText>
        </w:r>
        <w:r w:rsidR="00512D09" w:rsidRPr="00965B7D">
          <w:fldChar w:fldCharType="separate"/>
        </w:r>
        <w:r w:rsidR="00512D09" w:rsidRPr="00F04E2C">
          <w:rPr>
            <w:noProof/>
            <w:vertAlign w:val="superscript"/>
          </w:rPr>
          <w:t>68</w:t>
        </w:r>
        <w:r w:rsidR="00512D09" w:rsidRPr="00965B7D">
          <w:fldChar w:fldCharType="end"/>
        </w:r>
      </w:hyperlink>
      <w:r w:rsidRPr="00965B7D">
        <w:t xml:space="preserve"> The results found by Comez </w:t>
      </w:r>
      <w:r w:rsidR="002D4FF8">
        <w:rPr>
          <w:i/>
        </w:rPr>
        <w:t xml:space="preserve">et al. </w:t>
      </w:r>
      <w:r w:rsidR="0092704A">
        <w:t>on protein hydration</w:t>
      </w:r>
      <w:r w:rsidRPr="00965B7D">
        <w:t xml:space="preserve"> can be seen in</w:t>
      </w:r>
      <w:r w:rsidR="0092704A">
        <w:t xml:space="preserve"> Table 1.7</w:t>
      </w:r>
      <w:r w:rsidRPr="00965B7D">
        <w:t xml:space="preserve">, whilst the work done with </w:t>
      </w:r>
      <w:r w:rsidR="0092704A">
        <w:t>small molecules</w:t>
      </w:r>
      <w:r w:rsidRPr="00965B7D">
        <w:t xml:space="preserve"> can be seen </w:t>
      </w:r>
      <w:r w:rsidRPr="009E32BC">
        <w:rPr>
          <w:color w:val="000000" w:themeColor="text1"/>
        </w:rPr>
        <w:t>in</w:t>
      </w:r>
      <w:r w:rsidR="009E32BC" w:rsidRPr="009E32BC">
        <w:rPr>
          <w:color w:val="000000" w:themeColor="text1"/>
        </w:rPr>
        <w:t xml:space="preserve"> </w:t>
      </w:r>
      <w:r w:rsidR="0092704A">
        <w:t>Table 1.8</w:t>
      </w:r>
      <w:r w:rsidRPr="009E32BC">
        <w:rPr>
          <w:color w:val="000000" w:themeColor="text1"/>
        </w:rPr>
        <w:t>.</w:t>
      </w:r>
      <w:r w:rsidRPr="00965B7D">
        <w:t xml:space="preserve"> </w:t>
      </w:r>
    </w:p>
    <w:p w:rsidR="00514313" w:rsidRDefault="008C74E7" w:rsidP="00FB39B7">
      <w:pPr>
        <w:spacing w:line="480" w:lineRule="auto"/>
        <w:jc w:val="both"/>
      </w:pPr>
      <w:r>
        <w:t xml:space="preserve">Grunwald’s and Steel’s idea that EEC could be explained by solute induced molar shifts of water could be </w:t>
      </w:r>
      <w:r w:rsidR="00204E8E">
        <w:t xml:space="preserve">partly </w:t>
      </w:r>
      <w:r>
        <w:t>correct given that numerous te</w:t>
      </w:r>
      <w:r w:rsidR="00D4574F">
        <w:t xml:space="preserve">chniques show that the physical and chemical properties of water are </w:t>
      </w:r>
      <w:r w:rsidR="007C1E6F">
        <w:t>affected</w:t>
      </w:r>
      <w:r w:rsidR="00D4574F">
        <w:t xml:space="preserve"> by protein structure and amino acid composition. But </w:t>
      </w:r>
      <w:r w:rsidR="00204E8E">
        <w:t xml:space="preserve">using a two state model to explain hydration seems </w:t>
      </w:r>
      <w:r w:rsidR="00C82662">
        <w:t>inaccurate</w:t>
      </w:r>
      <w:r w:rsidR="00204E8E">
        <w:t>. The hydration shell represents a complex int</w:t>
      </w:r>
      <w:r w:rsidR="006010D9">
        <w:t xml:space="preserve">erplay of water molecules. It seems that drug design efforts could therefore be improved with a better knowledge of the protein hydration layers. </w:t>
      </w:r>
    </w:p>
    <w:p w:rsidR="0092704A" w:rsidRDefault="0092704A" w:rsidP="00FB39B7">
      <w:pPr>
        <w:spacing w:line="480" w:lineRule="auto"/>
        <w:jc w:val="both"/>
      </w:pPr>
    </w:p>
    <w:p w:rsidR="0092704A" w:rsidRPr="00965B7D" w:rsidRDefault="0092704A" w:rsidP="00FB39B7">
      <w:pPr>
        <w:spacing w:line="480" w:lineRule="auto"/>
        <w:jc w:val="both"/>
      </w:pPr>
    </w:p>
    <w:p w:rsidR="00965B7D" w:rsidRPr="009E32BC" w:rsidRDefault="0092704A" w:rsidP="0092704A">
      <w:pPr>
        <w:pStyle w:val="Caption"/>
        <w:spacing w:line="480" w:lineRule="auto"/>
        <w:jc w:val="center"/>
        <w:rPr>
          <w:bCs w:val="0"/>
          <w:color w:val="548DD4" w:themeColor="text2" w:themeTint="99"/>
          <w:sz w:val="16"/>
          <w:szCs w:val="16"/>
        </w:rPr>
      </w:pPr>
      <w:r>
        <w:rPr>
          <w:color w:val="548DD4" w:themeColor="text2" w:themeTint="99"/>
          <w:sz w:val="16"/>
          <w:szCs w:val="16"/>
        </w:rPr>
        <w:lastRenderedPageBreak/>
        <w:t xml:space="preserve">Table </w:t>
      </w:r>
      <w:r w:rsidR="0075172E">
        <w:rPr>
          <w:color w:val="548DD4" w:themeColor="text2" w:themeTint="99"/>
          <w:sz w:val="16"/>
          <w:szCs w:val="16"/>
        </w:rPr>
        <w:fldChar w:fldCharType="begin"/>
      </w:r>
      <w:r w:rsidR="00EB1DC7">
        <w:rPr>
          <w:color w:val="548DD4" w:themeColor="text2" w:themeTint="99"/>
          <w:sz w:val="16"/>
          <w:szCs w:val="16"/>
        </w:rPr>
        <w:instrText xml:space="preserve"> STYLEREF 1 \s </w:instrText>
      </w:r>
      <w:r w:rsidR="0075172E">
        <w:rPr>
          <w:color w:val="548DD4" w:themeColor="text2" w:themeTint="99"/>
          <w:sz w:val="16"/>
          <w:szCs w:val="16"/>
        </w:rPr>
        <w:fldChar w:fldCharType="separate"/>
      </w:r>
      <w:r w:rsidR="00CB4EDC">
        <w:rPr>
          <w:noProof/>
          <w:color w:val="548DD4" w:themeColor="text2" w:themeTint="99"/>
          <w:sz w:val="16"/>
          <w:szCs w:val="16"/>
        </w:rPr>
        <w:t>1</w:t>
      </w:r>
      <w:r w:rsidR="0075172E">
        <w:rPr>
          <w:color w:val="548DD4" w:themeColor="text2" w:themeTint="99"/>
          <w:sz w:val="16"/>
          <w:szCs w:val="16"/>
        </w:rPr>
        <w:fldChar w:fldCharType="end"/>
      </w:r>
      <w:r w:rsidR="00EB1DC7">
        <w:rPr>
          <w:color w:val="548DD4" w:themeColor="text2" w:themeTint="99"/>
          <w:sz w:val="16"/>
          <w:szCs w:val="16"/>
        </w:rPr>
        <w:t>.</w:t>
      </w:r>
      <w:r w:rsidR="0075172E">
        <w:rPr>
          <w:color w:val="548DD4" w:themeColor="text2" w:themeTint="99"/>
          <w:sz w:val="16"/>
          <w:szCs w:val="16"/>
        </w:rPr>
        <w:fldChar w:fldCharType="begin"/>
      </w:r>
      <w:r w:rsidR="00EB1DC7">
        <w:rPr>
          <w:color w:val="548DD4" w:themeColor="text2" w:themeTint="99"/>
          <w:sz w:val="16"/>
          <w:szCs w:val="16"/>
        </w:rPr>
        <w:instrText xml:space="preserve"> SEQ Figure \* ARABIC \s 1 </w:instrText>
      </w:r>
      <w:r w:rsidR="0075172E">
        <w:rPr>
          <w:color w:val="548DD4" w:themeColor="text2" w:themeTint="99"/>
          <w:sz w:val="16"/>
          <w:szCs w:val="16"/>
        </w:rPr>
        <w:fldChar w:fldCharType="separate"/>
      </w:r>
      <w:r w:rsidR="00CB4EDC">
        <w:rPr>
          <w:noProof/>
          <w:color w:val="548DD4" w:themeColor="text2" w:themeTint="99"/>
          <w:sz w:val="16"/>
          <w:szCs w:val="16"/>
        </w:rPr>
        <w:t>8</w:t>
      </w:r>
      <w:r w:rsidR="0075172E">
        <w:rPr>
          <w:color w:val="548DD4" w:themeColor="text2" w:themeTint="99"/>
          <w:sz w:val="16"/>
          <w:szCs w:val="16"/>
        </w:rPr>
        <w:fldChar w:fldCharType="end"/>
      </w:r>
      <w:r>
        <w:rPr>
          <w:color w:val="548DD4" w:themeColor="text2" w:themeTint="99"/>
          <w:sz w:val="16"/>
          <w:szCs w:val="16"/>
        </w:rPr>
        <w:t xml:space="preserve">: </w:t>
      </w:r>
      <w:r w:rsidR="00965B7D" w:rsidRPr="009E32BC">
        <w:rPr>
          <w:color w:val="548DD4" w:themeColor="text2" w:themeTint="99"/>
          <w:sz w:val="16"/>
          <w:szCs w:val="16"/>
        </w:rPr>
        <w:t>Protein, hydration shell dynamics, size of the apparent hydration shell, protein concentration, buffer, temperature, reference and the particular technique used to determine these values. NR = Not Reported</w:t>
      </w:r>
    </w:p>
    <w:tbl>
      <w:tblPr>
        <w:tblW w:w="0" w:type="auto"/>
        <w:tblLook w:val="04A0" w:firstRow="1" w:lastRow="0" w:firstColumn="1" w:lastColumn="0" w:noHBand="0" w:noVBand="1"/>
      </w:tblPr>
      <w:tblGrid>
        <w:gridCol w:w="858"/>
        <w:gridCol w:w="1081"/>
        <w:gridCol w:w="945"/>
        <w:gridCol w:w="1213"/>
        <w:gridCol w:w="1187"/>
        <w:gridCol w:w="997"/>
        <w:gridCol w:w="1321"/>
        <w:gridCol w:w="812"/>
      </w:tblGrid>
      <w:tr w:rsidR="00F80CAD" w:rsidRPr="000B5460" w:rsidTr="007D6027">
        <w:tc>
          <w:tcPr>
            <w:tcW w:w="862" w:type="dxa"/>
            <w:tcBorders>
              <w:top w:val="single" w:sz="4" w:space="0" w:color="auto"/>
              <w:bottom w:val="single" w:sz="4" w:space="0" w:color="auto"/>
            </w:tcBorders>
          </w:tcPr>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Protein</w:t>
            </w:r>
          </w:p>
        </w:tc>
        <w:tc>
          <w:tcPr>
            <w:tcW w:w="1170" w:type="dxa"/>
            <w:tcBorders>
              <w:top w:val="single" w:sz="4" w:space="0" w:color="auto"/>
              <w:bottom w:val="single" w:sz="4" w:space="0" w:color="auto"/>
            </w:tcBorders>
          </w:tcPr>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Hydration shell Dynamics</w:t>
            </w:r>
          </w:p>
        </w:tc>
        <w:tc>
          <w:tcPr>
            <w:tcW w:w="981" w:type="dxa"/>
            <w:tcBorders>
              <w:top w:val="single" w:sz="4" w:space="0" w:color="auto"/>
              <w:bottom w:val="single" w:sz="4" w:space="0" w:color="auto"/>
            </w:tcBorders>
          </w:tcPr>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Size of apparent hydration shell</w:t>
            </w:r>
          </w:p>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(Å)</w:t>
            </w:r>
          </w:p>
        </w:tc>
        <w:tc>
          <w:tcPr>
            <w:tcW w:w="1243" w:type="dxa"/>
            <w:tcBorders>
              <w:top w:val="single" w:sz="4" w:space="0" w:color="auto"/>
              <w:bottom w:val="single" w:sz="4" w:space="0" w:color="auto"/>
            </w:tcBorders>
          </w:tcPr>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Protein concentration</w:t>
            </w:r>
          </w:p>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(mM)</w:t>
            </w:r>
          </w:p>
        </w:tc>
        <w:tc>
          <w:tcPr>
            <w:tcW w:w="1285" w:type="dxa"/>
            <w:tcBorders>
              <w:top w:val="single" w:sz="4" w:space="0" w:color="auto"/>
              <w:bottom w:val="single" w:sz="4" w:space="0" w:color="auto"/>
            </w:tcBorders>
          </w:tcPr>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Buffer</w:t>
            </w:r>
          </w:p>
        </w:tc>
        <w:tc>
          <w:tcPr>
            <w:tcW w:w="1180" w:type="dxa"/>
            <w:tcBorders>
              <w:top w:val="single" w:sz="4" w:space="0" w:color="auto"/>
              <w:bottom w:val="single" w:sz="4" w:space="0" w:color="auto"/>
            </w:tcBorders>
          </w:tcPr>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Temp</w:t>
            </w:r>
          </w:p>
          <w:p w:rsidR="00965B7D" w:rsidRPr="0076524B" w:rsidRDefault="00965B7D" w:rsidP="006C2030">
            <w:pPr>
              <w:spacing w:line="480" w:lineRule="auto"/>
              <w:jc w:val="center"/>
              <w:rPr>
                <w:b/>
                <w:iCs/>
                <w:color w:val="000000" w:themeColor="text1"/>
                <w:sz w:val="16"/>
                <w:szCs w:val="16"/>
              </w:rPr>
            </w:pPr>
            <w:r w:rsidRPr="0076524B">
              <w:rPr>
                <w:b/>
                <w:iCs/>
                <w:color w:val="000000" w:themeColor="text1"/>
                <w:sz w:val="16"/>
                <w:szCs w:val="16"/>
              </w:rPr>
              <w:t>(</w:t>
            </w:r>
            <w:r w:rsidR="006C2030">
              <w:rPr>
                <w:b/>
                <w:iCs/>
                <w:color w:val="000000" w:themeColor="text1"/>
                <w:sz w:val="16"/>
                <w:szCs w:val="16"/>
              </w:rPr>
              <w:t>°C</w:t>
            </w:r>
            <w:r w:rsidRPr="0076524B">
              <w:rPr>
                <w:b/>
                <w:iCs/>
                <w:color w:val="000000" w:themeColor="text1"/>
                <w:sz w:val="16"/>
                <w:szCs w:val="16"/>
              </w:rPr>
              <w:t>)</w:t>
            </w:r>
          </w:p>
        </w:tc>
        <w:tc>
          <w:tcPr>
            <w:tcW w:w="1432" w:type="dxa"/>
            <w:tcBorders>
              <w:top w:val="single" w:sz="4" w:space="0" w:color="auto"/>
              <w:bottom w:val="single" w:sz="4" w:space="0" w:color="auto"/>
            </w:tcBorders>
          </w:tcPr>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Technique</w:t>
            </w:r>
          </w:p>
        </w:tc>
        <w:tc>
          <w:tcPr>
            <w:tcW w:w="981" w:type="dxa"/>
            <w:tcBorders>
              <w:top w:val="single" w:sz="4" w:space="0" w:color="auto"/>
              <w:bottom w:val="single" w:sz="4" w:space="0" w:color="auto"/>
            </w:tcBorders>
          </w:tcPr>
          <w:p w:rsidR="00965B7D" w:rsidRPr="0076524B" w:rsidRDefault="00965B7D" w:rsidP="007D6027">
            <w:pPr>
              <w:spacing w:line="480" w:lineRule="auto"/>
              <w:jc w:val="center"/>
              <w:rPr>
                <w:b/>
                <w:iCs/>
                <w:color w:val="000000" w:themeColor="text1"/>
                <w:sz w:val="16"/>
                <w:szCs w:val="16"/>
              </w:rPr>
            </w:pPr>
            <w:r w:rsidRPr="0076524B">
              <w:rPr>
                <w:b/>
                <w:iCs/>
                <w:color w:val="000000" w:themeColor="text1"/>
                <w:sz w:val="16"/>
                <w:szCs w:val="16"/>
              </w:rPr>
              <w:t>Ref</w:t>
            </w:r>
          </w:p>
        </w:tc>
      </w:tr>
      <w:tr w:rsidR="00F80CAD" w:rsidRPr="000B5460" w:rsidTr="007D6027">
        <w:tc>
          <w:tcPr>
            <w:tcW w:w="862" w:type="dxa"/>
            <w:tcBorders>
              <w:top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λ*</w:t>
            </w:r>
            <w:r w:rsidRPr="000B5460">
              <w:rPr>
                <w:iCs/>
                <w:color w:val="000000" w:themeColor="text1"/>
                <w:sz w:val="16"/>
                <w:szCs w:val="16"/>
                <w:vertAlign w:val="subscript"/>
              </w:rPr>
              <w:t>6–85</w:t>
            </w:r>
            <w:r w:rsidRPr="000B5460">
              <w:rPr>
                <w:iCs/>
                <w:color w:val="000000" w:themeColor="text1"/>
                <w:sz w:val="16"/>
                <w:szCs w:val="16"/>
              </w:rPr>
              <w:t>-repressor protein</w:t>
            </w:r>
          </w:p>
        </w:tc>
        <w:tc>
          <w:tcPr>
            <w:tcW w:w="1170" w:type="dxa"/>
            <w:tcBorders>
              <w:top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NR</w:t>
            </w:r>
          </w:p>
        </w:tc>
        <w:tc>
          <w:tcPr>
            <w:tcW w:w="981" w:type="dxa"/>
            <w:tcBorders>
              <w:top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&gt;</w:t>
            </w:r>
          </w:p>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10</w:t>
            </w:r>
          </w:p>
        </w:tc>
        <w:tc>
          <w:tcPr>
            <w:tcW w:w="1243" w:type="dxa"/>
            <w:tcBorders>
              <w:top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protein concentration range 0 to 3</w:t>
            </w:r>
          </w:p>
        </w:tc>
        <w:tc>
          <w:tcPr>
            <w:tcW w:w="1285" w:type="dxa"/>
            <w:tcBorders>
              <w:top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50 mM magnesium acetate</w:t>
            </w:r>
          </w:p>
        </w:tc>
        <w:tc>
          <w:tcPr>
            <w:tcW w:w="1180" w:type="dxa"/>
            <w:tcBorders>
              <w:top w:val="single" w:sz="4" w:space="0" w:color="auto"/>
            </w:tcBorders>
          </w:tcPr>
          <w:p w:rsidR="00965B7D" w:rsidRPr="000B5460" w:rsidRDefault="006C2030" w:rsidP="007D6027">
            <w:pPr>
              <w:spacing w:line="480" w:lineRule="auto"/>
              <w:jc w:val="center"/>
              <w:rPr>
                <w:iCs/>
                <w:color w:val="000000" w:themeColor="text1"/>
                <w:sz w:val="16"/>
                <w:szCs w:val="16"/>
              </w:rPr>
            </w:pPr>
            <w:r>
              <w:rPr>
                <w:iCs/>
                <w:color w:val="000000" w:themeColor="text1"/>
                <w:sz w:val="16"/>
                <w:szCs w:val="16"/>
              </w:rPr>
              <w:t>21.85</w:t>
            </w:r>
          </w:p>
        </w:tc>
        <w:tc>
          <w:tcPr>
            <w:tcW w:w="1432" w:type="dxa"/>
            <w:tcBorders>
              <w:top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Terahertz time domain spectroscopy</w:t>
            </w:r>
          </w:p>
        </w:tc>
        <w:tc>
          <w:tcPr>
            <w:tcW w:w="981" w:type="dxa"/>
            <w:tcBorders>
              <w:top w:val="single" w:sz="4" w:space="0" w:color="auto"/>
            </w:tcBorders>
          </w:tcPr>
          <w:p w:rsidR="00965B7D" w:rsidRPr="000B5460" w:rsidRDefault="00040F10" w:rsidP="00512D09">
            <w:pPr>
              <w:spacing w:line="480" w:lineRule="auto"/>
              <w:jc w:val="center"/>
              <w:rPr>
                <w:iCs/>
                <w:color w:val="000000" w:themeColor="text1"/>
                <w:sz w:val="16"/>
                <w:szCs w:val="16"/>
              </w:rPr>
            </w:pPr>
            <w:hyperlink w:anchor="_ENREF_70" w:tooltip="Ebbinghaus, 2007 #148" w:history="1">
              <w:r w:rsidR="00512D09" w:rsidRPr="000B5460">
                <w:rPr>
                  <w:iCs/>
                  <w:color w:val="000000" w:themeColor="text1"/>
                  <w:sz w:val="16"/>
                  <w:szCs w:val="16"/>
                </w:rPr>
                <w:fldChar w:fldCharType="begin"/>
              </w:r>
              <w:r w:rsidR="00512D09">
                <w:rPr>
                  <w:iCs/>
                  <w:color w:val="000000" w:themeColor="text1"/>
                  <w:sz w:val="16"/>
                  <w:szCs w:val="16"/>
                </w:rPr>
                <w:instrText xml:space="preserve"> ADDIN EN.CITE &lt;EndNote&gt;&lt;Cite&gt;&lt;Author&gt;Ebbinghaus&lt;/Author&gt;&lt;Year&gt;2007&lt;/Year&gt;&lt;RecNum&gt;148&lt;/RecNum&gt;&lt;DisplayText&gt;&lt;style face="superscript"&gt;70&lt;/style&gt;&lt;/DisplayText&gt;&lt;record&gt;&lt;rec-number&gt;148&lt;/rec-number&gt;&lt;foreign-keys&gt;&lt;key app="EN" db-id="5trrespwzsdr07efd5tx2w96x22re9s0fsdt"&gt;148&lt;/key&gt;&lt;/foreign-keys&gt;&lt;ref-type name="Journal Article"&gt;17&lt;/ref-type&gt;&lt;contributors&gt;&lt;authors&gt;&lt;author&gt;Ebbinghaus, Simon&lt;/author&gt;&lt;author&gt;Kim, Seung Joong&lt;/author&gt;&lt;author&gt;Heyden, Matthias&lt;/author&gt;&lt;author&gt;Yu, Xin&lt;/author&gt;&lt;author&gt;Heugen, Udo&lt;/author&gt;&lt;author&gt;Gruebele, Martin&lt;/author&gt;&lt;author&gt;Leitner, David M.&lt;/author&gt;&lt;author&gt;Havenith, Martina&lt;/author&gt;&lt;/authors&gt;&lt;/contributors&gt;&lt;titles&gt;&lt;title&gt;An extended dynamical hydration shell around proteins&lt;/title&gt;&lt;secondary-title&gt;Proc Natl Acad Sci U S A&lt;/secondary-title&gt;&lt;/titles&gt;&lt;periodical&gt;&lt;full-title&gt;Proc Natl Acad Sci U S A&lt;/full-title&gt;&lt;abbr-1&gt;Proceedings of the National Academy of Sciences of the United States of America&lt;/abbr-1&gt;&lt;/periodical&gt;&lt;pages&gt;20749-20752&lt;/pages&gt;&lt;volume&gt;104&lt;/volume&gt;&lt;number&gt;52&lt;/number&gt;&lt;dates&gt;&lt;year&gt;2007&lt;/year&gt;&lt;pub-dates&gt;&lt;date&gt;Dec 26&lt;/date&gt;&lt;/pub-dates&gt;&lt;/dates&gt;&lt;isbn&gt;0027-8424&lt;/isbn&gt;&lt;accession-num&gt;WOS:000252077400025&lt;/accession-num&gt;&lt;urls&gt;&lt;related-urls&gt;&lt;url&gt;&amp;lt;Go to ISI&amp;gt;://WOS:000252077400025&lt;/url&gt;&lt;/related-urls&gt;&lt;/urls&gt;&lt;electronic-resource-num&gt;10.1073/pnas.0709207104&lt;/electronic-resource-num&gt;&lt;/record&gt;&lt;/Cite&gt;&lt;/EndNote&gt;</w:instrText>
              </w:r>
              <w:r w:rsidR="00512D09" w:rsidRPr="000B5460">
                <w:rPr>
                  <w:iCs/>
                  <w:color w:val="000000" w:themeColor="text1"/>
                  <w:sz w:val="16"/>
                  <w:szCs w:val="16"/>
                </w:rPr>
                <w:fldChar w:fldCharType="separate"/>
              </w:r>
              <w:r w:rsidR="00512D09" w:rsidRPr="00F04E2C">
                <w:rPr>
                  <w:iCs/>
                  <w:noProof/>
                  <w:color w:val="000000" w:themeColor="text1"/>
                  <w:sz w:val="16"/>
                  <w:szCs w:val="16"/>
                  <w:vertAlign w:val="superscript"/>
                </w:rPr>
                <w:t>70</w:t>
              </w:r>
              <w:r w:rsidR="00512D09" w:rsidRPr="000B5460">
                <w:rPr>
                  <w:color w:val="000000" w:themeColor="text1"/>
                  <w:sz w:val="16"/>
                  <w:szCs w:val="16"/>
                </w:rPr>
                <w:fldChar w:fldCharType="end"/>
              </w:r>
            </w:hyperlink>
          </w:p>
        </w:tc>
      </w:tr>
      <w:tr w:rsidR="00F80CAD" w:rsidRPr="000B5460" w:rsidTr="007D6027">
        <w:tc>
          <w:tcPr>
            <w:tcW w:w="862"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Lysozyme</w:t>
            </w:r>
          </w:p>
        </w:tc>
        <w:tc>
          <w:tcPr>
            <w:tcW w:w="1170"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NR</w:t>
            </w:r>
          </w:p>
        </w:tc>
        <w:tc>
          <w:tcPr>
            <w:tcW w:w="981"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9</w:t>
            </w:r>
          </w:p>
        </w:tc>
        <w:tc>
          <w:tcPr>
            <w:tcW w:w="1243"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NR</w:t>
            </w:r>
          </w:p>
        </w:tc>
        <w:tc>
          <w:tcPr>
            <w:tcW w:w="1285"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NR</w:t>
            </w:r>
          </w:p>
        </w:tc>
        <w:tc>
          <w:tcPr>
            <w:tcW w:w="1180" w:type="dxa"/>
          </w:tcPr>
          <w:p w:rsidR="00965B7D" w:rsidRPr="000B5460" w:rsidRDefault="006C2030" w:rsidP="007D6027">
            <w:pPr>
              <w:spacing w:line="480" w:lineRule="auto"/>
              <w:jc w:val="center"/>
              <w:rPr>
                <w:iCs/>
                <w:color w:val="000000" w:themeColor="text1"/>
                <w:sz w:val="16"/>
                <w:szCs w:val="16"/>
              </w:rPr>
            </w:pPr>
            <w:r>
              <w:rPr>
                <w:iCs/>
                <w:color w:val="000000" w:themeColor="text1"/>
                <w:sz w:val="16"/>
                <w:szCs w:val="16"/>
              </w:rPr>
              <w:t>19.85</w:t>
            </w:r>
          </w:p>
        </w:tc>
        <w:tc>
          <w:tcPr>
            <w:tcW w:w="1432"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 xml:space="preserve">Extended </w:t>
            </w:r>
            <w:r w:rsidR="006E0EB0" w:rsidRPr="000B5460">
              <w:rPr>
                <w:iCs/>
                <w:color w:val="000000" w:themeColor="text1"/>
                <w:sz w:val="16"/>
                <w:szCs w:val="16"/>
              </w:rPr>
              <w:t>Frequency Range Depolarized Light Scattering</w:t>
            </w:r>
          </w:p>
        </w:tc>
        <w:tc>
          <w:tcPr>
            <w:tcW w:w="981" w:type="dxa"/>
          </w:tcPr>
          <w:p w:rsidR="00965B7D" w:rsidRPr="000B5460" w:rsidRDefault="00040F10" w:rsidP="00512D09">
            <w:pPr>
              <w:spacing w:line="480" w:lineRule="auto"/>
              <w:jc w:val="center"/>
              <w:rPr>
                <w:iCs/>
                <w:color w:val="000000" w:themeColor="text1"/>
                <w:sz w:val="16"/>
                <w:szCs w:val="16"/>
              </w:rPr>
            </w:pPr>
            <w:hyperlink w:anchor="_ENREF_68" w:tooltip="Comez, 2013 #290" w:history="1">
              <w:r w:rsidR="00512D09" w:rsidRPr="000B5460">
                <w:rPr>
                  <w:iCs/>
                  <w:color w:val="000000" w:themeColor="text1"/>
                  <w:sz w:val="16"/>
                  <w:szCs w:val="16"/>
                </w:rPr>
                <w:fldChar w:fldCharType="begin"/>
              </w:r>
              <w:r w:rsidR="00512D09">
                <w:rPr>
                  <w:iCs/>
                  <w:color w:val="000000" w:themeColor="text1"/>
                  <w:sz w:val="16"/>
                  <w:szCs w:val="16"/>
                </w:rPr>
                <w:instrText xml:space="preserve"> ADDIN EN.CITE &lt;EndNote&gt;&lt;Cite&gt;&lt;Author&gt;Comez&lt;/Author&gt;&lt;Year&gt;2013&lt;/Year&gt;&lt;RecNum&gt;290&lt;/RecNum&gt;&lt;DisplayText&gt;&lt;style face="superscript"&gt;68&lt;/style&gt;&lt;/DisplayText&gt;&lt;record&gt;&lt;rec-number&gt;290&lt;/rec-number&gt;&lt;foreign-keys&gt;&lt;key app="EN" db-id="5trrespwzsdr07efd5tx2w96x22re9s0fsdt"&gt;290&lt;/key&gt;&lt;/foreign-keys&gt;&lt;ref-type name="Journal Article"&gt;17&lt;/ref-type&gt;&lt;contributors&gt;&lt;authors&gt;&lt;author&gt;Comez, Lucia&lt;/author&gt;&lt;author&gt;Lupi, Laura&lt;/author&gt;&lt;author&gt;Morresi, Assunta&lt;/author&gt;&lt;author&gt;Paolantoni, Marco&lt;/author&gt;&lt;author&gt;Sassi, Paola&lt;/author&gt;&lt;author&gt;Fioretto, Daniele&lt;/author&gt;&lt;/authors&gt;&lt;/contributors&gt;&lt;titles&gt;&lt;title&gt;More Is Different: Experimental Results on the Effect of Biomolecules on the Dynamics of Hydration Water&lt;/title&gt;&lt;secondary-title&gt;The Journal of Physical Chemistry Letters&lt;/secondary-title&gt;&lt;/titles&gt;&lt;periodical&gt;&lt;full-title&gt;The Journal of Physical Chemistry Letters&lt;/full-title&gt;&lt;/periodical&gt;&lt;pages&gt;1188-1192&lt;/pages&gt;&lt;volume&gt;4&lt;/volume&gt;&lt;number&gt;7&lt;/number&gt;&lt;dates&gt;&lt;year&gt;2013&lt;/year&gt;&lt;pub-dates&gt;&lt;date&gt;2013/04/04&lt;/date&gt;&lt;/pub-dates&gt;&lt;/dates&gt;&lt;publisher&gt;American Chemical Society&lt;/publisher&gt;&lt;isbn&gt;1948-7185&lt;/isbn&gt;&lt;urls&gt;&lt;related-urls&gt;&lt;url&gt;http://dx.doi.org/10.1021/jz400360v&lt;/url&gt;&lt;/related-urls&gt;&lt;/urls&gt;&lt;electronic-resource-num&gt;10.1021/jz400360v&lt;/electronic-resource-num&gt;&lt;access-date&gt;2013/12/21&lt;/access-date&gt;&lt;/record&gt;&lt;/Cite&gt;&lt;/EndNote&gt;</w:instrText>
              </w:r>
              <w:r w:rsidR="00512D09" w:rsidRPr="000B5460">
                <w:rPr>
                  <w:iCs/>
                  <w:color w:val="000000" w:themeColor="text1"/>
                  <w:sz w:val="16"/>
                  <w:szCs w:val="16"/>
                </w:rPr>
                <w:fldChar w:fldCharType="separate"/>
              </w:r>
              <w:r w:rsidR="00512D09" w:rsidRPr="00F04E2C">
                <w:rPr>
                  <w:iCs/>
                  <w:noProof/>
                  <w:color w:val="000000" w:themeColor="text1"/>
                  <w:sz w:val="16"/>
                  <w:szCs w:val="16"/>
                  <w:vertAlign w:val="superscript"/>
                </w:rPr>
                <w:t>68</w:t>
              </w:r>
              <w:r w:rsidR="00512D09" w:rsidRPr="000B5460">
                <w:rPr>
                  <w:color w:val="000000" w:themeColor="text1"/>
                  <w:sz w:val="16"/>
                  <w:szCs w:val="16"/>
                </w:rPr>
                <w:fldChar w:fldCharType="end"/>
              </w:r>
            </w:hyperlink>
          </w:p>
        </w:tc>
      </w:tr>
      <w:tr w:rsidR="00F80CAD" w:rsidRPr="000B5460" w:rsidTr="007D6027">
        <w:tc>
          <w:tcPr>
            <w:tcW w:w="862"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Lysozyme</w:t>
            </w:r>
          </w:p>
        </w:tc>
        <w:tc>
          <w:tcPr>
            <w:tcW w:w="1170"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0.2 -2 ns</w:t>
            </w:r>
          </w:p>
        </w:tc>
        <w:tc>
          <w:tcPr>
            <w:tcW w:w="981"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19.6</w:t>
            </w:r>
          </w:p>
        </w:tc>
        <w:tc>
          <w:tcPr>
            <w:tcW w:w="1243"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5</w:t>
            </w:r>
          </w:p>
        </w:tc>
        <w:tc>
          <w:tcPr>
            <w:tcW w:w="1285"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Water</w:t>
            </w:r>
          </w:p>
        </w:tc>
        <w:tc>
          <w:tcPr>
            <w:tcW w:w="1180" w:type="dxa"/>
          </w:tcPr>
          <w:p w:rsidR="00965B7D" w:rsidRPr="000B5460" w:rsidRDefault="006C2030" w:rsidP="007D6027">
            <w:pPr>
              <w:spacing w:line="480" w:lineRule="auto"/>
              <w:jc w:val="center"/>
              <w:rPr>
                <w:iCs/>
                <w:color w:val="000000" w:themeColor="text1"/>
                <w:sz w:val="16"/>
                <w:szCs w:val="16"/>
              </w:rPr>
            </w:pPr>
            <w:r>
              <w:rPr>
                <w:iCs/>
                <w:color w:val="000000" w:themeColor="text1"/>
                <w:sz w:val="16"/>
                <w:szCs w:val="16"/>
              </w:rPr>
              <w:t>3.85</w:t>
            </w:r>
            <w:r w:rsidR="00965B7D" w:rsidRPr="000B5460">
              <w:rPr>
                <w:iCs/>
                <w:color w:val="000000" w:themeColor="text1"/>
                <w:sz w:val="16"/>
                <w:szCs w:val="16"/>
              </w:rPr>
              <w:t>-</w:t>
            </w:r>
            <w:r w:rsidRPr="006C2030">
              <w:rPr>
                <w:iCs/>
                <w:color w:val="000000" w:themeColor="text1"/>
                <w:sz w:val="16"/>
                <w:szCs w:val="16"/>
              </w:rPr>
              <w:t>59.85</w:t>
            </w:r>
          </w:p>
        </w:tc>
        <w:tc>
          <w:tcPr>
            <w:tcW w:w="1432" w:type="dxa"/>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Dielectric spectroscopy</w:t>
            </w:r>
          </w:p>
        </w:tc>
        <w:tc>
          <w:tcPr>
            <w:tcW w:w="981" w:type="dxa"/>
          </w:tcPr>
          <w:p w:rsidR="00965B7D" w:rsidRPr="000B5460" w:rsidRDefault="00040F10" w:rsidP="00512D09">
            <w:pPr>
              <w:spacing w:line="480" w:lineRule="auto"/>
              <w:jc w:val="center"/>
              <w:rPr>
                <w:iCs/>
                <w:color w:val="000000" w:themeColor="text1"/>
                <w:sz w:val="16"/>
                <w:szCs w:val="16"/>
              </w:rPr>
            </w:pPr>
            <w:hyperlink w:anchor="_ENREF_61" w:tooltip="Wolf, 2012 #268" w:history="1">
              <w:r w:rsidR="00512D09" w:rsidRPr="000B5460">
                <w:rPr>
                  <w:iCs/>
                  <w:color w:val="000000" w:themeColor="text1"/>
                  <w:sz w:val="16"/>
                  <w:szCs w:val="16"/>
                </w:rPr>
                <w:fldChar w:fldCharType="begin"/>
              </w:r>
              <w:r w:rsidR="00512D09">
                <w:rPr>
                  <w:iCs/>
                  <w:color w:val="000000" w:themeColor="text1"/>
                  <w:sz w:val="16"/>
                  <w:szCs w:val="16"/>
                </w:rPr>
                <w:instrText xml:space="preserve"> ADDIN EN.CITE &lt;EndNote&gt;&lt;Cite&gt;&lt;Author&gt;Wolf&lt;/Author&gt;&lt;Year&gt;2012&lt;/Year&gt;&lt;RecNum&gt;268&lt;/RecNum&gt;&lt;DisplayText&gt;&lt;style face="superscript"&gt;61&lt;/style&gt;&lt;/DisplayText&gt;&lt;record&gt;&lt;rec-number&gt;268&lt;/rec-number&gt;&lt;foreign-keys&gt;&lt;key app="EN" db-id="5trrespwzsdr07efd5tx2w96x22re9s0fsdt"&gt;268&lt;/key&gt;&lt;/foreign-keys&gt;&lt;ref-type name="Journal Article"&gt;17&lt;/ref-type&gt;&lt;contributors&gt;&lt;authors&gt;&lt;author&gt;Wolf, M.&lt;/author&gt;&lt;author&gt;Gulich, R.&lt;/author&gt;&lt;author&gt;Lunkenheimer, P.&lt;/author&gt;&lt;author&gt;Loidl, A.&lt;/author&gt;&lt;/authors&gt;&lt;/contributors&gt;&lt;titles&gt;&lt;title&gt;Relaxation dynamics of a protein solution investigated by dielectric spectroscopy&lt;/title&gt;&lt;secondary-title&gt;Biochimica et Biophysica Acta (BBA) - Proteins and Proteomics&lt;/secondary-title&gt;&lt;/titles&gt;&lt;periodical&gt;&lt;full-title&gt;Biochimica et Biophysica Acta (BBA) - Proteins and Proteomics&lt;/full-title&gt;&lt;/periodical&gt;&lt;pages&gt;723-730&lt;/pages&gt;&lt;volume&gt;1824&lt;/volume&gt;&lt;number&gt;5&lt;/number&gt;&lt;keywords&gt;&lt;keyword&gt;Protein dynamics&lt;/keyword&gt;&lt;keyword&gt;Protein solution&lt;/keyword&gt;&lt;keyword&gt;Dielectric spectroscopy&lt;/keyword&gt;&lt;keyword&gt;Lysozyme&lt;/keyword&gt;&lt;keyword&gt;Hydration shell&lt;/keyword&gt;&lt;keyword&gt;Debye–Stokes–Einstein relation&lt;/keyword&gt;&lt;/keywords&gt;&lt;dates&gt;&lt;year&gt;2012&lt;/year&gt;&lt;/dates&gt;&lt;isbn&gt;1570-9639&lt;/isbn&gt;&lt;urls&gt;&lt;related-urls&gt;&lt;url&gt;http://www.sciencedirect.com/science/article/pii/S1570963912000374&lt;/url&gt;&lt;/related-urls&gt;&lt;/urls&gt;&lt;electronic-resource-num&gt;http://dx.doi.org/10.1016/j.bbapap.2012.02.008&lt;/electronic-resource-num&gt;&lt;/record&gt;&lt;/Cite&gt;&lt;/EndNote&gt;</w:instrText>
              </w:r>
              <w:r w:rsidR="00512D09" w:rsidRPr="000B5460">
                <w:rPr>
                  <w:iCs/>
                  <w:color w:val="000000" w:themeColor="text1"/>
                  <w:sz w:val="16"/>
                  <w:szCs w:val="16"/>
                </w:rPr>
                <w:fldChar w:fldCharType="separate"/>
              </w:r>
              <w:r w:rsidR="00512D09" w:rsidRPr="00F04E2C">
                <w:rPr>
                  <w:iCs/>
                  <w:noProof/>
                  <w:color w:val="000000" w:themeColor="text1"/>
                  <w:sz w:val="16"/>
                  <w:szCs w:val="16"/>
                  <w:vertAlign w:val="superscript"/>
                </w:rPr>
                <w:t>61</w:t>
              </w:r>
              <w:r w:rsidR="00512D09" w:rsidRPr="000B5460">
                <w:rPr>
                  <w:color w:val="000000" w:themeColor="text1"/>
                  <w:sz w:val="16"/>
                  <w:szCs w:val="16"/>
                </w:rPr>
                <w:fldChar w:fldCharType="end"/>
              </w:r>
            </w:hyperlink>
          </w:p>
        </w:tc>
      </w:tr>
      <w:tr w:rsidR="00F80CAD" w:rsidRPr="000B5460" w:rsidTr="007D6027">
        <w:tc>
          <w:tcPr>
            <w:tcW w:w="862" w:type="dxa"/>
            <w:tcBorders>
              <w:bottom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Lysozyme</w:t>
            </w:r>
          </w:p>
        </w:tc>
        <w:tc>
          <w:tcPr>
            <w:tcW w:w="1170" w:type="dxa"/>
            <w:tcBorders>
              <w:bottom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1.5-3 ns</w:t>
            </w:r>
          </w:p>
        </w:tc>
        <w:tc>
          <w:tcPr>
            <w:tcW w:w="981" w:type="dxa"/>
            <w:tcBorders>
              <w:bottom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19.1</w:t>
            </w:r>
          </w:p>
        </w:tc>
        <w:tc>
          <w:tcPr>
            <w:tcW w:w="1243" w:type="dxa"/>
            <w:tcBorders>
              <w:bottom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3</w:t>
            </w:r>
          </w:p>
        </w:tc>
        <w:tc>
          <w:tcPr>
            <w:tcW w:w="1285" w:type="dxa"/>
            <w:tcBorders>
              <w:bottom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Water</w:t>
            </w:r>
          </w:p>
        </w:tc>
        <w:tc>
          <w:tcPr>
            <w:tcW w:w="1180" w:type="dxa"/>
            <w:tcBorders>
              <w:bottom w:val="single" w:sz="4" w:space="0" w:color="auto"/>
            </w:tcBorders>
          </w:tcPr>
          <w:p w:rsidR="00965B7D" w:rsidRPr="000B5460" w:rsidRDefault="006C2030" w:rsidP="007D6027">
            <w:pPr>
              <w:spacing w:line="480" w:lineRule="auto"/>
              <w:jc w:val="center"/>
              <w:rPr>
                <w:iCs/>
                <w:color w:val="000000" w:themeColor="text1"/>
                <w:sz w:val="16"/>
                <w:szCs w:val="16"/>
              </w:rPr>
            </w:pPr>
            <w:r w:rsidRPr="006C2030">
              <w:rPr>
                <w:iCs/>
                <w:color w:val="000000" w:themeColor="text1"/>
                <w:sz w:val="16"/>
                <w:szCs w:val="16"/>
              </w:rPr>
              <w:t>59.85</w:t>
            </w:r>
          </w:p>
        </w:tc>
        <w:tc>
          <w:tcPr>
            <w:tcW w:w="1432" w:type="dxa"/>
            <w:tcBorders>
              <w:bottom w:val="single" w:sz="4" w:space="0" w:color="auto"/>
            </w:tcBorders>
          </w:tcPr>
          <w:p w:rsidR="00965B7D" w:rsidRPr="000B5460" w:rsidRDefault="00965B7D" w:rsidP="007D6027">
            <w:pPr>
              <w:spacing w:line="480" w:lineRule="auto"/>
              <w:jc w:val="center"/>
              <w:rPr>
                <w:iCs/>
                <w:color w:val="000000" w:themeColor="text1"/>
                <w:sz w:val="16"/>
                <w:szCs w:val="16"/>
              </w:rPr>
            </w:pPr>
            <w:r w:rsidRPr="000B5460">
              <w:rPr>
                <w:iCs/>
                <w:color w:val="000000" w:themeColor="text1"/>
                <w:sz w:val="16"/>
                <w:szCs w:val="16"/>
              </w:rPr>
              <w:t>Dielectric spectroscopy</w:t>
            </w:r>
          </w:p>
        </w:tc>
        <w:tc>
          <w:tcPr>
            <w:tcW w:w="981" w:type="dxa"/>
            <w:tcBorders>
              <w:bottom w:val="single" w:sz="4" w:space="0" w:color="auto"/>
            </w:tcBorders>
          </w:tcPr>
          <w:p w:rsidR="00965B7D" w:rsidRPr="000B5460" w:rsidRDefault="00040F10" w:rsidP="00512D09">
            <w:pPr>
              <w:spacing w:line="480" w:lineRule="auto"/>
              <w:jc w:val="center"/>
              <w:rPr>
                <w:iCs/>
                <w:color w:val="000000" w:themeColor="text1"/>
                <w:sz w:val="16"/>
                <w:szCs w:val="16"/>
              </w:rPr>
            </w:pPr>
            <w:hyperlink w:anchor="_ENREF_61" w:tooltip="Wolf, 2012 #268" w:history="1">
              <w:r w:rsidR="00512D09" w:rsidRPr="000B5460">
                <w:rPr>
                  <w:iCs/>
                  <w:color w:val="000000" w:themeColor="text1"/>
                  <w:sz w:val="16"/>
                  <w:szCs w:val="16"/>
                </w:rPr>
                <w:fldChar w:fldCharType="begin"/>
              </w:r>
              <w:r w:rsidR="00512D09">
                <w:rPr>
                  <w:iCs/>
                  <w:color w:val="000000" w:themeColor="text1"/>
                  <w:sz w:val="16"/>
                  <w:szCs w:val="16"/>
                </w:rPr>
                <w:instrText xml:space="preserve"> ADDIN EN.CITE &lt;EndNote&gt;&lt;Cite&gt;&lt;Author&gt;Wolf&lt;/Author&gt;&lt;Year&gt;2012&lt;/Year&gt;&lt;RecNum&gt;268&lt;/RecNum&gt;&lt;DisplayText&gt;&lt;style face="superscript"&gt;61&lt;/style&gt;&lt;/DisplayText&gt;&lt;record&gt;&lt;rec-number&gt;268&lt;/rec-number&gt;&lt;foreign-keys&gt;&lt;key app="EN" db-id="5trrespwzsdr07efd5tx2w96x22re9s0fsdt"&gt;268&lt;/key&gt;&lt;/foreign-keys&gt;&lt;ref-type name="Journal Article"&gt;17&lt;/ref-type&gt;&lt;contributors&gt;&lt;authors&gt;&lt;author&gt;Wolf, M.&lt;/author&gt;&lt;author&gt;Gulich, R.&lt;/author&gt;&lt;author&gt;Lunkenheimer, P.&lt;/author&gt;&lt;author&gt;Loidl, A.&lt;/author&gt;&lt;/authors&gt;&lt;/contributors&gt;&lt;titles&gt;&lt;title&gt;Relaxation dynamics of a protein solution investigated by dielectric spectroscopy&lt;/title&gt;&lt;secondary-title&gt;Biochimica et Biophysica Acta (BBA) - Proteins and Proteomics&lt;/secondary-title&gt;&lt;/titles&gt;&lt;periodical&gt;&lt;full-title&gt;Biochimica et Biophysica Acta (BBA) - Proteins and Proteomics&lt;/full-title&gt;&lt;/periodical&gt;&lt;pages&gt;723-730&lt;/pages&gt;&lt;volume&gt;1824&lt;/volume&gt;&lt;number&gt;5&lt;/number&gt;&lt;keywords&gt;&lt;keyword&gt;Protein dynamics&lt;/keyword&gt;&lt;keyword&gt;Protein solution&lt;/keyword&gt;&lt;keyword&gt;Dielectric spectroscopy&lt;/keyword&gt;&lt;keyword&gt;Lysozyme&lt;/keyword&gt;&lt;keyword&gt;Hydration shell&lt;/keyword&gt;&lt;keyword&gt;Debye–Stokes–Einstein relation&lt;/keyword&gt;&lt;/keywords&gt;&lt;dates&gt;&lt;year&gt;2012&lt;/year&gt;&lt;/dates&gt;&lt;isbn&gt;1570-9639&lt;/isbn&gt;&lt;urls&gt;&lt;related-urls&gt;&lt;url&gt;http://www.sciencedirect.com/science/article/pii/S1570963912000374&lt;/url&gt;&lt;/related-urls&gt;&lt;/urls&gt;&lt;electronic-resource-num&gt;http://dx.doi.org/10.1016/j.bbapap.2012.02.008&lt;/electronic-resource-num&gt;&lt;/record&gt;&lt;/Cite&gt;&lt;/EndNote&gt;</w:instrText>
              </w:r>
              <w:r w:rsidR="00512D09" w:rsidRPr="000B5460">
                <w:rPr>
                  <w:iCs/>
                  <w:color w:val="000000" w:themeColor="text1"/>
                  <w:sz w:val="16"/>
                  <w:szCs w:val="16"/>
                </w:rPr>
                <w:fldChar w:fldCharType="separate"/>
              </w:r>
              <w:r w:rsidR="00512D09" w:rsidRPr="00F04E2C">
                <w:rPr>
                  <w:iCs/>
                  <w:noProof/>
                  <w:color w:val="000000" w:themeColor="text1"/>
                  <w:sz w:val="16"/>
                  <w:szCs w:val="16"/>
                  <w:vertAlign w:val="superscript"/>
                </w:rPr>
                <w:t>61</w:t>
              </w:r>
              <w:r w:rsidR="00512D09" w:rsidRPr="000B5460">
                <w:rPr>
                  <w:color w:val="000000" w:themeColor="text1"/>
                  <w:sz w:val="16"/>
                  <w:szCs w:val="16"/>
                </w:rPr>
                <w:fldChar w:fldCharType="end"/>
              </w:r>
            </w:hyperlink>
          </w:p>
        </w:tc>
      </w:tr>
    </w:tbl>
    <w:p w:rsidR="00965B7D" w:rsidRPr="00965B7D" w:rsidRDefault="00965B7D" w:rsidP="001D0B51">
      <w:pPr>
        <w:spacing w:line="480" w:lineRule="auto"/>
        <w:rPr>
          <w:b/>
          <w:bCs/>
        </w:rPr>
      </w:pPr>
    </w:p>
    <w:p w:rsidR="00EF0131" w:rsidRDefault="00EF0131" w:rsidP="00EF0131">
      <w:pPr>
        <w:spacing w:line="240" w:lineRule="auto"/>
        <w:jc w:val="center"/>
        <w:rPr>
          <w:b/>
          <w:bCs/>
          <w:sz w:val="16"/>
          <w:szCs w:val="16"/>
        </w:rPr>
      </w:pPr>
    </w:p>
    <w:p w:rsidR="00EF0131" w:rsidRDefault="00EF0131" w:rsidP="00EF0131">
      <w:pPr>
        <w:spacing w:line="240" w:lineRule="auto"/>
        <w:jc w:val="center"/>
        <w:rPr>
          <w:b/>
          <w:bCs/>
          <w:sz w:val="16"/>
          <w:szCs w:val="16"/>
        </w:rPr>
      </w:pPr>
    </w:p>
    <w:p w:rsidR="00EF0131" w:rsidRDefault="00EF0131" w:rsidP="00EF0131">
      <w:pPr>
        <w:spacing w:line="240" w:lineRule="auto"/>
        <w:jc w:val="center"/>
        <w:rPr>
          <w:b/>
          <w:bCs/>
          <w:sz w:val="16"/>
          <w:szCs w:val="16"/>
        </w:rPr>
      </w:pPr>
    </w:p>
    <w:p w:rsidR="00EF0131" w:rsidRDefault="00EF0131" w:rsidP="00EF0131">
      <w:pPr>
        <w:spacing w:line="240" w:lineRule="auto"/>
        <w:jc w:val="center"/>
        <w:rPr>
          <w:b/>
          <w:bCs/>
          <w:sz w:val="16"/>
          <w:szCs w:val="16"/>
        </w:rPr>
      </w:pPr>
    </w:p>
    <w:p w:rsidR="00EF0131" w:rsidRDefault="00EF0131" w:rsidP="00EF0131">
      <w:pPr>
        <w:spacing w:line="240" w:lineRule="auto"/>
        <w:jc w:val="center"/>
        <w:rPr>
          <w:b/>
          <w:bCs/>
          <w:sz w:val="16"/>
          <w:szCs w:val="16"/>
        </w:rPr>
      </w:pPr>
    </w:p>
    <w:p w:rsidR="00EF0131" w:rsidRDefault="00EF0131" w:rsidP="00EF0131">
      <w:pPr>
        <w:spacing w:line="240" w:lineRule="auto"/>
        <w:jc w:val="center"/>
        <w:rPr>
          <w:b/>
          <w:bCs/>
          <w:sz w:val="16"/>
          <w:szCs w:val="16"/>
        </w:rPr>
      </w:pPr>
    </w:p>
    <w:p w:rsidR="007D6027" w:rsidRDefault="007D6027" w:rsidP="006E0EB0">
      <w:pPr>
        <w:spacing w:line="240" w:lineRule="auto"/>
        <w:rPr>
          <w:b/>
          <w:bCs/>
          <w:sz w:val="16"/>
          <w:szCs w:val="16"/>
        </w:rPr>
      </w:pPr>
    </w:p>
    <w:p w:rsidR="007D6027" w:rsidRDefault="007D6027" w:rsidP="001D0B51">
      <w:pPr>
        <w:spacing w:line="480" w:lineRule="auto"/>
        <w:rPr>
          <w:b/>
          <w:bCs/>
        </w:rPr>
      </w:pPr>
    </w:p>
    <w:p w:rsidR="006E0EB0" w:rsidRDefault="006E0EB0" w:rsidP="001D0B51">
      <w:pPr>
        <w:spacing w:line="480" w:lineRule="auto"/>
        <w:rPr>
          <w:b/>
          <w:bCs/>
        </w:rPr>
      </w:pPr>
    </w:p>
    <w:p w:rsidR="003D5CD4" w:rsidRDefault="0053318E" w:rsidP="00514313">
      <w:pPr>
        <w:pStyle w:val="Heading2"/>
      </w:pPr>
      <w:bookmarkStart w:id="39" w:name="_Toc459130663"/>
      <w:r>
        <w:lastRenderedPageBreak/>
        <w:t xml:space="preserve">Techniques Used to Study Water around </w:t>
      </w:r>
      <w:r w:rsidR="0092704A">
        <w:t>Small Molecules</w:t>
      </w:r>
      <w:bookmarkEnd w:id="39"/>
    </w:p>
    <w:p w:rsidR="0077575C" w:rsidRPr="0077575C" w:rsidRDefault="0077575C" w:rsidP="0077575C"/>
    <w:p w:rsidR="003D5CD4" w:rsidRPr="003D5CD4" w:rsidRDefault="003D5CD4" w:rsidP="00217116">
      <w:pPr>
        <w:spacing w:line="480" w:lineRule="auto"/>
        <w:jc w:val="both"/>
        <w:rPr>
          <w:bCs/>
        </w:rPr>
      </w:pPr>
      <w:r w:rsidRPr="003D5CD4">
        <w:rPr>
          <w:bCs/>
        </w:rPr>
        <w:t xml:space="preserve">To fully untangle thermodynamic signatures it is vital the hydration of the ligand as well as the protein is fully understood. In addition to revealing the nature of hydration around the small molecule something may also be learned regarding the hydrophobic or hydrophilic hydration. This can then be applied to what </w:t>
      </w:r>
      <w:r w:rsidR="00C82662">
        <w:rPr>
          <w:bCs/>
        </w:rPr>
        <w:t>is</w:t>
      </w:r>
      <w:r w:rsidRPr="003D5CD4">
        <w:rPr>
          <w:bCs/>
        </w:rPr>
        <w:t xml:space="preserve"> know</w:t>
      </w:r>
      <w:r w:rsidR="00C82662">
        <w:rPr>
          <w:bCs/>
        </w:rPr>
        <w:t>n</w:t>
      </w:r>
      <w:r w:rsidRPr="003D5CD4">
        <w:rPr>
          <w:bCs/>
        </w:rPr>
        <w:t xml:space="preserve"> about protein solvation chemistry.  </w:t>
      </w:r>
    </w:p>
    <w:p w:rsidR="003D5CD4" w:rsidRDefault="003D5CD4" w:rsidP="00514313">
      <w:pPr>
        <w:pStyle w:val="Heading3"/>
      </w:pPr>
      <w:bookmarkStart w:id="40" w:name="_Toc376614243"/>
      <w:bookmarkStart w:id="41" w:name="_Toc459130664"/>
      <w:r w:rsidRPr="003D5CD4">
        <w:t>NMR-MRD</w:t>
      </w:r>
      <w:bookmarkEnd w:id="40"/>
      <w:bookmarkEnd w:id="41"/>
    </w:p>
    <w:p w:rsidR="0077575C" w:rsidRPr="0077575C" w:rsidRDefault="0077575C" w:rsidP="0077575C"/>
    <w:p w:rsidR="003D5CD4" w:rsidRDefault="003D5CD4" w:rsidP="00217116">
      <w:pPr>
        <w:spacing w:line="480" w:lineRule="auto"/>
        <w:jc w:val="both"/>
        <w:rPr>
          <w:bCs/>
          <w:iCs/>
        </w:rPr>
      </w:pPr>
      <w:r w:rsidRPr="003D5CD4">
        <w:rPr>
          <w:bCs/>
          <w:iCs/>
        </w:rPr>
        <w:t xml:space="preserve">In regards to water around hydrophobic patches, water around these areas was always thought to resemble </w:t>
      </w:r>
      <w:r w:rsidR="0046233F">
        <w:rPr>
          <w:bCs/>
          <w:iCs/>
        </w:rPr>
        <w:t>“</w:t>
      </w:r>
      <w:r w:rsidR="00F80CAD">
        <w:rPr>
          <w:bCs/>
          <w:iCs/>
        </w:rPr>
        <w:t>icebergs</w:t>
      </w:r>
      <w:r w:rsidR="0046233F">
        <w:rPr>
          <w:bCs/>
          <w:iCs/>
        </w:rPr>
        <w:t>”</w:t>
      </w:r>
      <w:r w:rsidRPr="003D5CD4">
        <w:rPr>
          <w:bCs/>
          <w:iCs/>
        </w:rPr>
        <w:t xml:space="preserve"> at room temperature.</w:t>
      </w:r>
      <w:r w:rsidR="0075172E">
        <w:rPr>
          <w:bCs/>
          <w:iCs/>
        </w:rPr>
        <w:fldChar w:fldCharType="begin">
          <w:fldData xml:space="preserve">PEVuZE5vdGU+PENpdGU+PEF1dGhvcj5GcmFuazwvQXV0aG9yPjxZZWFyPjE5NDU8L1llYXI+PFJl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</w:fldData>
        </w:fldChar>
      </w:r>
      <w:r w:rsidR="00F04E2C">
        <w:rPr>
          <w:bCs/>
          <w:iCs/>
        </w:rPr>
        <w:instrText xml:space="preserve"> ADDIN EN.CITE </w:instrText>
      </w:r>
      <w:r w:rsidR="0075172E">
        <w:rPr>
          <w:bCs/>
          <w:iCs/>
        </w:rPr>
        <w:fldChar w:fldCharType="begin">
          <w:fldData xml:space="preserve">PEVuZE5vdGU+PENpdGU+PEF1dGhvcj5GcmFuazwvQXV0aG9yPjxZZWFyPjE5NDU8L1llYXI+PFJl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</w:fldData>
        </w:fldChar>
      </w:r>
      <w:r w:rsidR="00F04E2C">
        <w:rPr>
          <w:bCs/>
          <w:iCs/>
        </w:rPr>
        <w:instrText xml:space="preserve"> ADDIN EN.CITE.DATA </w:instrText>
      </w:r>
      <w:r w:rsidR="0075172E">
        <w:rPr>
          <w:bCs/>
          <w:iCs/>
        </w:rPr>
      </w:r>
      <w:r w:rsidR="0075172E">
        <w:rPr>
          <w:bCs/>
          <w:iCs/>
        </w:rPr>
        <w:fldChar w:fldCharType="end"/>
      </w:r>
      <w:r w:rsidR="0075172E">
        <w:rPr>
          <w:bCs/>
          <w:iCs/>
        </w:rPr>
      </w:r>
      <w:r w:rsidR="0075172E">
        <w:rPr>
          <w:bCs/>
          <w:iCs/>
        </w:rPr>
        <w:fldChar w:fldCharType="separate"/>
      </w:r>
      <w:hyperlink w:anchor="_ENREF_16" w:tooltip="Frank, 1945 #196" w:history="1">
        <w:r w:rsidR="00512D09" w:rsidRPr="00F04E2C">
          <w:rPr>
            <w:bCs/>
            <w:iCs/>
            <w:noProof/>
            <w:vertAlign w:val="superscript"/>
          </w:rPr>
          <w:t>16</w:t>
        </w:r>
      </w:hyperlink>
      <w:r w:rsidR="00F04E2C" w:rsidRPr="00F04E2C">
        <w:rPr>
          <w:bCs/>
          <w:iCs/>
          <w:noProof/>
          <w:vertAlign w:val="superscript"/>
        </w:rPr>
        <w:t>,</w:t>
      </w:r>
      <w:hyperlink w:anchor="_ENREF_71" w:tooltip="Bakker, 2012 #727" w:history="1">
        <w:r w:rsidR="00512D09" w:rsidRPr="00F04E2C">
          <w:rPr>
            <w:bCs/>
            <w:iCs/>
            <w:noProof/>
            <w:vertAlign w:val="superscript"/>
          </w:rPr>
          <w:t>71</w:t>
        </w:r>
      </w:hyperlink>
      <w:r w:rsidR="0075172E">
        <w:rPr>
          <w:bCs/>
          <w:iCs/>
        </w:rPr>
        <w:fldChar w:fldCharType="end"/>
      </w:r>
      <w:r w:rsidR="00381C49">
        <w:rPr>
          <w:bCs/>
          <w:iCs/>
        </w:rPr>
        <w:t xml:space="preserve"> </w:t>
      </w:r>
      <w:r w:rsidR="00B6527E">
        <w:rPr>
          <w:bCs/>
          <w:iCs/>
        </w:rPr>
        <w:t>Such thinking was used by Edwin Haslam to describe how water behaves around apolar groups with tannins, referring to the partially ordered water as “icebergs”, a popular term originating from the work by Frank and Evans.</w:t>
      </w:r>
      <w:hyperlink w:anchor="_ENREF_72" w:tooltip="Haslam, 1996 #442" w:history="1">
        <w:r w:rsidR="00512D09">
          <w:rPr>
            <w:bCs/>
            <w:iCs/>
          </w:rPr>
          <w:fldChar w:fldCharType="begin"/>
        </w:r>
        <w:r w:rsidR="00512D09">
          <w:rPr>
            <w:bCs/>
            <w:iCs/>
          </w:rPr>
          <w:instrText xml:space="preserve"> ADDIN EN.CITE &lt;EndNote&gt;&lt;Cite&gt;&lt;Author&gt;Haslam&lt;/Author&gt;&lt;Year&gt;1996&lt;/Year&gt;&lt;RecNum&gt;442&lt;/RecNum&gt;&lt;DisplayText&gt;&lt;style face="superscript"&gt;72&lt;/style&gt;&lt;/DisplayText&gt;&lt;record&gt;&lt;rec-number&gt;442&lt;/rec-number&gt;&lt;foreign-keys&gt;&lt;key app="EN" db-id="5trrespwzsdr07efd5tx2w96x22re9s0fsdt"&gt;442&lt;/key&gt;&lt;/foreign-keys&gt;&lt;ref-type name="Journal Article"&gt;17&lt;/ref-type&gt;&lt;contributors&gt;&lt;authors&gt;&lt;author&gt;Haslam, Edwin&lt;/author&gt;&lt;/authors&gt;&lt;/contributors&gt;&lt;titles&gt;&lt;title&gt;Natural polyphenols (vegetable tannins) as drugs: possible modes of action&lt;/title&gt;&lt;secondary-title&gt;Journal of natural products&lt;/secondary-title&gt;&lt;/titles&gt;&lt;periodical&gt;&lt;full-title&gt;Journal of natural products&lt;/full-title&gt;&lt;/periodical&gt;&lt;pages&gt;205-215&lt;/pages&gt;&lt;volume&gt;59&lt;/volume&gt;&lt;number&gt;2&lt;/number&gt;&lt;dates&gt;&lt;year&gt;1996&lt;/year&gt;&lt;/dates&gt;&lt;isbn&gt;0163-3864&lt;/isbn&gt;&lt;urls&gt;&lt;/urls&gt;&lt;/record&gt;&lt;/Cite&gt;&lt;/EndNote&gt;</w:instrText>
        </w:r>
        <w:r w:rsidR="00512D09">
          <w:rPr>
            <w:bCs/>
            <w:iCs/>
          </w:rPr>
          <w:fldChar w:fldCharType="separate"/>
        </w:r>
        <w:r w:rsidR="00512D09" w:rsidRPr="00F80CAD">
          <w:rPr>
            <w:bCs/>
            <w:iCs/>
            <w:noProof/>
            <w:vertAlign w:val="superscript"/>
          </w:rPr>
          <w:t>72</w:t>
        </w:r>
        <w:r w:rsidR="00512D09">
          <w:rPr>
            <w:bCs/>
            <w:iCs/>
          </w:rPr>
          <w:fldChar w:fldCharType="end"/>
        </w:r>
      </w:hyperlink>
      <w:r w:rsidR="00B6527E">
        <w:rPr>
          <w:bCs/>
          <w:iCs/>
        </w:rPr>
        <w:t xml:space="preserve"> </w:t>
      </w:r>
      <w:r w:rsidR="00381C49">
        <w:rPr>
          <w:bCs/>
          <w:iCs/>
        </w:rPr>
        <w:t>However, Qv</w:t>
      </w:r>
      <w:r w:rsidRPr="003D5CD4">
        <w:rPr>
          <w:bCs/>
          <w:iCs/>
        </w:rPr>
        <w:t>ist and Halle sh</w:t>
      </w:r>
      <w:r w:rsidR="0046233F">
        <w:rPr>
          <w:bCs/>
          <w:iCs/>
        </w:rPr>
        <w:t xml:space="preserve">owed water does not behave as an “iceberg” </w:t>
      </w:r>
      <w:r w:rsidRPr="003D5CD4">
        <w:rPr>
          <w:bCs/>
          <w:iCs/>
        </w:rPr>
        <w:t xml:space="preserve">around apolar molecules. It has been speculated that it might not exist </w:t>
      </w:r>
      <w:r w:rsidR="00381C49">
        <w:rPr>
          <w:bCs/>
          <w:iCs/>
        </w:rPr>
        <w:t>at all. Using NMR-</w:t>
      </w:r>
      <w:r w:rsidR="001537A7">
        <w:rPr>
          <w:bCs/>
          <w:iCs/>
        </w:rPr>
        <w:t xml:space="preserve">MRD </w:t>
      </w:r>
      <w:r w:rsidR="00381C49">
        <w:rPr>
          <w:bCs/>
          <w:iCs/>
        </w:rPr>
        <w:t>and MDS Qv</w:t>
      </w:r>
      <w:r w:rsidRPr="003D5CD4">
        <w:rPr>
          <w:bCs/>
          <w:iCs/>
        </w:rPr>
        <w:t>ist and Halle showed that water has a faster rotation time below 255 K than the bulk water for simple peptides</w:t>
      </w:r>
      <w:r w:rsidR="00C82662">
        <w:rPr>
          <w:bCs/>
          <w:iCs/>
        </w:rPr>
        <w:t>.</w:t>
      </w:r>
      <w:r w:rsidRPr="003D5CD4">
        <w:rPr>
          <w:bCs/>
          <w:iCs/>
        </w:rPr>
        <w:t xml:space="preserve"> </w:t>
      </w:r>
      <w:hyperlink w:anchor="_ENREF_73" w:tooltip="Qvist, 2008 #197" w:history="1">
        <w:r w:rsidR="00512D09" w:rsidRPr="003D5CD4">
          <w:rPr>
            <w:bCs/>
            <w:iCs/>
          </w:rPr>
          <w:fldChar w:fldCharType="begin"/>
        </w:r>
        <w:r w:rsidR="00512D09">
          <w:rPr>
            <w:bCs/>
            <w:iCs/>
          </w:rPr>
          <w:instrText xml:space="preserve"> ADDIN EN.CITE &lt;EndNote&gt;&lt;Cite&gt;&lt;Author&gt;Qvist&lt;/Author&gt;&lt;Year&gt;2008&lt;/Year&gt;&lt;RecNum&gt;197&lt;/RecNum&gt;&lt;DisplayText&gt;&lt;style face="superscript"&gt;73&lt;/style&gt;&lt;/DisplayText&gt;&lt;record&gt;&lt;rec-number&gt;197&lt;/rec-number&gt;&lt;foreign-keys&gt;&lt;key app="EN" db-id="5trrespwzsdr07efd5tx2w96x22re9s0fsdt"&gt;197&lt;/key&gt;&lt;/foreign-keys&gt;&lt;ref-type name="Journal Article"&gt;17&lt;/ref-type&gt;&lt;contributors&gt;&lt;authors&gt;&lt;author&gt;Qvist, Johan&lt;/author&gt;&lt;author&gt;Halle, Bertil&lt;/author&gt;&lt;/authors&gt;&lt;/contributors&gt;&lt;titles&gt;&lt;title&gt;Thermal signature of hydrophobic hydration dynamics&lt;/title&gt;&lt;secondary-title&gt;J Am Chem Soc&lt;/secondary-title&gt;&lt;/titles&gt;&lt;periodical&gt;&lt;full-title&gt;J Am Chem Soc&lt;/full-title&gt;&lt;abbr-1&gt;Journal of the American Chemical Society&lt;/abbr-1&gt;&lt;/periodical&gt;&lt;pages&gt;10345-10353&lt;/pages&gt;&lt;volume&gt;130&lt;/volume&gt;&lt;number&gt;31&lt;/number&gt;&lt;dates&gt;&lt;year&gt;2008&lt;/year&gt;&lt;pub-dates&gt;&lt;date&gt;Aug 6&lt;/date&gt;&lt;/pub-dates&gt;&lt;/dates&gt;&lt;isbn&gt;0002-7863&lt;/isbn&gt;&lt;accession-num&gt;WOS:000258080600057&lt;/accession-num&gt;&lt;urls&gt;&lt;related-urls&gt;&lt;url&gt;&amp;lt;Go to ISI&amp;gt;://WOS:000258080600057&lt;/url&gt;&lt;/related-urls&gt;&lt;/urls&gt;&lt;electronic-resource-num&gt;10.1021/ja802668w&lt;/electronic-resource-num&gt;&lt;/record&gt;&lt;/Cite&gt;&lt;/EndNote&gt;</w:instrText>
        </w:r>
        <w:r w:rsidR="00512D09" w:rsidRPr="003D5CD4">
          <w:rPr>
            <w:bCs/>
            <w:iCs/>
          </w:rPr>
          <w:fldChar w:fldCharType="separate"/>
        </w:r>
        <w:r w:rsidR="00512D09" w:rsidRPr="00F80CAD">
          <w:rPr>
            <w:bCs/>
            <w:iCs/>
            <w:noProof/>
            <w:vertAlign w:val="superscript"/>
          </w:rPr>
          <w:t>73</w:t>
        </w:r>
        <w:r w:rsidR="00512D09" w:rsidRPr="003D5CD4">
          <w:fldChar w:fldCharType="end"/>
        </w:r>
      </w:hyperlink>
      <w:r w:rsidR="00381C49">
        <w:rPr>
          <w:bCs/>
          <w:iCs/>
        </w:rPr>
        <w:t xml:space="preserve"> Qv</w:t>
      </w:r>
      <w:r w:rsidRPr="003D5CD4">
        <w:rPr>
          <w:bCs/>
          <w:iCs/>
        </w:rPr>
        <w:t xml:space="preserve">ist and Halle believed the water in the bulk was becoming more tetrahedral on cooling. Whilst, water near apolar peptides has a different structure which is not </w:t>
      </w:r>
      <w:r w:rsidR="00B6527E">
        <w:rPr>
          <w:bCs/>
          <w:iCs/>
        </w:rPr>
        <w:t>an “iceberg”</w:t>
      </w:r>
      <w:r w:rsidRPr="003D5CD4">
        <w:rPr>
          <w:bCs/>
          <w:iCs/>
        </w:rPr>
        <w:t xml:space="preserve"> but altered by the apolar surface area. They believed the water near apolar peptides could participate in the hydrogen bond network which would affect the configurational freedom of the surrounding water molecules slowing down their reorganisation time</w:t>
      </w:r>
      <w:r w:rsidR="00381C49">
        <w:rPr>
          <w:bCs/>
          <w:iCs/>
        </w:rPr>
        <w:t xml:space="preserve"> by a factor of three</w:t>
      </w:r>
      <w:r w:rsidRPr="003D5CD4">
        <w:rPr>
          <w:bCs/>
          <w:iCs/>
        </w:rPr>
        <w:t xml:space="preserve">.  </w:t>
      </w:r>
    </w:p>
    <w:p w:rsidR="003D1226" w:rsidRDefault="003D1226" w:rsidP="00217116">
      <w:pPr>
        <w:spacing w:line="480" w:lineRule="auto"/>
        <w:jc w:val="both"/>
        <w:rPr>
          <w:bCs/>
          <w:iCs/>
        </w:rPr>
      </w:pPr>
    </w:p>
    <w:p w:rsidR="003D1226" w:rsidRDefault="003D1226" w:rsidP="00217116">
      <w:pPr>
        <w:spacing w:line="480" w:lineRule="auto"/>
        <w:jc w:val="both"/>
        <w:rPr>
          <w:bCs/>
          <w:iCs/>
        </w:rPr>
      </w:pPr>
    </w:p>
    <w:p w:rsidR="00F80CAD" w:rsidRPr="003D5CD4" w:rsidRDefault="00F80CAD" w:rsidP="00217116">
      <w:pPr>
        <w:spacing w:line="480" w:lineRule="auto"/>
        <w:jc w:val="both"/>
        <w:rPr>
          <w:bCs/>
          <w:iCs/>
        </w:rPr>
      </w:pPr>
    </w:p>
    <w:p w:rsidR="003D5CD4" w:rsidRDefault="0053318E" w:rsidP="00514313">
      <w:pPr>
        <w:pStyle w:val="Heading3"/>
      </w:pPr>
      <w:bookmarkStart w:id="42" w:name="_Toc376614244"/>
      <w:bookmarkStart w:id="43" w:name="_Toc459130665"/>
      <w:r>
        <w:lastRenderedPageBreak/>
        <w:t>Pump Probe S</w:t>
      </w:r>
      <w:r w:rsidR="003D5CD4" w:rsidRPr="003D5CD4">
        <w:t>pectroscopy</w:t>
      </w:r>
      <w:bookmarkEnd w:id="42"/>
      <w:bookmarkEnd w:id="43"/>
    </w:p>
    <w:p w:rsidR="0077575C" w:rsidRPr="0077575C" w:rsidRDefault="0077575C" w:rsidP="0077575C"/>
    <w:p w:rsidR="003D5CD4" w:rsidRPr="003D5CD4" w:rsidRDefault="003D5CD4" w:rsidP="00217116">
      <w:pPr>
        <w:spacing w:line="480" w:lineRule="auto"/>
        <w:jc w:val="both"/>
        <w:rPr>
          <w:bCs/>
          <w:iCs/>
        </w:rPr>
      </w:pPr>
      <w:r w:rsidRPr="003D5CD4">
        <w:rPr>
          <w:bCs/>
          <w:iCs/>
        </w:rPr>
        <w:t xml:space="preserve">Mazur </w:t>
      </w:r>
      <w:r w:rsidR="002D4FF8">
        <w:rPr>
          <w:bCs/>
          <w:i/>
          <w:iCs/>
        </w:rPr>
        <w:t xml:space="preserve">et al. </w:t>
      </w:r>
      <w:r w:rsidRPr="003D5CD4">
        <w:rPr>
          <w:bCs/>
          <w:iCs/>
        </w:rPr>
        <w:t xml:space="preserve">used a </w:t>
      </w:r>
      <w:r w:rsidR="00CB3C2F" w:rsidRPr="003D5CD4">
        <w:rPr>
          <w:bCs/>
          <w:iCs/>
        </w:rPr>
        <w:t xml:space="preserve">Non-Resonant Pump Probe </w:t>
      </w:r>
      <w:r w:rsidRPr="003D5CD4">
        <w:rPr>
          <w:bCs/>
          <w:iCs/>
        </w:rPr>
        <w:t xml:space="preserve">spectroscopy to discern the effect of temperature and concentration on water dynamics by two osmolytes </w:t>
      </w:r>
      <w:r w:rsidR="007C1E6F" w:rsidRPr="007C1E6F">
        <w:rPr>
          <w:bCs/>
          <w:iCs/>
        </w:rPr>
        <w:t>trimethylamine </w:t>
      </w:r>
      <w:r w:rsidR="007C1E6F" w:rsidRPr="007C1E6F">
        <w:rPr>
          <w:bCs/>
          <w:i/>
          <w:iCs/>
        </w:rPr>
        <w:t>N</w:t>
      </w:r>
      <w:r w:rsidR="007C1E6F" w:rsidRPr="007C1E6F">
        <w:rPr>
          <w:bCs/>
          <w:iCs/>
        </w:rPr>
        <w:t xml:space="preserve">-oxide </w:t>
      </w:r>
      <w:r w:rsidR="007C1E6F">
        <w:rPr>
          <w:bCs/>
          <w:iCs/>
        </w:rPr>
        <w:t>(</w:t>
      </w:r>
      <w:r w:rsidRPr="003D5CD4">
        <w:rPr>
          <w:bCs/>
          <w:iCs/>
        </w:rPr>
        <w:t>TMAO</w:t>
      </w:r>
      <w:r w:rsidR="007C1E6F">
        <w:rPr>
          <w:bCs/>
          <w:iCs/>
        </w:rPr>
        <w:t>)</w:t>
      </w:r>
      <w:r w:rsidRPr="003D5CD4">
        <w:rPr>
          <w:bCs/>
          <w:iCs/>
        </w:rPr>
        <w:t xml:space="preserve"> and </w:t>
      </w:r>
      <w:r w:rsidR="007C1E6F" w:rsidRPr="007C1E6F">
        <w:rPr>
          <w:bCs/>
          <w:i/>
          <w:iCs/>
        </w:rPr>
        <w:t>tert</w:t>
      </w:r>
      <w:r w:rsidR="007C1E6F" w:rsidRPr="007C1E6F">
        <w:rPr>
          <w:bCs/>
          <w:iCs/>
        </w:rPr>
        <w:t xml:space="preserve">-Butyl alcohol </w:t>
      </w:r>
      <w:r w:rsidR="007C1E6F">
        <w:rPr>
          <w:bCs/>
          <w:iCs/>
        </w:rPr>
        <w:t>(</w:t>
      </w:r>
      <w:r w:rsidRPr="003D5CD4">
        <w:rPr>
          <w:bCs/>
          <w:iCs/>
        </w:rPr>
        <w:t>TBA</w:t>
      </w:r>
      <w:r w:rsidR="007C1E6F">
        <w:rPr>
          <w:bCs/>
          <w:iCs/>
        </w:rPr>
        <w:t>)</w:t>
      </w:r>
      <w:r w:rsidR="00C82662">
        <w:rPr>
          <w:bCs/>
          <w:iCs/>
        </w:rPr>
        <w:t>.</w:t>
      </w:r>
      <w:r w:rsidRPr="003D5CD4">
        <w:rPr>
          <w:bCs/>
          <w:iCs/>
        </w:rPr>
        <w:t xml:space="preserve"> </w:t>
      </w:r>
      <w:hyperlink w:anchor="_ENREF_74" w:tooltip="Mazur, 2012 #266" w:history="1">
        <w:r w:rsidR="00512D09" w:rsidRPr="003D5CD4">
          <w:rPr>
            <w:bCs/>
            <w:iCs/>
          </w:rPr>
          <w:fldChar w:fldCharType="begin"/>
        </w:r>
        <w:r w:rsidR="00512D09">
          <w:rPr>
            <w:bCs/>
            <w:iCs/>
          </w:rPr>
          <w:instrText xml:space="preserve"> ADDIN EN.CITE &lt;EndNote&gt;&lt;Cite&gt;&lt;Author&gt;Mazur&lt;/Author&gt;&lt;Year&gt;2012&lt;/Year&gt;&lt;RecNum&gt;266&lt;/RecNum&gt;&lt;DisplayText&gt;&lt;style face="superscript"&gt;74&lt;/style&gt;&lt;/DisplayText&gt;&lt;record&gt;&lt;rec-number&gt;266&lt;/rec-number&gt;&lt;foreign-keys&gt;&lt;key app="EN" db-id="5trrespwzsdr07efd5tx2w96x22re9s0fsdt"&gt;266&lt;/key&gt;&lt;/foreign-keys&gt;&lt;ref-type name="Journal Article"&gt;17&lt;/ref-type&gt;&lt;contributors&gt;&lt;authors&gt;&lt;author&gt;Mazur, Kamila&lt;/author&gt;&lt;author&gt;Heisler, Ismael A.&lt;/author&gt;&lt;author&gt;Meech, Stephen R.&lt;/author&gt;&lt;/authors&gt;&lt;/contributors&gt;&lt;titles&gt;&lt;title&gt;Aqueous solvation of amphiphilic solutes: concentration and temperature dependent study of the ultrafast polarisability relaxation dynamics&lt;/title&gt;&lt;secondary-title&gt;Physical Chemistry Chemical Physics&lt;/secondary-title&gt;&lt;/titles&gt;&lt;periodical&gt;&lt;full-title&gt;Physical Chemistry Chemical Physics&lt;/full-title&gt;&lt;/periodical&gt;&lt;pages&gt;6343-6351&lt;/pages&gt;&lt;volume&gt;14&lt;/volume&gt;&lt;number&gt;18&lt;/number&gt;&lt;dates&gt;&lt;year&gt;2012&lt;/year&gt;&lt;/dates&gt;&lt;publisher&gt;The Royal Society of Chemistry&lt;/publisher&gt;&lt;isbn&gt;1463-9076&lt;/isbn&gt;&lt;work-type&gt;10.1039/C2CP23806C&lt;/work-type&gt;&lt;urls&gt;&lt;related-urls&gt;&lt;url&gt;http://dx.doi.org/10.1039/C2CP23806C&lt;/url&gt;&lt;/related-urls&gt;&lt;/urls&gt;&lt;electronic-resource-num&gt;10.1039/c2cp23806c&lt;/electronic-resource-num&gt;&lt;/record&gt;&lt;/Cite&gt;&lt;/EndNote&gt;</w:instrText>
        </w:r>
        <w:r w:rsidR="00512D09" w:rsidRPr="003D5CD4">
          <w:rPr>
            <w:bCs/>
            <w:iCs/>
          </w:rPr>
          <w:fldChar w:fldCharType="separate"/>
        </w:r>
        <w:r w:rsidR="00512D09" w:rsidRPr="00F80CAD">
          <w:rPr>
            <w:bCs/>
            <w:iCs/>
            <w:noProof/>
            <w:vertAlign w:val="superscript"/>
          </w:rPr>
          <w:t>74</w:t>
        </w:r>
        <w:r w:rsidR="00512D09" w:rsidRPr="003D5CD4">
          <w:fldChar w:fldCharType="end"/>
        </w:r>
      </w:hyperlink>
      <w:r w:rsidR="00B650CC">
        <w:t xml:space="preserve"> </w:t>
      </w:r>
      <w:r w:rsidRPr="003D5CD4">
        <w:rPr>
          <w:bCs/>
          <w:iCs/>
        </w:rPr>
        <w:t xml:space="preserve">Both compounds could be considered hydrophobic due to the large number of methyl groups, however TBA has a hydroxyl whilst TMAO contains a charged nitrogen oxygen bond. TMAO solutions were found to slow down water dynamics at increasing concentrations, whilst TBA slowed down water dynamics above 2 M. TMAO showed minor changes in hydration dynamics at increasing temperature, whilst with TBA it was found to be temperature dependent, a possible sign of temperature dependent aggregation. From this, they believed that hydrophobic groups have a negligible contribution on water, with polar groups having a larger effect. Backulin </w:t>
      </w:r>
      <w:r w:rsidR="002D4FF8">
        <w:rPr>
          <w:bCs/>
          <w:i/>
          <w:iCs/>
        </w:rPr>
        <w:t xml:space="preserve">et al. </w:t>
      </w:r>
      <w:r w:rsidRPr="003D5CD4">
        <w:rPr>
          <w:bCs/>
          <w:iCs/>
        </w:rPr>
        <w:t xml:space="preserve">found similar hydration shell dynamics for both TBA and TMAO using 2D vibrational spectroscopy and </w:t>
      </w:r>
      <w:r w:rsidR="00CB3C2F" w:rsidRPr="003D5CD4">
        <w:rPr>
          <w:bCs/>
          <w:iCs/>
        </w:rPr>
        <w:t xml:space="preserve">Polarization-Resolved Pump−Probe </w:t>
      </w:r>
      <w:r w:rsidRPr="003D5CD4">
        <w:rPr>
          <w:bCs/>
          <w:iCs/>
        </w:rPr>
        <w:t>spectroscopy. In addition to this, they found tetramethylurea, a compound with an additional methyl group slowed down hydration dynamics more than TBA and TMAO which both contain 3</w:t>
      </w:r>
      <w:r w:rsidR="00C82662">
        <w:rPr>
          <w:bCs/>
          <w:iCs/>
        </w:rPr>
        <w:t>.</w:t>
      </w:r>
      <w:hyperlink w:anchor="_ENREF_75" w:tooltip="Bakulin, 2011 #267" w:history="1">
        <w:r w:rsidR="00512D09" w:rsidRPr="003D5CD4">
          <w:rPr>
            <w:bCs/>
            <w:iCs/>
          </w:rPr>
          <w:fldChar w:fldCharType="begin"/>
        </w:r>
        <w:r w:rsidR="00512D09">
          <w:rPr>
            <w:bCs/>
            <w:iCs/>
          </w:rPr>
          <w:instrText xml:space="preserve"> ADDIN EN.CITE &lt;EndNote&gt;&lt;Cite&gt;&lt;Author&gt;Bakulin&lt;/Author&gt;&lt;Year&gt;2011&lt;/Year&gt;&lt;RecNum&gt;267&lt;/RecNum&gt;&lt;DisplayText&gt;&lt;style face="superscript"&gt;75&lt;/style&gt;&lt;/DisplayText&gt;&lt;record&gt;&lt;rec-number&gt;267&lt;/rec-number&gt;&lt;foreign-keys&gt;&lt;key app="EN" db-id="5trrespwzsdr07efd5tx2w96x22re9s0fsdt"&gt;267&lt;/key&gt;&lt;/foreign-keys&gt;&lt;ref-type name="Journal Article"&gt;17&lt;/ref-type&gt;&lt;contributors&gt;&lt;authors&gt;&lt;author&gt;Bakulin, Artem A.&lt;/author&gt;&lt;author&gt;Pshenichnikov, Maxim S.&lt;/author&gt;&lt;author&gt;Bakker, Huib J.&lt;/author&gt;&lt;author&gt;Petersen, Christian&lt;/author&gt;&lt;/authors&gt;&lt;/contributors&gt;&lt;titles&gt;&lt;title&gt;Hydrophobic Molecules Slow Down the Hydrogen-Bond Dynamics of Water&lt;/title&gt;&lt;secondary-title&gt;The Journal of Physical Chemistry A&lt;/secondary-title&gt;&lt;/titles&gt;&lt;periodical&gt;&lt;full-title&gt;The Journal of Physical Chemistry A&lt;/full-title&gt;&lt;/periodical&gt;&lt;pages&gt;1821-1829&lt;/pages&gt;&lt;volume&gt;115&lt;/volume&gt;&lt;number&gt;10&lt;/number&gt;&lt;dates&gt;&lt;year&gt;2011&lt;/year&gt;&lt;pub-dates&gt;&lt;date&gt;2011/03/17&lt;/date&gt;&lt;/pub-dates&gt;&lt;/dates&gt;&lt;publisher&gt;American Chemical Society&lt;/publisher&gt;&lt;isbn&gt;1089-5639&lt;/isbn&gt;&lt;urls&gt;&lt;related-urls&gt;&lt;url&gt;http://dx.doi.org/10.1021/jp107881j&lt;/url&gt;&lt;/related-urls&gt;&lt;/urls&gt;&lt;electronic-resource-num&gt;10.1021/jp107881j&lt;/electronic-resource-num&gt;&lt;access-date&gt;2013/11/19&lt;/access-date&gt;&lt;/record&gt;&lt;/Cite&gt;&lt;/EndNote&gt;</w:instrText>
        </w:r>
        <w:r w:rsidR="00512D09" w:rsidRPr="003D5CD4">
          <w:rPr>
            <w:bCs/>
            <w:iCs/>
          </w:rPr>
          <w:fldChar w:fldCharType="separate"/>
        </w:r>
        <w:r w:rsidR="00512D09" w:rsidRPr="00F80CAD">
          <w:rPr>
            <w:bCs/>
            <w:iCs/>
            <w:noProof/>
            <w:vertAlign w:val="superscript"/>
          </w:rPr>
          <w:t>75</w:t>
        </w:r>
        <w:r w:rsidR="00512D09" w:rsidRPr="003D5CD4">
          <w:fldChar w:fldCharType="end"/>
        </w:r>
      </w:hyperlink>
      <w:r w:rsidR="00B650CC">
        <w:t xml:space="preserve"> </w:t>
      </w:r>
      <w:r w:rsidRPr="003D5CD4">
        <w:rPr>
          <w:bCs/>
          <w:iCs/>
        </w:rPr>
        <w:t xml:space="preserve">The work done </w:t>
      </w:r>
      <w:r w:rsidR="00DA0265">
        <w:rPr>
          <w:bCs/>
          <w:iCs/>
        </w:rPr>
        <w:t xml:space="preserve">opposes that done by Mazur </w:t>
      </w:r>
      <w:r w:rsidR="002D4FF8">
        <w:rPr>
          <w:bCs/>
          <w:i/>
          <w:iCs/>
        </w:rPr>
        <w:t xml:space="preserve">et al. </w:t>
      </w:r>
      <w:r w:rsidR="00DA0265">
        <w:rPr>
          <w:bCs/>
          <w:iCs/>
        </w:rPr>
        <w:t xml:space="preserve">and </w:t>
      </w:r>
      <w:r w:rsidRPr="003D5CD4">
        <w:rPr>
          <w:bCs/>
          <w:iCs/>
        </w:rPr>
        <w:t xml:space="preserve">was used to suggest that hydrophobic methyl groups slow down hydration dynamics more and that previous experiments had underestimated the contribution made by methyl groups. </w:t>
      </w:r>
      <w:r w:rsidR="00DA0265">
        <w:rPr>
          <w:bCs/>
          <w:iCs/>
        </w:rPr>
        <w:t xml:space="preserve">A possible reason could be that TBA was aggregating at the high concentrations used by Backulin </w:t>
      </w:r>
      <w:r w:rsidR="002D4FF8">
        <w:rPr>
          <w:bCs/>
          <w:i/>
          <w:iCs/>
        </w:rPr>
        <w:t xml:space="preserve">et al. </w:t>
      </w:r>
    </w:p>
    <w:p w:rsidR="003D5CD4" w:rsidRDefault="0053318E" w:rsidP="00514313">
      <w:pPr>
        <w:pStyle w:val="Heading3"/>
      </w:pPr>
      <w:bookmarkStart w:id="44" w:name="_Toc376614245"/>
      <w:bookmarkStart w:id="45" w:name="_Toc459130666"/>
      <w:r>
        <w:t>Terahertz S</w:t>
      </w:r>
      <w:r w:rsidR="003D5CD4" w:rsidRPr="003D5CD4">
        <w:t>pectroscopy</w:t>
      </w:r>
      <w:bookmarkEnd w:id="44"/>
      <w:bookmarkEnd w:id="45"/>
      <w:r w:rsidR="003D5CD4" w:rsidRPr="003D5CD4">
        <w:t xml:space="preserve"> </w:t>
      </w:r>
    </w:p>
    <w:p w:rsidR="0077575C" w:rsidRPr="0077575C" w:rsidRDefault="0077575C" w:rsidP="0077575C"/>
    <w:p w:rsidR="0092704A" w:rsidRPr="005A004A" w:rsidRDefault="003D5CD4" w:rsidP="00217116">
      <w:pPr>
        <w:spacing w:line="480" w:lineRule="auto"/>
        <w:jc w:val="both"/>
        <w:rPr>
          <w:bCs/>
          <w:iCs/>
        </w:rPr>
      </w:pPr>
      <w:r w:rsidRPr="003D5CD4">
        <w:rPr>
          <w:bCs/>
          <w:iCs/>
        </w:rPr>
        <w:t xml:space="preserve">MDS based on THz information led Niehues </w:t>
      </w:r>
      <w:r w:rsidR="002D4FF8">
        <w:rPr>
          <w:bCs/>
          <w:i/>
          <w:iCs/>
        </w:rPr>
        <w:t xml:space="preserve">et al. </w:t>
      </w:r>
      <w:r w:rsidRPr="003D5CD4">
        <w:rPr>
          <w:bCs/>
          <w:iCs/>
        </w:rPr>
        <w:t>to believe that both hydrophobic and hydrophilic groups increased the hydrogen bond lifetimes within a distance of 5 Å compared to water within the bulk</w:t>
      </w:r>
      <w:r w:rsidR="00C82662">
        <w:rPr>
          <w:bCs/>
          <w:iCs/>
        </w:rPr>
        <w:t>.</w:t>
      </w:r>
      <w:r w:rsidRPr="003D5CD4">
        <w:rPr>
          <w:bCs/>
          <w:iCs/>
        </w:rPr>
        <w:t xml:space="preserve"> </w:t>
      </w:r>
      <w:hyperlink w:anchor="_ENREF_44" w:tooltip="Niehues, 2011 #190" w:history="1">
        <w:r w:rsidR="00512D09" w:rsidRPr="003D5CD4">
          <w:rPr>
            <w:bCs/>
            <w:iCs/>
          </w:rPr>
          <w:fldChar w:fldCharType="begin"/>
        </w:r>
        <w:r w:rsidR="00512D09">
          <w:rPr>
            <w:bCs/>
            <w:iCs/>
          </w:rPr>
          <w:instrText xml:space="preserve"> ADDIN EN.CITE &lt;EndNote&gt;&lt;Cite&gt;&lt;Author&gt;Niehues&lt;/Author&gt;&lt;Year&gt;2011&lt;/Year&gt;&lt;RecNum&gt;190&lt;/RecNum&gt;&lt;DisplayText&gt;&lt;style face="superscript"&gt;44&lt;/style&gt;&lt;/DisplayText&gt;&lt;record&gt;&lt;rec-number&gt;190&lt;/rec-number&gt;&lt;foreign-keys&gt;&lt;key app="EN" db-id="5trrespwzsdr07efd5tx2w96x22re9s0fsdt"&gt;190&lt;/key&gt;&lt;/foreign-keys&gt;&lt;ref-type name="Journal Article"&gt;17&lt;/ref-type&gt;&lt;contributors&gt;&lt;authors&gt;&lt;author&gt;Niehues, Gudrun&lt;/author&gt;&lt;author&gt;Heyden, Matthias&lt;/author&gt;&lt;author&gt;Schmidt, Diedrich A.&lt;/author&gt;&lt;author&gt;Havenith, Martina&lt;/author&gt;&lt;/authors&gt;&lt;/contributors&gt;&lt;titles&gt;&lt;title&gt;Exploring hydrophobicity by THz absorption spectroscopy of solvated amino acids&lt;/title&gt;&lt;secondary-title&gt;Faraday Discussions&lt;/secondary-title&gt;&lt;/titles&gt;&lt;periodical&gt;&lt;full-title&gt;Faraday Discussions&lt;/full-title&gt;&lt;/periodical&gt;&lt;pages&gt;193-207&lt;/pages&gt;&lt;volume&gt;150&lt;/volume&gt;&lt;dates&gt;&lt;year&gt;2011&lt;/year&gt;&lt;pub-dates&gt;&lt;date&gt;2011&lt;/date&gt;&lt;/pub-dates&gt;&lt;/dates&gt;&lt;isbn&gt;1359-6640&lt;/isbn&gt;&lt;accession-num&gt;WOS:000292977100010&lt;/accession-num&gt;&lt;urls&gt;&lt;related-urls&gt;&lt;url&gt;&amp;lt;Go to ISI&amp;gt;://WOS:000292977100010&lt;/url&gt;&lt;/related-urls&gt;&lt;/urls&gt;&lt;electronic-resource-num&gt;10.1039/c0fd00007h&lt;/electronic-resource-num&gt;&lt;/record&gt;&lt;/Cite&gt;&lt;/EndNote&gt;</w:instrText>
        </w:r>
        <w:r w:rsidR="00512D09" w:rsidRPr="003D5CD4">
          <w:rPr>
            <w:bCs/>
            <w:iCs/>
          </w:rPr>
          <w:fldChar w:fldCharType="separate"/>
        </w:r>
        <w:r w:rsidR="00512D09" w:rsidRPr="00F04E2C">
          <w:rPr>
            <w:bCs/>
            <w:iCs/>
            <w:noProof/>
            <w:vertAlign w:val="superscript"/>
          </w:rPr>
          <w:t>44</w:t>
        </w:r>
        <w:r w:rsidR="00512D09" w:rsidRPr="003D5CD4">
          <w:fldChar w:fldCharType="end"/>
        </w:r>
      </w:hyperlink>
      <w:r w:rsidRPr="003D5CD4">
        <w:rPr>
          <w:bCs/>
          <w:iCs/>
        </w:rPr>
        <w:t xml:space="preserve"> However, hydrophobic hydration was found to have a shorter lifetime of that of hydrophilic hydration by 10% on a ps timescale. With hydrophobic groups it was suggested that no solute-hydrogen bonds could form, but with </w:t>
      </w:r>
      <w:r w:rsidRPr="003D5CD4">
        <w:rPr>
          <w:bCs/>
          <w:iCs/>
        </w:rPr>
        <w:lastRenderedPageBreak/>
        <w:t xml:space="preserve">hydrophilic groups it was found that solute-water hydrogen bonds have appreciably higher lifetimes which reduce the rotational mobility of water within the hydration shell.  </w:t>
      </w:r>
    </w:p>
    <w:p w:rsidR="003D5CD4" w:rsidRPr="005549BB" w:rsidRDefault="0092704A" w:rsidP="0092704A">
      <w:pPr>
        <w:pStyle w:val="Caption"/>
        <w:spacing w:line="480" w:lineRule="auto"/>
        <w:jc w:val="center"/>
      </w:pPr>
      <w:r>
        <w:t xml:space="preserve">Table </w:t>
      </w:r>
      <w:r w:rsidR="0075172E">
        <w:fldChar w:fldCharType="begin"/>
      </w:r>
      <w:r w:rsidR="00AC2227">
        <w:instrText xml:space="preserve"> STYLEREF 1 \s </w:instrText>
      </w:r>
      <w:r w:rsidR="0075172E">
        <w:fldChar w:fldCharType="separate"/>
      </w:r>
      <w:r w:rsidR="00CB4EDC">
        <w:rPr>
          <w:noProof/>
        </w:rPr>
        <w:t>1</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9</w:t>
      </w:r>
      <w:r w:rsidR="0075172E">
        <w:fldChar w:fldCharType="end"/>
      </w:r>
      <w:r w:rsidR="005549BB">
        <w:t xml:space="preserve">: </w:t>
      </w:r>
      <w:r w:rsidR="005549BB">
        <w:rPr>
          <w:b w:val="0"/>
          <w:sz w:val="16"/>
          <w:szCs w:val="16"/>
        </w:rPr>
        <w:t xml:space="preserve"> </w:t>
      </w:r>
      <w:r w:rsidR="003D5CD4" w:rsidRPr="005549BB">
        <w:rPr>
          <w:sz w:val="16"/>
          <w:szCs w:val="16"/>
        </w:rPr>
        <w:t>Small molecule, hydration shell dynamics, size of the apparent hydration shell, small molecule concentration, buffer, temperature, reference and the particular technique used to determine these values. NR</w:t>
      </w:r>
      <w:r w:rsidR="003D5CD4" w:rsidRPr="005549BB">
        <w:rPr>
          <w:bCs w:val="0"/>
          <w:iCs/>
          <w:sz w:val="16"/>
          <w:szCs w:val="16"/>
        </w:rPr>
        <w:t>*</w:t>
      </w:r>
      <w:r w:rsidR="003D5CD4" w:rsidRPr="005549BB">
        <w:rPr>
          <w:sz w:val="16"/>
          <w:szCs w:val="16"/>
        </w:rPr>
        <w:t>= Although the hydration shell dynamics have not been reported, the Hydration/Bulk Retardation Factor ξ has been which yields how much the water is retarded around proteins.</w:t>
      </w:r>
    </w:p>
    <w:tbl>
      <w:tblPr>
        <w:tblW w:w="0" w:type="auto"/>
        <w:tblInd w:w="108" w:type="dxa"/>
        <w:tblLook w:val="04A0" w:firstRow="1" w:lastRow="0" w:firstColumn="1" w:lastColumn="0" w:noHBand="0" w:noVBand="1"/>
      </w:tblPr>
      <w:tblGrid>
        <w:gridCol w:w="1681"/>
        <w:gridCol w:w="1007"/>
        <w:gridCol w:w="917"/>
        <w:gridCol w:w="1188"/>
        <w:gridCol w:w="899"/>
        <w:gridCol w:w="832"/>
        <w:gridCol w:w="1123"/>
        <w:gridCol w:w="659"/>
      </w:tblGrid>
      <w:tr w:rsidR="003901D6" w:rsidRPr="008C74E7" w:rsidTr="001900AE">
        <w:tc>
          <w:tcPr>
            <w:tcW w:w="1768" w:type="dxa"/>
            <w:tcBorders>
              <w:top w:val="single" w:sz="4" w:space="0" w:color="auto"/>
              <w:bottom w:val="single" w:sz="4" w:space="0" w:color="auto"/>
            </w:tcBorders>
          </w:tcPr>
          <w:p w:rsidR="003D5CD4" w:rsidRPr="008C74E7" w:rsidRDefault="003D5CD4" w:rsidP="00EF0131">
            <w:pPr>
              <w:spacing w:line="480" w:lineRule="auto"/>
              <w:jc w:val="center"/>
              <w:rPr>
                <w:b/>
                <w:bCs/>
                <w:iCs/>
                <w:sz w:val="16"/>
                <w:szCs w:val="16"/>
              </w:rPr>
            </w:pPr>
            <w:r w:rsidRPr="008C74E7">
              <w:rPr>
                <w:b/>
                <w:bCs/>
                <w:iCs/>
                <w:sz w:val="16"/>
                <w:szCs w:val="16"/>
              </w:rPr>
              <w:t>Small molecule</w:t>
            </w:r>
          </w:p>
        </w:tc>
        <w:tc>
          <w:tcPr>
            <w:tcW w:w="1086" w:type="dxa"/>
            <w:tcBorders>
              <w:top w:val="single" w:sz="4" w:space="0" w:color="auto"/>
              <w:bottom w:val="single" w:sz="4" w:space="0" w:color="auto"/>
            </w:tcBorders>
          </w:tcPr>
          <w:p w:rsidR="003D5CD4" w:rsidRPr="008C74E7" w:rsidRDefault="003D5CD4" w:rsidP="00EF0131">
            <w:pPr>
              <w:spacing w:line="480" w:lineRule="auto"/>
              <w:jc w:val="center"/>
              <w:rPr>
                <w:b/>
                <w:bCs/>
                <w:iCs/>
                <w:sz w:val="16"/>
                <w:szCs w:val="16"/>
              </w:rPr>
            </w:pPr>
            <w:r w:rsidRPr="008C74E7">
              <w:rPr>
                <w:b/>
                <w:bCs/>
                <w:iCs/>
                <w:sz w:val="16"/>
                <w:szCs w:val="16"/>
              </w:rPr>
              <w:t>Hydration shell Dynamics</w:t>
            </w:r>
          </w:p>
        </w:tc>
        <w:tc>
          <w:tcPr>
            <w:tcW w:w="950" w:type="dxa"/>
            <w:tcBorders>
              <w:top w:val="single" w:sz="4" w:space="0" w:color="auto"/>
              <w:bottom w:val="single" w:sz="4" w:space="0" w:color="auto"/>
            </w:tcBorders>
          </w:tcPr>
          <w:p w:rsidR="003D5CD4" w:rsidRPr="008C74E7" w:rsidRDefault="003D5CD4" w:rsidP="00EF0131">
            <w:pPr>
              <w:spacing w:line="480" w:lineRule="auto"/>
              <w:jc w:val="center"/>
              <w:rPr>
                <w:b/>
                <w:bCs/>
                <w:iCs/>
                <w:sz w:val="16"/>
                <w:szCs w:val="16"/>
              </w:rPr>
            </w:pPr>
            <w:r w:rsidRPr="008C74E7">
              <w:rPr>
                <w:b/>
                <w:bCs/>
                <w:iCs/>
                <w:sz w:val="16"/>
                <w:szCs w:val="16"/>
              </w:rPr>
              <w:t>Size of apparent hydration shell</w:t>
            </w:r>
          </w:p>
          <w:p w:rsidR="003D5CD4" w:rsidRPr="008C74E7" w:rsidRDefault="003D5CD4" w:rsidP="00EF0131">
            <w:pPr>
              <w:spacing w:line="480" w:lineRule="auto"/>
              <w:jc w:val="center"/>
              <w:rPr>
                <w:b/>
                <w:bCs/>
                <w:iCs/>
                <w:sz w:val="16"/>
                <w:szCs w:val="16"/>
              </w:rPr>
            </w:pPr>
            <w:r w:rsidRPr="008C74E7">
              <w:rPr>
                <w:b/>
                <w:bCs/>
                <w:iCs/>
                <w:sz w:val="16"/>
                <w:szCs w:val="16"/>
              </w:rPr>
              <w:t>(Å)</w:t>
            </w:r>
          </w:p>
        </w:tc>
        <w:tc>
          <w:tcPr>
            <w:tcW w:w="1214" w:type="dxa"/>
            <w:tcBorders>
              <w:top w:val="single" w:sz="4" w:space="0" w:color="auto"/>
              <w:bottom w:val="single" w:sz="4" w:space="0" w:color="auto"/>
            </w:tcBorders>
          </w:tcPr>
          <w:p w:rsidR="003D5CD4" w:rsidRPr="008C74E7" w:rsidRDefault="003D5CD4" w:rsidP="00EF0131">
            <w:pPr>
              <w:spacing w:line="480" w:lineRule="auto"/>
              <w:jc w:val="center"/>
              <w:rPr>
                <w:b/>
                <w:bCs/>
                <w:iCs/>
                <w:sz w:val="16"/>
                <w:szCs w:val="16"/>
              </w:rPr>
            </w:pPr>
            <w:r w:rsidRPr="008C74E7">
              <w:rPr>
                <w:b/>
                <w:bCs/>
                <w:iCs/>
                <w:sz w:val="16"/>
                <w:szCs w:val="16"/>
              </w:rPr>
              <w:t>Small molecule  concentration</w:t>
            </w:r>
          </w:p>
          <w:p w:rsidR="003D5CD4" w:rsidRPr="008C74E7" w:rsidRDefault="003D5CD4" w:rsidP="00EF0131">
            <w:pPr>
              <w:spacing w:line="480" w:lineRule="auto"/>
              <w:jc w:val="center"/>
              <w:rPr>
                <w:b/>
                <w:bCs/>
                <w:iCs/>
                <w:sz w:val="16"/>
                <w:szCs w:val="16"/>
              </w:rPr>
            </w:pPr>
            <w:r w:rsidRPr="008C74E7">
              <w:rPr>
                <w:b/>
                <w:bCs/>
                <w:iCs/>
                <w:sz w:val="16"/>
                <w:szCs w:val="16"/>
              </w:rPr>
              <w:t>(mg/ml)</w:t>
            </w:r>
          </w:p>
        </w:tc>
        <w:tc>
          <w:tcPr>
            <w:tcW w:w="1070" w:type="dxa"/>
            <w:tcBorders>
              <w:top w:val="single" w:sz="4" w:space="0" w:color="auto"/>
              <w:bottom w:val="single" w:sz="4" w:space="0" w:color="auto"/>
            </w:tcBorders>
          </w:tcPr>
          <w:p w:rsidR="003D5CD4" w:rsidRPr="008C74E7" w:rsidRDefault="003D5CD4" w:rsidP="00EF0131">
            <w:pPr>
              <w:spacing w:line="480" w:lineRule="auto"/>
              <w:jc w:val="center"/>
              <w:rPr>
                <w:b/>
                <w:bCs/>
                <w:iCs/>
                <w:sz w:val="16"/>
                <w:szCs w:val="16"/>
              </w:rPr>
            </w:pPr>
            <w:r w:rsidRPr="008C74E7">
              <w:rPr>
                <w:b/>
                <w:bCs/>
                <w:iCs/>
                <w:sz w:val="16"/>
                <w:szCs w:val="16"/>
              </w:rPr>
              <w:t>Buffer</w:t>
            </w:r>
          </w:p>
        </w:tc>
        <w:tc>
          <w:tcPr>
            <w:tcW w:w="985" w:type="dxa"/>
            <w:tcBorders>
              <w:top w:val="single" w:sz="4" w:space="0" w:color="auto"/>
              <w:bottom w:val="single" w:sz="4" w:space="0" w:color="auto"/>
            </w:tcBorders>
          </w:tcPr>
          <w:p w:rsidR="003D5CD4" w:rsidRPr="008C74E7" w:rsidRDefault="003D5CD4" w:rsidP="00EF0131">
            <w:pPr>
              <w:spacing w:line="480" w:lineRule="auto"/>
              <w:jc w:val="center"/>
              <w:rPr>
                <w:b/>
                <w:bCs/>
                <w:iCs/>
                <w:sz w:val="16"/>
                <w:szCs w:val="16"/>
              </w:rPr>
            </w:pPr>
            <w:r w:rsidRPr="008C74E7">
              <w:rPr>
                <w:b/>
                <w:bCs/>
                <w:iCs/>
                <w:sz w:val="16"/>
                <w:szCs w:val="16"/>
              </w:rPr>
              <w:t>Temp</w:t>
            </w:r>
          </w:p>
          <w:p w:rsidR="003D5CD4" w:rsidRPr="008C74E7" w:rsidRDefault="003D5CD4" w:rsidP="00EF0131">
            <w:pPr>
              <w:spacing w:line="480" w:lineRule="auto"/>
              <w:jc w:val="center"/>
              <w:rPr>
                <w:b/>
                <w:bCs/>
                <w:iCs/>
                <w:sz w:val="16"/>
                <w:szCs w:val="16"/>
              </w:rPr>
            </w:pPr>
            <w:r w:rsidRPr="008C74E7">
              <w:rPr>
                <w:b/>
                <w:bCs/>
                <w:iCs/>
                <w:sz w:val="16"/>
                <w:szCs w:val="16"/>
              </w:rPr>
              <w:t>(</w:t>
            </w:r>
            <w:r w:rsidR="006C2030">
              <w:rPr>
                <w:b/>
                <w:iCs/>
                <w:color w:val="000000" w:themeColor="text1"/>
                <w:sz w:val="16"/>
                <w:szCs w:val="16"/>
              </w:rPr>
              <w:t>°C)</w:t>
            </w:r>
          </w:p>
        </w:tc>
        <w:tc>
          <w:tcPr>
            <w:tcW w:w="1261" w:type="dxa"/>
            <w:tcBorders>
              <w:top w:val="single" w:sz="4" w:space="0" w:color="auto"/>
              <w:bottom w:val="single" w:sz="4" w:space="0" w:color="auto"/>
            </w:tcBorders>
          </w:tcPr>
          <w:p w:rsidR="003D5CD4" w:rsidRPr="008C74E7" w:rsidRDefault="003D5CD4" w:rsidP="00EF0131">
            <w:pPr>
              <w:spacing w:line="480" w:lineRule="auto"/>
              <w:jc w:val="center"/>
              <w:rPr>
                <w:b/>
                <w:bCs/>
                <w:iCs/>
                <w:sz w:val="16"/>
                <w:szCs w:val="16"/>
              </w:rPr>
            </w:pPr>
            <w:r w:rsidRPr="008C74E7">
              <w:rPr>
                <w:b/>
                <w:bCs/>
                <w:iCs/>
                <w:sz w:val="16"/>
                <w:szCs w:val="16"/>
              </w:rPr>
              <w:t>Technique</w:t>
            </w:r>
          </w:p>
        </w:tc>
        <w:tc>
          <w:tcPr>
            <w:tcW w:w="800" w:type="dxa"/>
            <w:tcBorders>
              <w:top w:val="single" w:sz="4" w:space="0" w:color="auto"/>
              <w:bottom w:val="single" w:sz="4" w:space="0" w:color="auto"/>
            </w:tcBorders>
          </w:tcPr>
          <w:p w:rsidR="003D5CD4" w:rsidRPr="008C74E7" w:rsidRDefault="003D5CD4" w:rsidP="00EF0131">
            <w:pPr>
              <w:spacing w:line="480" w:lineRule="auto"/>
              <w:jc w:val="center"/>
              <w:rPr>
                <w:b/>
                <w:bCs/>
                <w:iCs/>
                <w:sz w:val="16"/>
                <w:szCs w:val="16"/>
              </w:rPr>
            </w:pPr>
            <w:r w:rsidRPr="008C74E7">
              <w:rPr>
                <w:b/>
                <w:bCs/>
                <w:iCs/>
                <w:sz w:val="16"/>
                <w:szCs w:val="16"/>
              </w:rPr>
              <w:t>Ref</w:t>
            </w:r>
          </w:p>
        </w:tc>
      </w:tr>
      <w:tr w:rsidR="003901D6" w:rsidRPr="008C74E7" w:rsidTr="001900AE">
        <w:tc>
          <w:tcPr>
            <w:tcW w:w="1768" w:type="dxa"/>
            <w:tcBorders>
              <w:top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TBA</w:t>
            </w:r>
          </w:p>
        </w:tc>
        <w:tc>
          <w:tcPr>
            <w:tcW w:w="1086" w:type="dxa"/>
            <w:tcBorders>
              <w:top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NR*</w:t>
            </w:r>
          </w:p>
        </w:tc>
        <w:tc>
          <w:tcPr>
            <w:tcW w:w="950" w:type="dxa"/>
            <w:tcBorders>
              <w:top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2.2</w:t>
            </w:r>
          </w:p>
        </w:tc>
        <w:tc>
          <w:tcPr>
            <w:tcW w:w="1214" w:type="dxa"/>
            <w:tcBorders>
              <w:top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90</w:t>
            </w:r>
          </w:p>
        </w:tc>
        <w:tc>
          <w:tcPr>
            <w:tcW w:w="1070" w:type="dxa"/>
            <w:tcBorders>
              <w:top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Water</w:t>
            </w:r>
          </w:p>
        </w:tc>
        <w:tc>
          <w:tcPr>
            <w:tcW w:w="985" w:type="dxa"/>
            <w:tcBorders>
              <w:top w:val="single" w:sz="4" w:space="0" w:color="auto"/>
            </w:tcBorders>
          </w:tcPr>
          <w:p w:rsidR="003D5CD4" w:rsidRPr="008C74E7" w:rsidRDefault="006C2030" w:rsidP="00EF0131">
            <w:pPr>
              <w:spacing w:line="480" w:lineRule="auto"/>
              <w:jc w:val="center"/>
              <w:rPr>
                <w:bCs/>
                <w:iCs/>
                <w:sz w:val="16"/>
                <w:szCs w:val="16"/>
              </w:rPr>
            </w:pPr>
            <w:r w:rsidRPr="006C2030">
              <w:rPr>
                <w:bCs/>
                <w:iCs/>
                <w:sz w:val="16"/>
                <w:szCs w:val="16"/>
              </w:rPr>
              <w:t>19.85</w:t>
            </w:r>
          </w:p>
        </w:tc>
        <w:tc>
          <w:tcPr>
            <w:tcW w:w="1261" w:type="dxa"/>
            <w:tcBorders>
              <w:top w:val="single" w:sz="4" w:space="0" w:color="auto"/>
            </w:tcBorders>
          </w:tcPr>
          <w:p w:rsidR="003D5CD4" w:rsidRPr="008C74E7" w:rsidRDefault="003D5CD4" w:rsidP="00EF0131">
            <w:pPr>
              <w:spacing w:line="480" w:lineRule="auto"/>
              <w:jc w:val="center"/>
              <w:rPr>
                <w:bCs/>
                <w:iCs/>
                <w:sz w:val="16"/>
                <w:szCs w:val="16"/>
              </w:rPr>
            </w:pPr>
            <w:r w:rsidRPr="008C74E7">
              <w:rPr>
                <w:sz w:val="16"/>
                <w:szCs w:val="16"/>
              </w:rPr>
              <w:t>EDLS</w:t>
            </w:r>
          </w:p>
        </w:tc>
        <w:tc>
          <w:tcPr>
            <w:tcW w:w="800" w:type="dxa"/>
            <w:tcBorders>
              <w:top w:val="single" w:sz="4" w:space="0" w:color="auto"/>
            </w:tcBorders>
          </w:tcPr>
          <w:p w:rsidR="003D5CD4" w:rsidRPr="008C74E7" w:rsidRDefault="00040F10" w:rsidP="00512D09">
            <w:pPr>
              <w:spacing w:line="480" w:lineRule="auto"/>
              <w:jc w:val="center"/>
              <w:rPr>
                <w:bCs/>
                <w:iCs/>
                <w:sz w:val="16"/>
                <w:szCs w:val="16"/>
              </w:rPr>
            </w:pPr>
            <w:hyperlink w:anchor="_ENREF_68" w:tooltip="Comez, 2013 #290" w:history="1">
              <w:r w:rsidR="00512D09" w:rsidRPr="008C74E7">
                <w:rPr>
                  <w:bCs/>
                  <w:iCs/>
                  <w:sz w:val="16"/>
                  <w:szCs w:val="16"/>
                </w:rPr>
                <w:fldChar w:fldCharType="begin"/>
              </w:r>
              <w:r w:rsidR="00512D09">
                <w:rPr>
                  <w:bCs/>
                  <w:iCs/>
                  <w:sz w:val="16"/>
                  <w:szCs w:val="16"/>
                </w:rPr>
                <w:instrText xml:space="preserve"> ADDIN EN.CITE &lt;EndNote&gt;&lt;Cite&gt;&lt;Author&gt;Comez&lt;/Author&gt;&lt;Year&gt;2013&lt;/Year&gt;&lt;RecNum&gt;290&lt;/RecNum&gt;&lt;DisplayText&gt;&lt;style face="superscript"&gt;68&lt;/style&gt;&lt;/DisplayText&gt;&lt;record&gt;&lt;rec-number&gt;290&lt;/rec-number&gt;&lt;foreign-keys&gt;&lt;key app="EN" db-id="5trrespwzsdr07efd5tx2w96x22re9s0fsdt"&gt;290&lt;/key&gt;&lt;/foreign-keys&gt;&lt;ref-type name="Journal Article"&gt;17&lt;/ref-type&gt;&lt;contributors&gt;&lt;authors&gt;&lt;author&gt;Comez, Lucia&lt;/author&gt;&lt;author&gt;Lupi, Laura&lt;/author&gt;&lt;author&gt;Morresi, Assunta&lt;/author&gt;&lt;author&gt;Paolantoni, Marco&lt;/author&gt;&lt;author&gt;Sassi, Paola&lt;/author&gt;&lt;author&gt;Fioretto, Daniele&lt;/author&gt;&lt;/authors&gt;&lt;/contributors&gt;&lt;titles&gt;&lt;title&gt;More Is Different: Experimental Results on the Effect of Biomolecules on the Dynamics of Hydration Water&lt;/title&gt;&lt;secondary-title&gt;The Journal of Physical Chemistry Letters&lt;/secondary-title&gt;&lt;/titles&gt;&lt;periodical&gt;&lt;full-title&gt;The Journal of Physical Chemistry Letters&lt;/full-title&gt;&lt;/periodical&gt;&lt;pages&gt;1188-1192&lt;/pages&gt;&lt;volume&gt;4&lt;/volume&gt;&lt;number&gt;7&lt;/number&gt;&lt;dates&gt;&lt;year&gt;2013&lt;/year&gt;&lt;pub-dates&gt;&lt;date&gt;2013/04/04&lt;/date&gt;&lt;/pub-dates&gt;&lt;/dates&gt;&lt;publisher&gt;American Chemical Society&lt;/publisher&gt;&lt;isbn&gt;1948-7185&lt;/isbn&gt;&lt;urls&gt;&lt;related-urls&gt;&lt;url&gt;http://dx.doi.org/10.1021/jz400360v&lt;/url&gt;&lt;/related-urls&gt;&lt;/urls&gt;&lt;electronic-resource-num&gt;10.1021/jz400360v&lt;/electronic-resource-num&gt;&lt;access-date&gt;2013/12/21&lt;/access-date&gt;&lt;/record&gt;&lt;/Cite&gt;&lt;/EndNote&gt;</w:instrText>
              </w:r>
              <w:r w:rsidR="00512D09" w:rsidRPr="008C74E7">
                <w:rPr>
                  <w:bCs/>
                  <w:iCs/>
                  <w:sz w:val="16"/>
                  <w:szCs w:val="16"/>
                </w:rPr>
                <w:fldChar w:fldCharType="separate"/>
              </w:r>
              <w:r w:rsidR="00512D09" w:rsidRPr="00F04E2C">
                <w:rPr>
                  <w:bCs/>
                  <w:iCs/>
                  <w:noProof/>
                  <w:sz w:val="16"/>
                  <w:szCs w:val="16"/>
                  <w:vertAlign w:val="superscript"/>
                </w:rPr>
                <w:t>68</w:t>
              </w:r>
              <w:r w:rsidR="00512D09" w:rsidRPr="008C74E7">
                <w:rPr>
                  <w:sz w:val="16"/>
                  <w:szCs w:val="16"/>
                </w:rPr>
                <w:fldChar w:fldCharType="end"/>
              </w:r>
            </w:hyperlink>
          </w:p>
        </w:tc>
      </w:tr>
      <w:tr w:rsidR="003901D6" w:rsidRPr="008C74E7" w:rsidTr="001900AE">
        <w:tc>
          <w:tcPr>
            <w:tcW w:w="1768" w:type="dxa"/>
          </w:tcPr>
          <w:p w:rsidR="003D5CD4" w:rsidRPr="008C74E7" w:rsidRDefault="003D5CD4" w:rsidP="00EF0131">
            <w:pPr>
              <w:spacing w:line="480" w:lineRule="auto"/>
              <w:jc w:val="center"/>
              <w:rPr>
                <w:bCs/>
                <w:iCs/>
                <w:sz w:val="16"/>
                <w:szCs w:val="16"/>
              </w:rPr>
            </w:pPr>
            <w:r w:rsidRPr="008C74E7">
              <w:rPr>
                <w:bCs/>
                <w:iCs/>
                <w:sz w:val="16"/>
                <w:szCs w:val="16"/>
              </w:rPr>
              <w:t>TMAO</w:t>
            </w:r>
          </w:p>
        </w:tc>
        <w:tc>
          <w:tcPr>
            <w:tcW w:w="1086" w:type="dxa"/>
          </w:tcPr>
          <w:p w:rsidR="003D5CD4" w:rsidRPr="008C74E7" w:rsidRDefault="003D5CD4" w:rsidP="00EF0131">
            <w:pPr>
              <w:spacing w:line="480" w:lineRule="auto"/>
              <w:jc w:val="center"/>
              <w:rPr>
                <w:bCs/>
                <w:iCs/>
                <w:sz w:val="16"/>
                <w:szCs w:val="16"/>
              </w:rPr>
            </w:pPr>
            <w:r w:rsidRPr="008C74E7">
              <w:rPr>
                <w:bCs/>
                <w:iCs/>
                <w:sz w:val="16"/>
                <w:szCs w:val="16"/>
              </w:rPr>
              <w:t>NR*</w:t>
            </w:r>
          </w:p>
        </w:tc>
        <w:tc>
          <w:tcPr>
            <w:tcW w:w="950" w:type="dxa"/>
          </w:tcPr>
          <w:p w:rsidR="003D5CD4" w:rsidRPr="008C74E7" w:rsidRDefault="003D5CD4" w:rsidP="00EF0131">
            <w:pPr>
              <w:spacing w:line="480" w:lineRule="auto"/>
              <w:jc w:val="center"/>
              <w:rPr>
                <w:bCs/>
                <w:iCs/>
                <w:sz w:val="16"/>
                <w:szCs w:val="16"/>
              </w:rPr>
            </w:pPr>
            <w:r w:rsidRPr="008C74E7">
              <w:rPr>
                <w:bCs/>
                <w:iCs/>
                <w:sz w:val="16"/>
                <w:szCs w:val="16"/>
              </w:rPr>
              <w:t>2.1</w:t>
            </w:r>
          </w:p>
        </w:tc>
        <w:tc>
          <w:tcPr>
            <w:tcW w:w="1214" w:type="dxa"/>
          </w:tcPr>
          <w:p w:rsidR="003D5CD4" w:rsidRPr="008C74E7" w:rsidRDefault="003D5CD4" w:rsidP="00EF0131">
            <w:pPr>
              <w:spacing w:line="480" w:lineRule="auto"/>
              <w:jc w:val="center"/>
              <w:rPr>
                <w:bCs/>
                <w:iCs/>
                <w:sz w:val="16"/>
                <w:szCs w:val="16"/>
              </w:rPr>
            </w:pPr>
            <w:r w:rsidRPr="008C74E7">
              <w:rPr>
                <w:bCs/>
                <w:iCs/>
                <w:sz w:val="16"/>
                <w:szCs w:val="16"/>
              </w:rPr>
              <w:t>130</w:t>
            </w:r>
          </w:p>
        </w:tc>
        <w:tc>
          <w:tcPr>
            <w:tcW w:w="1070" w:type="dxa"/>
          </w:tcPr>
          <w:p w:rsidR="003D5CD4" w:rsidRPr="008C74E7" w:rsidRDefault="003D5CD4" w:rsidP="00EF0131">
            <w:pPr>
              <w:spacing w:line="480" w:lineRule="auto"/>
              <w:jc w:val="center"/>
              <w:rPr>
                <w:bCs/>
                <w:iCs/>
                <w:sz w:val="16"/>
                <w:szCs w:val="16"/>
              </w:rPr>
            </w:pPr>
            <w:r w:rsidRPr="008C74E7">
              <w:rPr>
                <w:bCs/>
                <w:iCs/>
                <w:sz w:val="16"/>
                <w:szCs w:val="16"/>
              </w:rPr>
              <w:t>Water</w:t>
            </w:r>
          </w:p>
        </w:tc>
        <w:tc>
          <w:tcPr>
            <w:tcW w:w="985" w:type="dxa"/>
          </w:tcPr>
          <w:p w:rsidR="003D5CD4" w:rsidRPr="008C74E7" w:rsidRDefault="006C2030" w:rsidP="00EF0131">
            <w:pPr>
              <w:spacing w:line="480" w:lineRule="auto"/>
              <w:jc w:val="center"/>
              <w:rPr>
                <w:bCs/>
                <w:iCs/>
                <w:sz w:val="16"/>
                <w:szCs w:val="16"/>
              </w:rPr>
            </w:pPr>
            <w:r w:rsidRPr="006C2030">
              <w:rPr>
                <w:bCs/>
                <w:iCs/>
                <w:sz w:val="16"/>
                <w:szCs w:val="16"/>
              </w:rPr>
              <w:t>19.85</w:t>
            </w:r>
          </w:p>
        </w:tc>
        <w:tc>
          <w:tcPr>
            <w:tcW w:w="1261" w:type="dxa"/>
          </w:tcPr>
          <w:p w:rsidR="003D5CD4" w:rsidRPr="008C74E7" w:rsidRDefault="003D5CD4" w:rsidP="00EF0131">
            <w:pPr>
              <w:spacing w:line="480" w:lineRule="auto"/>
              <w:jc w:val="center"/>
              <w:rPr>
                <w:bCs/>
                <w:iCs/>
                <w:sz w:val="16"/>
                <w:szCs w:val="16"/>
              </w:rPr>
            </w:pPr>
            <w:r w:rsidRPr="008C74E7">
              <w:rPr>
                <w:bCs/>
                <w:iCs/>
                <w:sz w:val="16"/>
                <w:szCs w:val="16"/>
              </w:rPr>
              <w:t>EDLS</w:t>
            </w:r>
          </w:p>
        </w:tc>
        <w:tc>
          <w:tcPr>
            <w:tcW w:w="800" w:type="dxa"/>
          </w:tcPr>
          <w:p w:rsidR="003D5CD4" w:rsidRPr="008C74E7" w:rsidRDefault="00040F10" w:rsidP="00512D09">
            <w:pPr>
              <w:spacing w:line="480" w:lineRule="auto"/>
              <w:jc w:val="center"/>
              <w:rPr>
                <w:bCs/>
                <w:iCs/>
                <w:sz w:val="16"/>
                <w:szCs w:val="16"/>
              </w:rPr>
            </w:pPr>
            <w:hyperlink w:anchor="_ENREF_68" w:tooltip="Comez, 2013 #290" w:history="1">
              <w:r w:rsidR="00512D09" w:rsidRPr="008C74E7">
                <w:rPr>
                  <w:bCs/>
                  <w:iCs/>
                  <w:sz w:val="16"/>
                  <w:szCs w:val="16"/>
                </w:rPr>
                <w:fldChar w:fldCharType="begin"/>
              </w:r>
              <w:r w:rsidR="00512D09">
                <w:rPr>
                  <w:bCs/>
                  <w:iCs/>
                  <w:sz w:val="16"/>
                  <w:szCs w:val="16"/>
                </w:rPr>
                <w:instrText xml:space="preserve"> ADDIN EN.CITE &lt;EndNote&gt;&lt;Cite&gt;&lt;Author&gt;Comez&lt;/Author&gt;&lt;Year&gt;2013&lt;/Year&gt;&lt;RecNum&gt;290&lt;/RecNum&gt;&lt;DisplayText&gt;&lt;style face="superscript"&gt;68&lt;/style&gt;&lt;/DisplayText&gt;&lt;record&gt;&lt;rec-number&gt;290&lt;/rec-number&gt;&lt;foreign-keys&gt;&lt;key app="EN" db-id="5trrespwzsdr07efd5tx2w96x22re9s0fsdt"&gt;290&lt;/key&gt;&lt;/foreign-keys&gt;&lt;ref-type name="Journal Article"&gt;17&lt;/ref-type&gt;&lt;contributors&gt;&lt;authors&gt;&lt;author&gt;Comez, Lucia&lt;/author&gt;&lt;author&gt;Lupi, Laura&lt;/author&gt;&lt;author&gt;Morresi, Assunta&lt;/author&gt;&lt;author&gt;Paolantoni, Marco&lt;/author&gt;&lt;author&gt;Sassi, Paola&lt;/author&gt;&lt;author&gt;Fioretto, Daniele&lt;/author&gt;&lt;/authors&gt;&lt;/contributors&gt;&lt;titles&gt;&lt;title&gt;More Is Different: Experimental Results on the Effect of Biomolecules on the Dynamics of Hydration Water&lt;/title&gt;&lt;secondary-title&gt;The Journal of Physical Chemistry Letters&lt;/secondary-title&gt;&lt;/titles&gt;&lt;periodical&gt;&lt;full-title&gt;The Journal of Physical Chemistry Letters&lt;/full-title&gt;&lt;/periodical&gt;&lt;pages&gt;1188-1192&lt;/pages&gt;&lt;volume&gt;4&lt;/volume&gt;&lt;number&gt;7&lt;/number&gt;&lt;dates&gt;&lt;year&gt;2013&lt;/year&gt;&lt;pub-dates&gt;&lt;date&gt;2013/04/04&lt;/date&gt;&lt;/pub-dates&gt;&lt;/dates&gt;&lt;publisher&gt;American Chemical Society&lt;/publisher&gt;&lt;isbn&gt;1948-7185&lt;/isbn&gt;&lt;urls&gt;&lt;related-urls&gt;&lt;url&gt;http://dx.doi.org/10.1021/jz400360v&lt;/url&gt;&lt;/related-urls&gt;&lt;/urls&gt;&lt;electronic-resource-num&gt;10.1021/jz400360v&lt;/electronic-resource-num&gt;&lt;access-date&gt;2013/12/21&lt;/access-date&gt;&lt;/record&gt;&lt;/Cite&gt;&lt;/EndNote&gt;</w:instrText>
              </w:r>
              <w:r w:rsidR="00512D09" w:rsidRPr="008C74E7">
                <w:rPr>
                  <w:bCs/>
                  <w:iCs/>
                  <w:sz w:val="16"/>
                  <w:szCs w:val="16"/>
                </w:rPr>
                <w:fldChar w:fldCharType="separate"/>
              </w:r>
              <w:r w:rsidR="00512D09" w:rsidRPr="00F04E2C">
                <w:rPr>
                  <w:bCs/>
                  <w:iCs/>
                  <w:noProof/>
                  <w:sz w:val="16"/>
                  <w:szCs w:val="16"/>
                  <w:vertAlign w:val="superscript"/>
                </w:rPr>
                <w:t>68</w:t>
              </w:r>
              <w:r w:rsidR="00512D09" w:rsidRPr="008C74E7">
                <w:rPr>
                  <w:sz w:val="16"/>
                  <w:szCs w:val="16"/>
                </w:rPr>
                <w:fldChar w:fldCharType="end"/>
              </w:r>
            </w:hyperlink>
          </w:p>
        </w:tc>
      </w:tr>
      <w:tr w:rsidR="003901D6" w:rsidRPr="008C74E7" w:rsidTr="001900AE">
        <w:tc>
          <w:tcPr>
            <w:tcW w:w="1768" w:type="dxa"/>
          </w:tcPr>
          <w:p w:rsidR="003D5CD4" w:rsidRPr="008C74E7" w:rsidRDefault="003D5CD4" w:rsidP="00EF0131">
            <w:pPr>
              <w:spacing w:line="480" w:lineRule="auto"/>
              <w:jc w:val="center"/>
              <w:rPr>
                <w:bCs/>
                <w:iCs/>
                <w:sz w:val="16"/>
                <w:szCs w:val="16"/>
              </w:rPr>
            </w:pPr>
            <w:r w:rsidRPr="008C74E7">
              <w:rPr>
                <w:bCs/>
                <w:iCs/>
                <w:sz w:val="16"/>
                <w:szCs w:val="16"/>
              </w:rPr>
              <w:t>Lysine</w:t>
            </w:r>
          </w:p>
        </w:tc>
        <w:tc>
          <w:tcPr>
            <w:tcW w:w="1086" w:type="dxa"/>
          </w:tcPr>
          <w:p w:rsidR="003D5CD4" w:rsidRPr="008C74E7" w:rsidRDefault="003D5CD4" w:rsidP="00EF0131">
            <w:pPr>
              <w:spacing w:line="480" w:lineRule="auto"/>
              <w:jc w:val="center"/>
              <w:rPr>
                <w:bCs/>
                <w:iCs/>
                <w:sz w:val="16"/>
                <w:szCs w:val="16"/>
              </w:rPr>
            </w:pPr>
            <w:r w:rsidRPr="008C74E7">
              <w:rPr>
                <w:bCs/>
                <w:iCs/>
                <w:sz w:val="16"/>
                <w:szCs w:val="16"/>
              </w:rPr>
              <w:t>NR*</w:t>
            </w:r>
          </w:p>
        </w:tc>
        <w:tc>
          <w:tcPr>
            <w:tcW w:w="950" w:type="dxa"/>
          </w:tcPr>
          <w:p w:rsidR="003D5CD4" w:rsidRPr="008C74E7" w:rsidRDefault="003D5CD4" w:rsidP="00EF0131">
            <w:pPr>
              <w:spacing w:line="480" w:lineRule="auto"/>
              <w:jc w:val="center"/>
              <w:rPr>
                <w:bCs/>
                <w:iCs/>
                <w:sz w:val="16"/>
                <w:szCs w:val="16"/>
              </w:rPr>
            </w:pPr>
            <w:r w:rsidRPr="008C74E7">
              <w:rPr>
                <w:bCs/>
                <w:iCs/>
                <w:sz w:val="16"/>
                <w:szCs w:val="16"/>
              </w:rPr>
              <w:t>3.1</w:t>
            </w:r>
          </w:p>
        </w:tc>
        <w:tc>
          <w:tcPr>
            <w:tcW w:w="1214" w:type="dxa"/>
          </w:tcPr>
          <w:p w:rsidR="003D5CD4" w:rsidRPr="008C74E7" w:rsidRDefault="003D5CD4" w:rsidP="00EF0131">
            <w:pPr>
              <w:spacing w:line="480" w:lineRule="auto"/>
              <w:jc w:val="center"/>
              <w:rPr>
                <w:bCs/>
                <w:iCs/>
                <w:sz w:val="16"/>
                <w:szCs w:val="16"/>
              </w:rPr>
            </w:pPr>
            <w:r w:rsidRPr="008C74E7">
              <w:rPr>
                <w:bCs/>
                <w:iCs/>
                <w:sz w:val="16"/>
                <w:szCs w:val="16"/>
              </w:rPr>
              <w:t>130</w:t>
            </w:r>
          </w:p>
        </w:tc>
        <w:tc>
          <w:tcPr>
            <w:tcW w:w="1070" w:type="dxa"/>
          </w:tcPr>
          <w:p w:rsidR="003D5CD4" w:rsidRPr="008C74E7" w:rsidRDefault="003D5CD4" w:rsidP="00EF0131">
            <w:pPr>
              <w:spacing w:line="480" w:lineRule="auto"/>
              <w:jc w:val="center"/>
              <w:rPr>
                <w:bCs/>
                <w:iCs/>
                <w:sz w:val="16"/>
                <w:szCs w:val="16"/>
              </w:rPr>
            </w:pPr>
            <w:r w:rsidRPr="008C74E7">
              <w:rPr>
                <w:bCs/>
                <w:iCs/>
                <w:sz w:val="16"/>
                <w:szCs w:val="16"/>
              </w:rPr>
              <w:t>Water</w:t>
            </w:r>
          </w:p>
        </w:tc>
        <w:tc>
          <w:tcPr>
            <w:tcW w:w="985" w:type="dxa"/>
          </w:tcPr>
          <w:p w:rsidR="003D5CD4" w:rsidRPr="008C74E7" w:rsidRDefault="006C2030" w:rsidP="00EF0131">
            <w:pPr>
              <w:spacing w:line="480" w:lineRule="auto"/>
              <w:jc w:val="center"/>
              <w:rPr>
                <w:bCs/>
                <w:iCs/>
                <w:sz w:val="16"/>
                <w:szCs w:val="16"/>
              </w:rPr>
            </w:pPr>
            <w:r w:rsidRPr="006C2030">
              <w:rPr>
                <w:bCs/>
                <w:iCs/>
                <w:sz w:val="16"/>
                <w:szCs w:val="16"/>
              </w:rPr>
              <w:t>19.85</w:t>
            </w:r>
          </w:p>
        </w:tc>
        <w:tc>
          <w:tcPr>
            <w:tcW w:w="1261" w:type="dxa"/>
          </w:tcPr>
          <w:p w:rsidR="003D5CD4" w:rsidRPr="008C74E7" w:rsidRDefault="003D5CD4" w:rsidP="00EF0131">
            <w:pPr>
              <w:spacing w:line="480" w:lineRule="auto"/>
              <w:jc w:val="center"/>
              <w:rPr>
                <w:bCs/>
                <w:iCs/>
                <w:sz w:val="16"/>
                <w:szCs w:val="16"/>
              </w:rPr>
            </w:pPr>
            <w:r w:rsidRPr="008C74E7">
              <w:rPr>
                <w:bCs/>
                <w:iCs/>
                <w:sz w:val="16"/>
                <w:szCs w:val="16"/>
              </w:rPr>
              <w:t>EDLS</w:t>
            </w:r>
          </w:p>
        </w:tc>
        <w:tc>
          <w:tcPr>
            <w:tcW w:w="800" w:type="dxa"/>
          </w:tcPr>
          <w:p w:rsidR="003D5CD4" w:rsidRPr="008C74E7" w:rsidRDefault="00040F10" w:rsidP="00512D09">
            <w:pPr>
              <w:spacing w:line="480" w:lineRule="auto"/>
              <w:jc w:val="center"/>
              <w:rPr>
                <w:bCs/>
                <w:iCs/>
                <w:sz w:val="16"/>
                <w:szCs w:val="16"/>
              </w:rPr>
            </w:pPr>
            <w:hyperlink w:anchor="_ENREF_68" w:tooltip="Comez, 2013 #290" w:history="1">
              <w:r w:rsidR="00512D09" w:rsidRPr="008C74E7">
                <w:rPr>
                  <w:bCs/>
                  <w:iCs/>
                  <w:sz w:val="16"/>
                  <w:szCs w:val="16"/>
                </w:rPr>
                <w:fldChar w:fldCharType="begin"/>
              </w:r>
              <w:r w:rsidR="00512D09">
                <w:rPr>
                  <w:bCs/>
                  <w:iCs/>
                  <w:sz w:val="16"/>
                  <w:szCs w:val="16"/>
                </w:rPr>
                <w:instrText xml:space="preserve"> ADDIN EN.CITE &lt;EndNote&gt;&lt;Cite&gt;&lt;Author&gt;Comez&lt;/Author&gt;&lt;Year&gt;2013&lt;/Year&gt;&lt;RecNum&gt;290&lt;/RecNum&gt;&lt;DisplayText&gt;&lt;style face="superscript"&gt;68&lt;/style&gt;&lt;/DisplayText&gt;&lt;record&gt;&lt;rec-number&gt;290&lt;/rec-number&gt;&lt;foreign-keys&gt;&lt;key app="EN" db-id="5trrespwzsdr07efd5tx2w96x22re9s0fsdt"&gt;290&lt;/key&gt;&lt;/foreign-keys&gt;&lt;ref-type name="Journal Article"&gt;17&lt;/ref-type&gt;&lt;contributors&gt;&lt;authors&gt;&lt;author&gt;Comez, Lucia&lt;/author&gt;&lt;author&gt;Lupi, Laura&lt;/author&gt;&lt;author&gt;Morresi, Assunta&lt;/author&gt;&lt;author&gt;Paolantoni, Marco&lt;/author&gt;&lt;author&gt;Sassi, Paola&lt;/author&gt;&lt;author&gt;Fioretto, Daniele&lt;/author&gt;&lt;/authors&gt;&lt;/contributors&gt;&lt;titles&gt;&lt;title&gt;More Is Different: Experimental Results on the Effect of Biomolecules on the Dynamics of Hydration Water&lt;/title&gt;&lt;secondary-title&gt;The Journal of Physical Chemistry Letters&lt;/secondary-title&gt;&lt;/titles&gt;&lt;periodical&gt;&lt;full-title&gt;The Journal of Physical Chemistry Letters&lt;/full-title&gt;&lt;/periodical&gt;&lt;pages&gt;1188-1192&lt;/pages&gt;&lt;volume&gt;4&lt;/volume&gt;&lt;number&gt;7&lt;/number&gt;&lt;dates&gt;&lt;year&gt;2013&lt;/year&gt;&lt;pub-dates&gt;&lt;date&gt;2013/04/04&lt;/date&gt;&lt;/pub-dates&gt;&lt;/dates&gt;&lt;publisher&gt;American Chemical Society&lt;/publisher&gt;&lt;isbn&gt;1948-7185&lt;/isbn&gt;&lt;urls&gt;&lt;related-urls&gt;&lt;url&gt;http://dx.doi.org/10.1021/jz400360v&lt;/url&gt;&lt;/related-urls&gt;&lt;/urls&gt;&lt;electronic-resource-num&gt;10.1021/jz400360v&lt;/electronic-resource-num&gt;&lt;access-date&gt;2013/12/21&lt;/access-date&gt;&lt;/record&gt;&lt;/Cite&gt;&lt;/EndNote&gt;</w:instrText>
              </w:r>
              <w:r w:rsidR="00512D09" w:rsidRPr="008C74E7">
                <w:rPr>
                  <w:bCs/>
                  <w:iCs/>
                  <w:sz w:val="16"/>
                  <w:szCs w:val="16"/>
                </w:rPr>
                <w:fldChar w:fldCharType="separate"/>
              </w:r>
              <w:r w:rsidR="00512D09" w:rsidRPr="00F04E2C">
                <w:rPr>
                  <w:bCs/>
                  <w:iCs/>
                  <w:noProof/>
                  <w:sz w:val="16"/>
                  <w:szCs w:val="16"/>
                  <w:vertAlign w:val="superscript"/>
                </w:rPr>
                <w:t>68</w:t>
              </w:r>
              <w:r w:rsidR="00512D09" w:rsidRPr="008C74E7">
                <w:rPr>
                  <w:sz w:val="16"/>
                  <w:szCs w:val="16"/>
                </w:rPr>
                <w:fldChar w:fldCharType="end"/>
              </w:r>
            </w:hyperlink>
          </w:p>
        </w:tc>
      </w:tr>
      <w:tr w:rsidR="003901D6" w:rsidRPr="008C74E7" w:rsidTr="001900AE">
        <w:tc>
          <w:tcPr>
            <w:tcW w:w="1768" w:type="dxa"/>
          </w:tcPr>
          <w:p w:rsidR="003D5CD4" w:rsidRPr="008C74E7" w:rsidRDefault="003D5CD4" w:rsidP="00EF0131">
            <w:pPr>
              <w:spacing w:line="480" w:lineRule="auto"/>
              <w:jc w:val="center"/>
              <w:rPr>
                <w:bCs/>
                <w:iCs/>
                <w:sz w:val="16"/>
                <w:szCs w:val="16"/>
              </w:rPr>
            </w:pPr>
            <w:r w:rsidRPr="008C74E7">
              <w:rPr>
                <w:i/>
                <w:sz w:val="16"/>
                <w:szCs w:val="16"/>
              </w:rPr>
              <w:t>N</w:t>
            </w:r>
            <w:r w:rsidRPr="008C74E7">
              <w:rPr>
                <w:sz w:val="16"/>
                <w:szCs w:val="16"/>
              </w:rPr>
              <w:t>-acetyl-glycine-methylamide</w:t>
            </w:r>
          </w:p>
        </w:tc>
        <w:tc>
          <w:tcPr>
            <w:tcW w:w="1086" w:type="dxa"/>
          </w:tcPr>
          <w:p w:rsidR="003D5CD4" w:rsidRPr="008C74E7" w:rsidRDefault="003D5CD4" w:rsidP="00EF0131">
            <w:pPr>
              <w:spacing w:line="480" w:lineRule="auto"/>
              <w:jc w:val="center"/>
              <w:rPr>
                <w:bCs/>
                <w:iCs/>
                <w:sz w:val="16"/>
                <w:szCs w:val="16"/>
              </w:rPr>
            </w:pPr>
            <w:r w:rsidRPr="008C74E7">
              <w:rPr>
                <w:bCs/>
                <w:iCs/>
                <w:sz w:val="16"/>
                <w:szCs w:val="16"/>
              </w:rPr>
              <w:t>NR*</w:t>
            </w:r>
          </w:p>
        </w:tc>
        <w:tc>
          <w:tcPr>
            <w:tcW w:w="950" w:type="dxa"/>
          </w:tcPr>
          <w:p w:rsidR="003D5CD4" w:rsidRPr="008C74E7" w:rsidRDefault="003D5CD4" w:rsidP="00EF0131">
            <w:pPr>
              <w:spacing w:line="480" w:lineRule="auto"/>
              <w:jc w:val="center"/>
              <w:rPr>
                <w:bCs/>
                <w:iCs/>
                <w:sz w:val="16"/>
                <w:szCs w:val="16"/>
              </w:rPr>
            </w:pPr>
            <w:r w:rsidRPr="008C74E7">
              <w:rPr>
                <w:bCs/>
                <w:iCs/>
                <w:sz w:val="16"/>
                <w:szCs w:val="16"/>
              </w:rPr>
              <w:t>4.1</w:t>
            </w:r>
          </w:p>
        </w:tc>
        <w:tc>
          <w:tcPr>
            <w:tcW w:w="1214" w:type="dxa"/>
          </w:tcPr>
          <w:p w:rsidR="003D5CD4" w:rsidRPr="008C74E7" w:rsidRDefault="003D5CD4" w:rsidP="00EF0131">
            <w:pPr>
              <w:spacing w:line="480" w:lineRule="auto"/>
              <w:jc w:val="center"/>
              <w:rPr>
                <w:bCs/>
                <w:iCs/>
                <w:sz w:val="16"/>
                <w:szCs w:val="16"/>
              </w:rPr>
            </w:pPr>
            <w:r w:rsidRPr="008C74E7">
              <w:rPr>
                <w:bCs/>
                <w:iCs/>
                <w:sz w:val="16"/>
                <w:szCs w:val="16"/>
              </w:rPr>
              <w:t>100</w:t>
            </w:r>
          </w:p>
        </w:tc>
        <w:tc>
          <w:tcPr>
            <w:tcW w:w="1070" w:type="dxa"/>
          </w:tcPr>
          <w:p w:rsidR="003D5CD4" w:rsidRPr="008C74E7" w:rsidRDefault="003D5CD4" w:rsidP="00EF0131">
            <w:pPr>
              <w:spacing w:line="480" w:lineRule="auto"/>
              <w:jc w:val="center"/>
              <w:rPr>
                <w:bCs/>
                <w:iCs/>
                <w:sz w:val="16"/>
                <w:szCs w:val="16"/>
              </w:rPr>
            </w:pPr>
            <w:r w:rsidRPr="008C74E7">
              <w:rPr>
                <w:bCs/>
                <w:iCs/>
                <w:sz w:val="16"/>
                <w:szCs w:val="16"/>
              </w:rPr>
              <w:t>Water</w:t>
            </w:r>
          </w:p>
        </w:tc>
        <w:tc>
          <w:tcPr>
            <w:tcW w:w="985" w:type="dxa"/>
          </w:tcPr>
          <w:p w:rsidR="003D5CD4" w:rsidRPr="008C74E7" w:rsidRDefault="006C2030" w:rsidP="00EF0131">
            <w:pPr>
              <w:spacing w:line="480" w:lineRule="auto"/>
              <w:jc w:val="center"/>
              <w:rPr>
                <w:bCs/>
                <w:iCs/>
                <w:sz w:val="16"/>
                <w:szCs w:val="16"/>
              </w:rPr>
            </w:pPr>
            <w:r w:rsidRPr="006C2030">
              <w:rPr>
                <w:bCs/>
                <w:iCs/>
                <w:sz w:val="16"/>
                <w:szCs w:val="16"/>
              </w:rPr>
              <w:t>19.85</w:t>
            </w:r>
          </w:p>
        </w:tc>
        <w:tc>
          <w:tcPr>
            <w:tcW w:w="1261" w:type="dxa"/>
          </w:tcPr>
          <w:p w:rsidR="003D5CD4" w:rsidRPr="008C74E7" w:rsidRDefault="003D5CD4" w:rsidP="00EF0131">
            <w:pPr>
              <w:spacing w:line="480" w:lineRule="auto"/>
              <w:jc w:val="center"/>
              <w:rPr>
                <w:bCs/>
                <w:iCs/>
                <w:sz w:val="16"/>
                <w:szCs w:val="16"/>
              </w:rPr>
            </w:pPr>
            <w:r w:rsidRPr="008C74E7">
              <w:rPr>
                <w:bCs/>
                <w:iCs/>
                <w:sz w:val="16"/>
                <w:szCs w:val="16"/>
              </w:rPr>
              <w:t>EDLS</w:t>
            </w:r>
          </w:p>
        </w:tc>
        <w:tc>
          <w:tcPr>
            <w:tcW w:w="800" w:type="dxa"/>
          </w:tcPr>
          <w:p w:rsidR="003D5CD4" w:rsidRPr="008C74E7" w:rsidRDefault="00040F10" w:rsidP="00512D09">
            <w:pPr>
              <w:spacing w:line="480" w:lineRule="auto"/>
              <w:jc w:val="center"/>
              <w:rPr>
                <w:bCs/>
                <w:iCs/>
                <w:sz w:val="16"/>
                <w:szCs w:val="16"/>
              </w:rPr>
            </w:pPr>
            <w:hyperlink w:anchor="_ENREF_68" w:tooltip="Comez, 2013 #290" w:history="1">
              <w:r w:rsidR="00512D09" w:rsidRPr="008C74E7">
                <w:rPr>
                  <w:bCs/>
                  <w:iCs/>
                  <w:sz w:val="16"/>
                  <w:szCs w:val="16"/>
                </w:rPr>
                <w:fldChar w:fldCharType="begin"/>
              </w:r>
              <w:r w:rsidR="00512D09">
                <w:rPr>
                  <w:bCs/>
                  <w:iCs/>
                  <w:sz w:val="16"/>
                  <w:szCs w:val="16"/>
                </w:rPr>
                <w:instrText xml:space="preserve"> ADDIN EN.CITE &lt;EndNote&gt;&lt;Cite&gt;&lt;Author&gt;Comez&lt;/Author&gt;&lt;Year&gt;2013&lt;/Year&gt;&lt;RecNum&gt;290&lt;/RecNum&gt;&lt;DisplayText&gt;&lt;style face="superscript"&gt;68&lt;/style&gt;&lt;/DisplayText&gt;&lt;record&gt;&lt;rec-number&gt;290&lt;/rec-number&gt;&lt;foreign-keys&gt;&lt;key app="EN" db-id="5trrespwzsdr07efd5tx2w96x22re9s0fsdt"&gt;290&lt;/key&gt;&lt;/foreign-keys&gt;&lt;ref-type name="Journal Article"&gt;17&lt;/ref-type&gt;&lt;contributors&gt;&lt;authors&gt;&lt;author&gt;Comez, Lucia&lt;/author&gt;&lt;author&gt;Lupi, Laura&lt;/author&gt;&lt;author&gt;Morresi, Assunta&lt;/author&gt;&lt;author&gt;Paolantoni, Marco&lt;/author&gt;&lt;author&gt;Sassi, Paola&lt;/author&gt;&lt;author&gt;Fioretto, Daniele&lt;/author&gt;&lt;/authors&gt;&lt;/contributors&gt;&lt;titles&gt;&lt;title&gt;More Is Different: Experimental Results on the Effect of Biomolecules on the Dynamics of Hydration Water&lt;/title&gt;&lt;secondary-title&gt;The Journal of Physical Chemistry Letters&lt;/secondary-title&gt;&lt;/titles&gt;&lt;periodical&gt;&lt;full-title&gt;The Journal of Physical Chemistry Letters&lt;/full-title&gt;&lt;/periodical&gt;&lt;pages&gt;1188-1192&lt;/pages&gt;&lt;volume&gt;4&lt;/volume&gt;&lt;number&gt;7&lt;/number&gt;&lt;dates&gt;&lt;year&gt;2013&lt;/year&gt;&lt;pub-dates&gt;&lt;date&gt;2013/04/04&lt;/date&gt;&lt;/pub-dates&gt;&lt;/dates&gt;&lt;publisher&gt;American Chemical Society&lt;/publisher&gt;&lt;isbn&gt;1948-7185&lt;/isbn&gt;&lt;urls&gt;&lt;related-urls&gt;&lt;url&gt;http://dx.doi.org/10.1021/jz400360v&lt;/url&gt;&lt;/related-urls&gt;&lt;/urls&gt;&lt;electronic-resource-num&gt;10.1021/jz400360v&lt;/electronic-resource-num&gt;&lt;access-date&gt;2013/12/21&lt;/access-date&gt;&lt;/record&gt;&lt;/Cite&gt;&lt;/EndNote&gt;</w:instrText>
              </w:r>
              <w:r w:rsidR="00512D09" w:rsidRPr="008C74E7">
                <w:rPr>
                  <w:bCs/>
                  <w:iCs/>
                  <w:sz w:val="16"/>
                  <w:szCs w:val="16"/>
                </w:rPr>
                <w:fldChar w:fldCharType="separate"/>
              </w:r>
              <w:r w:rsidR="00512D09" w:rsidRPr="00F04E2C">
                <w:rPr>
                  <w:bCs/>
                  <w:iCs/>
                  <w:noProof/>
                  <w:sz w:val="16"/>
                  <w:szCs w:val="16"/>
                  <w:vertAlign w:val="superscript"/>
                </w:rPr>
                <w:t>68</w:t>
              </w:r>
              <w:r w:rsidR="00512D09" w:rsidRPr="008C74E7">
                <w:rPr>
                  <w:sz w:val="16"/>
                  <w:szCs w:val="16"/>
                </w:rPr>
                <w:fldChar w:fldCharType="end"/>
              </w:r>
            </w:hyperlink>
          </w:p>
        </w:tc>
      </w:tr>
      <w:tr w:rsidR="003901D6" w:rsidRPr="008C74E7" w:rsidTr="001900AE">
        <w:tc>
          <w:tcPr>
            <w:tcW w:w="1768" w:type="dxa"/>
          </w:tcPr>
          <w:p w:rsidR="003D5CD4" w:rsidRPr="008C74E7" w:rsidRDefault="003D5CD4" w:rsidP="00EF0131">
            <w:pPr>
              <w:spacing w:line="480" w:lineRule="auto"/>
              <w:jc w:val="center"/>
              <w:rPr>
                <w:bCs/>
                <w:iCs/>
                <w:sz w:val="16"/>
                <w:szCs w:val="16"/>
              </w:rPr>
            </w:pPr>
            <w:r w:rsidRPr="008C74E7">
              <w:rPr>
                <w:i/>
                <w:sz w:val="16"/>
                <w:szCs w:val="16"/>
              </w:rPr>
              <w:t>N</w:t>
            </w:r>
            <w:r w:rsidRPr="008C74E7">
              <w:rPr>
                <w:sz w:val="16"/>
                <w:szCs w:val="16"/>
              </w:rPr>
              <w:t>-acetyl-leucinemethylamide</w:t>
            </w:r>
          </w:p>
        </w:tc>
        <w:tc>
          <w:tcPr>
            <w:tcW w:w="1086" w:type="dxa"/>
          </w:tcPr>
          <w:p w:rsidR="003D5CD4" w:rsidRPr="008C74E7" w:rsidRDefault="003D5CD4" w:rsidP="00EF0131">
            <w:pPr>
              <w:spacing w:line="480" w:lineRule="auto"/>
              <w:jc w:val="center"/>
              <w:rPr>
                <w:bCs/>
                <w:iCs/>
                <w:sz w:val="16"/>
                <w:szCs w:val="16"/>
              </w:rPr>
            </w:pPr>
            <w:r w:rsidRPr="008C74E7">
              <w:rPr>
                <w:bCs/>
                <w:iCs/>
                <w:sz w:val="16"/>
                <w:szCs w:val="16"/>
              </w:rPr>
              <w:t>NR*</w:t>
            </w:r>
          </w:p>
        </w:tc>
        <w:tc>
          <w:tcPr>
            <w:tcW w:w="950" w:type="dxa"/>
          </w:tcPr>
          <w:p w:rsidR="003D5CD4" w:rsidRPr="008C74E7" w:rsidRDefault="003D5CD4" w:rsidP="00EF0131">
            <w:pPr>
              <w:spacing w:line="480" w:lineRule="auto"/>
              <w:jc w:val="center"/>
              <w:rPr>
                <w:bCs/>
                <w:iCs/>
                <w:sz w:val="16"/>
                <w:szCs w:val="16"/>
              </w:rPr>
            </w:pPr>
            <w:r w:rsidRPr="008C74E7">
              <w:rPr>
                <w:bCs/>
                <w:iCs/>
                <w:sz w:val="16"/>
                <w:szCs w:val="16"/>
              </w:rPr>
              <w:t>4.3</w:t>
            </w:r>
          </w:p>
        </w:tc>
        <w:tc>
          <w:tcPr>
            <w:tcW w:w="1214" w:type="dxa"/>
          </w:tcPr>
          <w:p w:rsidR="003D5CD4" w:rsidRPr="008C74E7" w:rsidRDefault="003D5CD4" w:rsidP="00EF0131">
            <w:pPr>
              <w:spacing w:line="480" w:lineRule="auto"/>
              <w:jc w:val="center"/>
              <w:rPr>
                <w:bCs/>
                <w:iCs/>
                <w:sz w:val="16"/>
                <w:szCs w:val="16"/>
              </w:rPr>
            </w:pPr>
            <w:r w:rsidRPr="008C74E7">
              <w:rPr>
                <w:bCs/>
                <w:iCs/>
                <w:sz w:val="16"/>
                <w:szCs w:val="16"/>
              </w:rPr>
              <w:t>100</w:t>
            </w:r>
          </w:p>
        </w:tc>
        <w:tc>
          <w:tcPr>
            <w:tcW w:w="1070" w:type="dxa"/>
          </w:tcPr>
          <w:p w:rsidR="003D5CD4" w:rsidRPr="008C74E7" w:rsidRDefault="003D5CD4" w:rsidP="00EF0131">
            <w:pPr>
              <w:spacing w:line="480" w:lineRule="auto"/>
              <w:jc w:val="center"/>
              <w:rPr>
                <w:bCs/>
                <w:iCs/>
                <w:sz w:val="16"/>
                <w:szCs w:val="16"/>
              </w:rPr>
            </w:pPr>
            <w:r w:rsidRPr="008C74E7">
              <w:rPr>
                <w:bCs/>
                <w:iCs/>
                <w:sz w:val="16"/>
                <w:szCs w:val="16"/>
              </w:rPr>
              <w:t>Water</w:t>
            </w:r>
          </w:p>
        </w:tc>
        <w:tc>
          <w:tcPr>
            <w:tcW w:w="985" w:type="dxa"/>
          </w:tcPr>
          <w:p w:rsidR="003D5CD4" w:rsidRPr="008C74E7" w:rsidRDefault="006C2030" w:rsidP="00EF0131">
            <w:pPr>
              <w:spacing w:line="480" w:lineRule="auto"/>
              <w:jc w:val="center"/>
              <w:rPr>
                <w:bCs/>
                <w:iCs/>
                <w:sz w:val="16"/>
                <w:szCs w:val="16"/>
              </w:rPr>
            </w:pPr>
            <w:r w:rsidRPr="006C2030">
              <w:rPr>
                <w:bCs/>
                <w:iCs/>
                <w:sz w:val="16"/>
                <w:szCs w:val="16"/>
              </w:rPr>
              <w:t>19.85</w:t>
            </w:r>
          </w:p>
        </w:tc>
        <w:tc>
          <w:tcPr>
            <w:tcW w:w="1261" w:type="dxa"/>
          </w:tcPr>
          <w:p w:rsidR="003D5CD4" w:rsidRPr="008C74E7" w:rsidRDefault="003D5CD4" w:rsidP="00EF0131">
            <w:pPr>
              <w:spacing w:line="480" w:lineRule="auto"/>
              <w:jc w:val="center"/>
              <w:rPr>
                <w:bCs/>
                <w:iCs/>
                <w:sz w:val="16"/>
                <w:szCs w:val="16"/>
              </w:rPr>
            </w:pPr>
            <w:r w:rsidRPr="008C74E7">
              <w:rPr>
                <w:bCs/>
                <w:iCs/>
                <w:sz w:val="16"/>
                <w:szCs w:val="16"/>
              </w:rPr>
              <w:t>EDLS</w:t>
            </w:r>
          </w:p>
        </w:tc>
        <w:tc>
          <w:tcPr>
            <w:tcW w:w="800" w:type="dxa"/>
          </w:tcPr>
          <w:p w:rsidR="003D5CD4" w:rsidRPr="008C74E7" w:rsidRDefault="00040F10" w:rsidP="00512D09">
            <w:pPr>
              <w:spacing w:line="480" w:lineRule="auto"/>
              <w:jc w:val="center"/>
              <w:rPr>
                <w:bCs/>
                <w:iCs/>
                <w:sz w:val="16"/>
                <w:szCs w:val="16"/>
              </w:rPr>
            </w:pPr>
            <w:hyperlink w:anchor="_ENREF_68" w:tooltip="Comez, 2013 #290" w:history="1">
              <w:r w:rsidR="00512D09" w:rsidRPr="008C74E7">
                <w:rPr>
                  <w:bCs/>
                  <w:iCs/>
                  <w:sz w:val="16"/>
                  <w:szCs w:val="16"/>
                </w:rPr>
                <w:fldChar w:fldCharType="begin"/>
              </w:r>
              <w:r w:rsidR="00512D09">
                <w:rPr>
                  <w:bCs/>
                  <w:iCs/>
                  <w:sz w:val="16"/>
                  <w:szCs w:val="16"/>
                </w:rPr>
                <w:instrText xml:space="preserve"> ADDIN EN.CITE &lt;EndNote&gt;&lt;Cite&gt;&lt;Author&gt;Comez&lt;/Author&gt;&lt;Year&gt;2013&lt;/Year&gt;&lt;RecNum&gt;290&lt;/RecNum&gt;&lt;DisplayText&gt;&lt;style face="superscript"&gt;68&lt;/style&gt;&lt;/DisplayText&gt;&lt;record&gt;&lt;rec-number&gt;290&lt;/rec-number&gt;&lt;foreign-keys&gt;&lt;key app="EN" db-id="5trrespwzsdr07efd5tx2w96x22re9s0fsdt"&gt;290&lt;/key&gt;&lt;/foreign-keys&gt;&lt;ref-type name="Journal Article"&gt;17&lt;/ref-type&gt;&lt;contributors&gt;&lt;authors&gt;&lt;author&gt;Comez, Lucia&lt;/author&gt;&lt;author&gt;Lupi, Laura&lt;/author&gt;&lt;author&gt;Morresi, Assunta&lt;/author&gt;&lt;author&gt;Paolantoni, Marco&lt;/author&gt;&lt;author&gt;Sassi, Paola&lt;/author&gt;&lt;author&gt;Fioretto, Daniele&lt;/author&gt;&lt;/authors&gt;&lt;/contributors&gt;&lt;titles&gt;&lt;title&gt;More Is Different: Experimental Results on the Effect of Biomolecules on the Dynamics of Hydration Water&lt;/title&gt;&lt;secondary-title&gt;The Journal of Physical Chemistry Letters&lt;/secondary-title&gt;&lt;/titles&gt;&lt;periodical&gt;&lt;full-title&gt;The Journal of Physical Chemistry Letters&lt;/full-title&gt;&lt;/periodical&gt;&lt;pages&gt;1188-1192&lt;/pages&gt;&lt;volume&gt;4&lt;/volume&gt;&lt;number&gt;7&lt;/number&gt;&lt;dates&gt;&lt;year&gt;2013&lt;/year&gt;&lt;pub-dates&gt;&lt;date&gt;2013/04/04&lt;/date&gt;&lt;/pub-dates&gt;&lt;/dates&gt;&lt;publisher&gt;American Chemical Society&lt;/publisher&gt;&lt;isbn&gt;1948-7185&lt;/isbn&gt;&lt;urls&gt;&lt;related-urls&gt;&lt;url&gt;http://dx.doi.org/10.1021/jz400360v&lt;/url&gt;&lt;/related-urls&gt;&lt;/urls&gt;&lt;electronic-resource-num&gt;10.1021/jz400360v&lt;/electronic-resource-num&gt;&lt;access-date&gt;2013/12/21&lt;/access-date&gt;&lt;/record&gt;&lt;/Cite&gt;&lt;/EndNote&gt;</w:instrText>
              </w:r>
              <w:r w:rsidR="00512D09" w:rsidRPr="008C74E7">
                <w:rPr>
                  <w:bCs/>
                  <w:iCs/>
                  <w:sz w:val="16"/>
                  <w:szCs w:val="16"/>
                </w:rPr>
                <w:fldChar w:fldCharType="separate"/>
              </w:r>
              <w:r w:rsidR="00512D09" w:rsidRPr="00F04E2C">
                <w:rPr>
                  <w:bCs/>
                  <w:iCs/>
                  <w:noProof/>
                  <w:sz w:val="16"/>
                  <w:szCs w:val="16"/>
                  <w:vertAlign w:val="superscript"/>
                </w:rPr>
                <w:t>68</w:t>
              </w:r>
              <w:r w:rsidR="00512D09" w:rsidRPr="008C74E7">
                <w:rPr>
                  <w:sz w:val="16"/>
                  <w:szCs w:val="16"/>
                </w:rPr>
                <w:fldChar w:fldCharType="end"/>
              </w:r>
            </w:hyperlink>
          </w:p>
        </w:tc>
      </w:tr>
      <w:tr w:rsidR="003901D6" w:rsidRPr="008C74E7" w:rsidTr="001900AE">
        <w:tc>
          <w:tcPr>
            <w:tcW w:w="1768" w:type="dxa"/>
            <w:tcBorders>
              <w:bottom w:val="single" w:sz="4" w:space="0" w:color="auto"/>
            </w:tcBorders>
          </w:tcPr>
          <w:p w:rsidR="003D5CD4" w:rsidRPr="008C74E7" w:rsidRDefault="003D5CD4" w:rsidP="00EF0131">
            <w:pPr>
              <w:spacing w:line="480" w:lineRule="auto"/>
              <w:jc w:val="center"/>
              <w:rPr>
                <w:sz w:val="16"/>
                <w:szCs w:val="16"/>
              </w:rPr>
            </w:pPr>
            <w:r w:rsidRPr="008C74E7">
              <w:rPr>
                <w:i/>
                <w:sz w:val="16"/>
                <w:szCs w:val="16"/>
              </w:rPr>
              <w:t>N</w:t>
            </w:r>
            <w:r w:rsidRPr="008C74E7">
              <w:rPr>
                <w:sz w:val="16"/>
                <w:szCs w:val="16"/>
              </w:rPr>
              <w:t>-acetylleucine-</w:t>
            </w:r>
          </w:p>
          <w:p w:rsidR="003D5CD4" w:rsidRPr="008C74E7" w:rsidRDefault="003D5CD4" w:rsidP="00EF0131">
            <w:pPr>
              <w:spacing w:line="480" w:lineRule="auto"/>
              <w:jc w:val="center"/>
              <w:rPr>
                <w:bCs/>
                <w:iCs/>
                <w:sz w:val="16"/>
                <w:szCs w:val="16"/>
              </w:rPr>
            </w:pPr>
            <w:r w:rsidRPr="008C74E7">
              <w:rPr>
                <w:sz w:val="16"/>
                <w:szCs w:val="16"/>
              </w:rPr>
              <w:t>amide</w:t>
            </w:r>
          </w:p>
        </w:tc>
        <w:tc>
          <w:tcPr>
            <w:tcW w:w="1086" w:type="dxa"/>
            <w:tcBorders>
              <w:bottom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NR*</w:t>
            </w:r>
          </w:p>
        </w:tc>
        <w:tc>
          <w:tcPr>
            <w:tcW w:w="950" w:type="dxa"/>
            <w:tcBorders>
              <w:bottom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4.2</w:t>
            </w:r>
          </w:p>
        </w:tc>
        <w:tc>
          <w:tcPr>
            <w:tcW w:w="1214" w:type="dxa"/>
            <w:tcBorders>
              <w:bottom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100</w:t>
            </w:r>
          </w:p>
        </w:tc>
        <w:tc>
          <w:tcPr>
            <w:tcW w:w="1070" w:type="dxa"/>
            <w:tcBorders>
              <w:bottom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Water</w:t>
            </w:r>
          </w:p>
        </w:tc>
        <w:tc>
          <w:tcPr>
            <w:tcW w:w="985" w:type="dxa"/>
            <w:tcBorders>
              <w:bottom w:val="single" w:sz="4" w:space="0" w:color="auto"/>
            </w:tcBorders>
          </w:tcPr>
          <w:p w:rsidR="003D5CD4" w:rsidRPr="008C74E7" w:rsidRDefault="006C2030" w:rsidP="00EF0131">
            <w:pPr>
              <w:spacing w:line="480" w:lineRule="auto"/>
              <w:jc w:val="center"/>
              <w:rPr>
                <w:bCs/>
                <w:iCs/>
                <w:sz w:val="16"/>
                <w:szCs w:val="16"/>
              </w:rPr>
            </w:pPr>
            <w:r w:rsidRPr="006C2030">
              <w:rPr>
                <w:bCs/>
                <w:iCs/>
                <w:sz w:val="16"/>
                <w:szCs w:val="16"/>
              </w:rPr>
              <w:t>19.85</w:t>
            </w:r>
          </w:p>
        </w:tc>
        <w:tc>
          <w:tcPr>
            <w:tcW w:w="1261" w:type="dxa"/>
            <w:tcBorders>
              <w:bottom w:val="single" w:sz="4" w:space="0" w:color="auto"/>
            </w:tcBorders>
          </w:tcPr>
          <w:p w:rsidR="003D5CD4" w:rsidRPr="008C74E7" w:rsidRDefault="003D5CD4" w:rsidP="00EF0131">
            <w:pPr>
              <w:spacing w:line="480" w:lineRule="auto"/>
              <w:jc w:val="center"/>
              <w:rPr>
                <w:bCs/>
                <w:iCs/>
                <w:sz w:val="16"/>
                <w:szCs w:val="16"/>
              </w:rPr>
            </w:pPr>
            <w:r w:rsidRPr="008C74E7">
              <w:rPr>
                <w:bCs/>
                <w:iCs/>
                <w:sz w:val="16"/>
                <w:szCs w:val="16"/>
              </w:rPr>
              <w:t>EDLS</w:t>
            </w:r>
          </w:p>
        </w:tc>
        <w:tc>
          <w:tcPr>
            <w:tcW w:w="800" w:type="dxa"/>
            <w:tcBorders>
              <w:bottom w:val="single" w:sz="4" w:space="0" w:color="auto"/>
            </w:tcBorders>
          </w:tcPr>
          <w:p w:rsidR="003D5CD4" w:rsidRPr="008C74E7" w:rsidRDefault="00040F10" w:rsidP="00512D09">
            <w:pPr>
              <w:spacing w:line="480" w:lineRule="auto"/>
              <w:jc w:val="center"/>
              <w:rPr>
                <w:bCs/>
                <w:iCs/>
                <w:sz w:val="16"/>
                <w:szCs w:val="16"/>
              </w:rPr>
            </w:pPr>
            <w:hyperlink w:anchor="_ENREF_68" w:tooltip="Comez, 2013 #290" w:history="1">
              <w:r w:rsidR="00512D09" w:rsidRPr="008C74E7">
                <w:rPr>
                  <w:bCs/>
                  <w:iCs/>
                  <w:sz w:val="16"/>
                  <w:szCs w:val="16"/>
                </w:rPr>
                <w:fldChar w:fldCharType="begin"/>
              </w:r>
              <w:r w:rsidR="00512D09">
                <w:rPr>
                  <w:bCs/>
                  <w:iCs/>
                  <w:sz w:val="16"/>
                  <w:szCs w:val="16"/>
                </w:rPr>
                <w:instrText xml:space="preserve"> ADDIN EN.CITE &lt;EndNote&gt;&lt;Cite&gt;&lt;Author&gt;Comez&lt;/Author&gt;&lt;Year&gt;2013&lt;/Year&gt;&lt;RecNum&gt;290&lt;/RecNum&gt;&lt;DisplayText&gt;&lt;style face="superscript"&gt;68&lt;/style&gt;&lt;/DisplayText&gt;&lt;record&gt;&lt;rec-number&gt;290&lt;/rec-number&gt;&lt;foreign-keys&gt;&lt;key app="EN" db-id="5trrespwzsdr07efd5tx2w96x22re9s0fsdt"&gt;290&lt;/key&gt;&lt;/foreign-keys&gt;&lt;ref-type name="Journal Article"&gt;17&lt;/ref-type&gt;&lt;contributors&gt;&lt;authors&gt;&lt;author&gt;Comez, Lucia&lt;/author&gt;&lt;author&gt;Lupi, Laura&lt;/author&gt;&lt;author&gt;Morresi, Assunta&lt;/author&gt;&lt;author&gt;Paolantoni, Marco&lt;/author&gt;&lt;author&gt;Sassi, Paola&lt;/author&gt;&lt;author&gt;Fioretto, Daniele&lt;/author&gt;&lt;/authors&gt;&lt;/contributors&gt;&lt;titles&gt;&lt;title&gt;More Is Different: Experimental Results on the Effect of Biomolecules on the Dynamics of Hydration Water&lt;/title&gt;&lt;secondary-title&gt;The Journal of Physical Chemistry Letters&lt;/secondary-title&gt;&lt;/titles&gt;&lt;periodical&gt;&lt;full-title&gt;The Journal of Physical Chemistry Letters&lt;/full-title&gt;&lt;/periodical&gt;&lt;pages&gt;1188-1192&lt;/pages&gt;&lt;volume&gt;4&lt;/volume&gt;&lt;number&gt;7&lt;/number&gt;&lt;dates&gt;&lt;year&gt;2013&lt;/year&gt;&lt;pub-dates&gt;&lt;date&gt;2013/04/04&lt;/date&gt;&lt;/pub-dates&gt;&lt;/dates&gt;&lt;publisher&gt;American Chemical Society&lt;/publisher&gt;&lt;isbn&gt;1948-7185&lt;/isbn&gt;&lt;urls&gt;&lt;related-urls&gt;&lt;url&gt;http://dx.doi.org/10.1021/jz400360v&lt;/url&gt;&lt;/related-urls&gt;&lt;/urls&gt;&lt;electronic-resource-num&gt;10.1021/jz400360v&lt;/electronic-resource-num&gt;&lt;access-date&gt;2013/12/21&lt;/access-date&gt;&lt;/record&gt;&lt;/Cite&gt;&lt;/EndNote&gt;</w:instrText>
              </w:r>
              <w:r w:rsidR="00512D09" w:rsidRPr="008C74E7">
                <w:rPr>
                  <w:bCs/>
                  <w:iCs/>
                  <w:sz w:val="16"/>
                  <w:szCs w:val="16"/>
                </w:rPr>
                <w:fldChar w:fldCharType="separate"/>
              </w:r>
              <w:r w:rsidR="00512D09" w:rsidRPr="00F04E2C">
                <w:rPr>
                  <w:bCs/>
                  <w:iCs/>
                  <w:noProof/>
                  <w:sz w:val="16"/>
                  <w:szCs w:val="16"/>
                  <w:vertAlign w:val="superscript"/>
                </w:rPr>
                <w:t>68</w:t>
              </w:r>
              <w:r w:rsidR="00512D09" w:rsidRPr="008C74E7">
                <w:rPr>
                  <w:sz w:val="16"/>
                  <w:szCs w:val="16"/>
                </w:rPr>
                <w:fldChar w:fldCharType="end"/>
              </w:r>
            </w:hyperlink>
          </w:p>
        </w:tc>
      </w:tr>
    </w:tbl>
    <w:p w:rsidR="00965B7D" w:rsidRPr="008C74E7" w:rsidRDefault="00965B7D" w:rsidP="001D0B51">
      <w:pPr>
        <w:spacing w:line="480" w:lineRule="auto"/>
        <w:rPr>
          <w:sz w:val="16"/>
          <w:szCs w:val="16"/>
        </w:rPr>
      </w:pPr>
    </w:p>
    <w:p w:rsidR="00154633" w:rsidRPr="00DA0265" w:rsidRDefault="00DA0265" w:rsidP="00217116">
      <w:pPr>
        <w:spacing w:line="480" w:lineRule="auto"/>
        <w:jc w:val="both"/>
        <w:rPr>
          <w:bCs/>
        </w:rPr>
      </w:pPr>
      <w:r>
        <w:rPr>
          <w:bCs/>
        </w:rPr>
        <w:t xml:space="preserve">It seems that based on these studies ligand solvation </w:t>
      </w:r>
      <w:r w:rsidR="000978E5">
        <w:rPr>
          <w:bCs/>
        </w:rPr>
        <w:t>could be as</w:t>
      </w:r>
      <w:r>
        <w:rPr>
          <w:bCs/>
        </w:rPr>
        <w:t xml:space="preserve"> important in understanding the role of water in binding interactions</w:t>
      </w:r>
      <w:r w:rsidR="000978E5">
        <w:rPr>
          <w:bCs/>
        </w:rPr>
        <w:t xml:space="preserve"> as studying proteins</w:t>
      </w:r>
      <w:r>
        <w:rPr>
          <w:bCs/>
        </w:rPr>
        <w:t xml:space="preserve">. </w:t>
      </w:r>
      <w:r w:rsidR="00BC1C98">
        <w:rPr>
          <w:bCs/>
        </w:rPr>
        <w:t>The binding of four peptides to thermolysin was studied by ITC and crystallography</w:t>
      </w:r>
      <w:r w:rsidR="00C82662">
        <w:rPr>
          <w:bCs/>
        </w:rPr>
        <w:t>.</w:t>
      </w:r>
      <w:r w:rsidR="00154633">
        <w:rPr>
          <w:bCs/>
        </w:rPr>
        <w:t xml:space="preserve"> </w:t>
      </w:r>
      <w:hyperlink w:anchor="_ENREF_76" w:tooltip="Biela, 2012 #502" w:history="1">
        <w:r w:rsidR="00512D09">
          <w:rPr>
            <w:bCs/>
          </w:rPr>
          <w:fldChar w:fldCharType="begin"/>
        </w:r>
        <w:r w:rsidR="00512D09">
          <w:rPr>
            <w:bCs/>
          </w:rPr>
          <w:instrText xml:space="preserve"> ADDIN EN.CITE &lt;EndNote&gt;&lt;Cite&gt;&lt;Author&gt;Biela&lt;/Author&gt;&lt;Year&gt;2012&lt;/Year&gt;&lt;RecNum&gt;502&lt;/RecNum&gt;&lt;DisplayText&gt;&lt;style face="superscript"&gt;76&lt;/style&gt;&lt;/DisplayText&gt;&lt;record&gt;&lt;rec-number&gt;502&lt;/rec-number&gt;&lt;foreign-keys&gt;&lt;key app="EN" db-id="5trrespwzsdr07efd5tx2w96x22re9s0fsdt"&gt;502&lt;/key&gt;&lt;/foreign-keys&gt;&lt;ref-type name="Journal Article"&gt;17&lt;/ref-type&gt;&lt;contributors&gt;&lt;authors&gt;&lt;author&gt;Biela, Adam&lt;/author&gt;&lt;author&gt;Betz, Michael&lt;/author&gt;&lt;author&gt;Heine, Andreas&lt;/author&gt;&lt;author&gt;Klebe, Gerhard&lt;/author&gt;&lt;/authors&gt;&lt;/contributors&gt;&lt;titles&gt;&lt;title&gt;Water Makes the Difference: Rearrangement of Water Solvation Layer Triggers Non-additivity of Functional Group Contributions in Protein–Ligand Binding&lt;/title&gt;&lt;secondary-title&gt;ChemMedChem&lt;/secondary-title&gt;&lt;/titles&gt;&lt;periodical&gt;&lt;full-title&gt;ChemMedChem&lt;/full-title&gt;&lt;/periodical&gt;&lt;pages&gt;1423-1434&lt;/pages&gt;&lt;volume&gt;7&lt;/volume&gt;&lt;number&gt;8&lt;/number&gt;&lt;keywords&gt;&lt;keyword&gt;crystal structures&lt;/keyword&gt;&lt;keyword&gt;water solvation&lt;/keyword&gt;&lt;keyword&gt;isothermal titration calorimetry&lt;/keyword&gt;&lt;keyword&gt;protein–ligand interactions&lt;/keyword&gt;&lt;/keywords&gt;&lt;dates&gt;&lt;year&gt;2012&lt;/year&gt;&lt;/dates&gt;&lt;publisher&gt;WILEY-VCH Verlag&lt;/publisher&gt;&lt;isbn&gt;1860-7187&lt;/isbn&gt;&lt;urls&gt;&lt;related-urls&gt;&lt;url&gt;http://dx.doi.org/10.1002/cmdc.201200206&lt;/url&gt;&lt;/related-urls&gt;&lt;/urls&gt;&lt;electronic-resource-num&gt;10.1002/cmdc.201200206&lt;/electronic-resource-num&gt;&lt;/record&gt;&lt;/Cite&gt;&lt;/EndNote&gt;</w:instrText>
        </w:r>
        <w:r w:rsidR="00512D09">
          <w:rPr>
            <w:bCs/>
          </w:rPr>
          <w:fldChar w:fldCharType="separate"/>
        </w:r>
        <w:r w:rsidR="00512D09" w:rsidRPr="00F80CAD">
          <w:rPr>
            <w:bCs/>
            <w:noProof/>
            <w:vertAlign w:val="superscript"/>
          </w:rPr>
          <w:t>76</w:t>
        </w:r>
        <w:r w:rsidR="00512D09">
          <w:rPr>
            <w:bCs/>
          </w:rPr>
          <w:fldChar w:fldCharType="end"/>
        </w:r>
      </w:hyperlink>
      <w:r w:rsidR="00BC1C98">
        <w:rPr>
          <w:bCs/>
        </w:rPr>
        <w:t xml:space="preserve"> Addition of a carboxylate group and a methyl group to the peptide lead to favourable changes in the Gibbs free energy of binding. Crystallography suggested the increase in binding affinity was due to favourable interactions with the ligand and the water network within the binding </w:t>
      </w:r>
      <w:r w:rsidR="00BC1C98">
        <w:rPr>
          <w:bCs/>
        </w:rPr>
        <w:lastRenderedPageBreak/>
        <w:t xml:space="preserve">site. </w:t>
      </w:r>
      <w:r w:rsidR="00154633">
        <w:rPr>
          <w:bCs/>
        </w:rPr>
        <w:t>Addition of just either the methyl or the carboxylate group led to EEC phenomena with minor changes in affinity. This example demonstrates non-additivity and yields a possible method of circumventing EEC</w:t>
      </w:r>
      <w:r w:rsidR="00C82662">
        <w:rPr>
          <w:bCs/>
        </w:rPr>
        <w:t>.</w:t>
      </w:r>
      <w:r w:rsidR="00154633">
        <w:rPr>
          <w:bCs/>
        </w:rPr>
        <w:t xml:space="preserve"> </w:t>
      </w:r>
      <w:hyperlink w:anchor="_ENREF_76" w:tooltip="Biela, 2012 #502" w:history="1">
        <w:r w:rsidR="00512D09">
          <w:rPr>
            <w:bCs/>
          </w:rPr>
          <w:fldChar w:fldCharType="begin"/>
        </w:r>
        <w:r w:rsidR="00512D09">
          <w:rPr>
            <w:bCs/>
          </w:rPr>
          <w:instrText xml:space="preserve"> ADDIN EN.CITE &lt;EndNote&gt;&lt;Cite&gt;&lt;Author&gt;Biela&lt;/Author&gt;&lt;Year&gt;2012&lt;/Year&gt;&lt;RecNum&gt;502&lt;/RecNum&gt;&lt;DisplayText&gt;&lt;style face="superscript"&gt;76&lt;/style&gt;&lt;/DisplayText&gt;&lt;record&gt;&lt;rec-number&gt;502&lt;/rec-number&gt;&lt;foreign-keys&gt;&lt;key app="EN" db-id="5trrespwzsdr07efd5tx2w96x22re9s0fsdt"&gt;502&lt;/key&gt;&lt;/foreign-keys&gt;&lt;ref-type name="Journal Article"&gt;17&lt;/ref-type&gt;&lt;contributors&gt;&lt;authors&gt;&lt;author&gt;Biela, Adam&lt;/author&gt;&lt;author&gt;Betz, Michael&lt;/author&gt;&lt;author&gt;Heine, Andreas&lt;/author&gt;&lt;author&gt;Klebe, Gerhard&lt;/author&gt;&lt;/authors&gt;&lt;/contributors&gt;&lt;titles&gt;&lt;title&gt;Water Makes the Difference: Rearrangement of Water Solvation Layer Triggers Non-additivity of Functional Group Contributions in Protein–Ligand Binding&lt;/title&gt;&lt;secondary-title&gt;ChemMedChem&lt;/secondary-title&gt;&lt;/titles&gt;&lt;periodical&gt;&lt;full-title&gt;ChemMedChem&lt;/full-title&gt;&lt;/periodical&gt;&lt;pages&gt;1423-1434&lt;/pages&gt;&lt;volume&gt;7&lt;/volume&gt;&lt;number&gt;8&lt;/number&gt;&lt;keywords&gt;&lt;keyword&gt;crystal structures&lt;/keyword&gt;&lt;keyword&gt;water solvation&lt;/keyword&gt;&lt;keyword&gt;isothermal titration calorimetry&lt;/keyword&gt;&lt;keyword&gt;protein–ligand interactions&lt;/keyword&gt;&lt;/keywords&gt;&lt;dates&gt;&lt;year&gt;2012&lt;/year&gt;&lt;/dates&gt;&lt;publisher&gt;WILEY-VCH Verlag&lt;/publisher&gt;&lt;isbn&gt;1860-7187&lt;/isbn&gt;&lt;urls&gt;&lt;related-urls&gt;&lt;url&gt;http://dx.doi.org/10.1002/cmdc.201200206&lt;/url&gt;&lt;/related-urls&gt;&lt;/urls&gt;&lt;electronic-resource-num&gt;10.1002/cmdc.201200206&lt;/electronic-resource-num&gt;&lt;/record&gt;&lt;/Cite&gt;&lt;/EndNote&gt;</w:instrText>
        </w:r>
        <w:r w:rsidR="00512D09">
          <w:rPr>
            <w:bCs/>
          </w:rPr>
          <w:fldChar w:fldCharType="separate"/>
        </w:r>
        <w:r w:rsidR="00512D09" w:rsidRPr="00F80CAD">
          <w:rPr>
            <w:bCs/>
            <w:noProof/>
            <w:vertAlign w:val="superscript"/>
          </w:rPr>
          <w:t>76</w:t>
        </w:r>
        <w:r w:rsidR="00512D09">
          <w:rPr>
            <w:bCs/>
          </w:rPr>
          <w:fldChar w:fldCharType="end"/>
        </w:r>
      </w:hyperlink>
      <w:r w:rsidR="00154633">
        <w:rPr>
          <w:bCs/>
        </w:rPr>
        <w:t xml:space="preserve">  </w:t>
      </w:r>
      <w:r w:rsidR="00BC1C98">
        <w:rPr>
          <w:bCs/>
        </w:rPr>
        <w:t xml:space="preserve">  </w:t>
      </w:r>
    </w:p>
    <w:p w:rsidR="00154633" w:rsidRDefault="00C52D2B" w:rsidP="00514313">
      <w:pPr>
        <w:pStyle w:val="Heading2"/>
      </w:pPr>
      <w:bookmarkStart w:id="46" w:name="_Toc459130667"/>
      <w:r>
        <w:t>Extract the Role of Water in Binding Interactions</w:t>
      </w:r>
      <w:bookmarkEnd w:id="46"/>
    </w:p>
    <w:p w:rsidR="0077575C" w:rsidRPr="0077575C" w:rsidRDefault="0077575C" w:rsidP="0077575C"/>
    <w:p w:rsidR="004D7B44" w:rsidRDefault="00E86E7A" w:rsidP="00217116">
      <w:pPr>
        <w:spacing w:line="480" w:lineRule="auto"/>
        <w:jc w:val="both"/>
        <w:rPr>
          <w:bCs/>
          <w:iCs/>
        </w:rPr>
      </w:pPr>
      <w:r>
        <w:rPr>
          <w:bCs/>
          <w:iCs/>
        </w:rPr>
        <w:t>The existence of EEC usually means that the parameter being varied (solvent, structure, ect) is operating on one type of interaction.</w:t>
      </w:r>
      <w:hyperlink w:anchor="_ENREF_43" w:tooltip="Xiang, 2001 #398" w:history="1">
        <w:r w:rsidR="00512D09">
          <w:rPr>
            <w:bCs/>
            <w:iCs/>
          </w:rPr>
          <w:fldChar w:fldCharType="begin"/>
        </w:r>
        <w:r w:rsidR="00512D09">
          <w:rPr>
            <w:bCs/>
            <w:iCs/>
          </w:rPr>
          <w:instrText xml:space="preserve"> ADDIN EN.CITE &lt;EndNote&gt;&lt;Cite&gt;&lt;Author&gt;Xiang&lt;/Author&gt;&lt;Year&gt;2001&lt;/Year&gt;&lt;RecNum&gt;398&lt;/RecNum&gt;&lt;DisplayText&gt;&lt;style face="superscript"&gt;43&lt;/style&gt;&lt;/DisplayText&gt;&lt;record&gt;&lt;rec-number&gt;398&lt;/rec-number&gt;&lt;foreign-keys&gt;&lt;key app="EN" db-id="5trrespwzsdr07efd5tx2w96x22re9s0fsdt"&gt;398&lt;/key&gt;&lt;/foreign-keys&gt;&lt;ref-type name="Journal Article"&gt;17&lt;/ref-type&gt;&lt;contributors&gt;&lt;authors&gt;&lt;author&gt;Xiang, Qing.&lt;/author&gt;&lt;/authors&gt;&lt;/contributors&gt;&lt;titles&gt;&lt;title&gt;Isoequilibrium Relationship, and Enthalpy-Entropy Compensation&lt;/title&gt;&lt;secondary-title&gt;Chemical Reviews&lt;/secondary-title&gt;&lt;/titles&gt;&lt;periodical&gt;&lt;full-title&gt;Chemical Reviews&lt;/full-title&gt;&lt;/periodical&gt;&lt;pages&gt;673-695&lt;/pages&gt;&lt;volume&gt;101&lt;/volume&gt;&lt;number&gt;3&lt;/number&gt;&lt;dates&gt;&lt;year&gt;2001&lt;/year&gt;&lt;/dates&gt;&lt;urls&gt;&lt;/urls&gt;&lt;/record&gt;&lt;/Cite&gt;&lt;/EndNote&gt;</w:instrText>
        </w:r>
        <w:r w:rsidR="00512D09">
          <w:rPr>
            <w:bCs/>
            <w:iCs/>
          </w:rPr>
          <w:fldChar w:fldCharType="separate"/>
        </w:r>
        <w:r w:rsidR="00512D09" w:rsidRPr="00F04E2C">
          <w:rPr>
            <w:bCs/>
            <w:iCs/>
            <w:noProof/>
            <w:vertAlign w:val="superscript"/>
          </w:rPr>
          <w:t>43</w:t>
        </w:r>
        <w:r w:rsidR="00512D09">
          <w:rPr>
            <w:bCs/>
            <w:iCs/>
          </w:rPr>
          <w:fldChar w:fldCharType="end"/>
        </w:r>
      </w:hyperlink>
      <w:r w:rsidR="004D7B44">
        <w:rPr>
          <w:bCs/>
          <w:iCs/>
        </w:rPr>
        <w:t xml:space="preserve"> It is a manifestation of the presence of a single source of additivity.</w:t>
      </w:r>
      <w:hyperlink w:anchor="_ENREF_13" w:tooltip="Lumry, 1970 #199" w:history="1">
        <w:r w:rsidR="00512D09">
          <w:rPr>
            <w:bCs/>
            <w:iCs/>
          </w:rPr>
          <w:fldChar w:fldCharType="begin"/>
        </w:r>
        <w:r w:rsidR="00512D09">
          <w:rPr>
            <w:bCs/>
            <w:iCs/>
          </w:rPr>
          <w:instrText xml:space="preserve"> ADDIN EN.CITE &lt;EndNote&gt;&lt;Cite&gt;&lt;Author&gt;Lumry&lt;/Author&gt;&lt;Year&gt;1970&lt;/Year&gt;&lt;RecNum&gt;199&lt;/RecNum&gt;&lt;DisplayText&gt;&lt;style face="superscript"&gt;13&lt;/style&gt;&lt;/DisplayText&gt;&lt;record&gt;&lt;rec-number&gt;199&lt;/rec-number&gt;&lt;foreign-keys&gt;&lt;key app="EN" db-id="5trrespwzsdr07efd5tx2w96x22re9s0fsdt"&gt;199&lt;/key&gt;&lt;/foreign-keys&gt;&lt;ref-type name="Journal Article"&gt;17&lt;/ref-type&gt;&lt;contributors&gt;&lt;authors&gt;&lt;author&gt;Lumry, Rufus&lt;/author&gt;&lt;author&gt;Rajender, Shyamala&lt;/author&gt;&lt;/authors&gt;&lt;/contributors&gt;&lt;titles&gt;&lt;title&gt;Enthalpy–entropy compensation phenomena in water solutions of proteins and small molecules: A ubiquitous properly of water&lt;/title&gt;&lt;secondary-title&gt;Biopolymers&lt;/secondary-title&gt;&lt;/titles&gt;&lt;periodical&gt;&lt;full-title&gt;Biopolymers&lt;/full-title&gt;&lt;/periodical&gt;&lt;pages&gt;1125-1227&lt;/pages&gt;&lt;volume&gt;9&lt;/volume&gt;&lt;number&gt;10&lt;/number&gt;&lt;dates&gt;&lt;year&gt;1970&lt;/year&gt;&lt;/dates&gt;&lt;publisher&gt;Wiley Subscription Services, Inc., A Wiley Company&lt;/publisher&gt;&lt;isbn&gt;1097-0282&lt;/isbn&gt;&lt;urls&gt;&lt;related-urls&gt;&lt;url&gt;http://dx.doi.org/10.1002/bip.1970.360091002&lt;/url&gt;&lt;/related-urls&gt;&lt;/urls&gt;&lt;electronic-resource-num&gt;10.1002/bip.1970.360091002&lt;/electronic-resource-num&gt;&lt;/record&gt;&lt;/Cite&gt;&lt;/EndNote&gt;</w:instrText>
        </w:r>
        <w:r w:rsidR="00512D09">
          <w:rPr>
            <w:bCs/>
            <w:iCs/>
          </w:rPr>
          <w:fldChar w:fldCharType="separate"/>
        </w:r>
        <w:r w:rsidR="00512D09" w:rsidRPr="003901D6">
          <w:rPr>
            <w:bCs/>
            <w:iCs/>
            <w:noProof/>
            <w:vertAlign w:val="superscript"/>
          </w:rPr>
          <w:t>13</w:t>
        </w:r>
        <w:r w:rsidR="00512D09">
          <w:rPr>
            <w:bCs/>
            <w:iCs/>
          </w:rPr>
          <w:fldChar w:fldCharType="end"/>
        </w:r>
      </w:hyperlink>
      <w:r w:rsidR="004D7B44">
        <w:rPr>
          <w:bCs/>
          <w:iCs/>
        </w:rPr>
        <w:t xml:space="preserve"> </w:t>
      </w:r>
      <w:r w:rsidR="00594D5D">
        <w:rPr>
          <w:bCs/>
          <w:iCs/>
        </w:rPr>
        <w:t>In the case of examples where water could be the source of compensation c</w:t>
      </w:r>
      <w:r w:rsidR="00C660A6">
        <w:rPr>
          <w:bCs/>
          <w:iCs/>
        </w:rPr>
        <w:t>hanging the temperature at which</w:t>
      </w:r>
      <w:r w:rsidR="00594D5D">
        <w:rPr>
          <w:bCs/>
          <w:iCs/>
        </w:rPr>
        <w:t xml:space="preserve"> the titration is performed, addition of salts, osmolytes or organic solvents can test this. </w:t>
      </w:r>
      <w:r w:rsidR="00950109">
        <w:rPr>
          <w:bCs/>
          <w:iCs/>
        </w:rPr>
        <w:t>In addition to this, the contribution of water to binding thermodynamics can be understood</w:t>
      </w:r>
      <w:r w:rsidR="001F3FAC">
        <w:rPr>
          <w:bCs/>
          <w:iCs/>
        </w:rPr>
        <w:t xml:space="preserve">. This section will outline possible methods of measuring water displacement during binding interactions. </w:t>
      </w:r>
    </w:p>
    <w:p w:rsidR="00154633" w:rsidRDefault="0053318E" w:rsidP="00514313">
      <w:pPr>
        <w:pStyle w:val="Heading3"/>
      </w:pPr>
      <w:bookmarkStart w:id="47" w:name="_Toc459130668"/>
      <w:r>
        <w:t>Methods of Changing the Hydrophobic E</w:t>
      </w:r>
      <w:r w:rsidR="00154633" w:rsidRPr="00154633">
        <w:t>ffect</w:t>
      </w:r>
      <w:bookmarkEnd w:id="47"/>
    </w:p>
    <w:p w:rsidR="0077575C" w:rsidRPr="0077575C" w:rsidRDefault="0077575C" w:rsidP="0077575C"/>
    <w:p w:rsidR="00154633" w:rsidRPr="00154633" w:rsidRDefault="00154633" w:rsidP="00217116">
      <w:pPr>
        <w:spacing w:line="480" w:lineRule="auto"/>
        <w:jc w:val="both"/>
        <w:rPr>
          <w:bCs/>
          <w:iCs/>
        </w:rPr>
      </w:pPr>
      <w:r w:rsidRPr="00154633">
        <w:rPr>
          <w:bCs/>
          <w:iCs/>
        </w:rPr>
        <w:t>The hydrophobic effect can be decreased by the addition of substances called “antihydrophobic agents.” Chaotropic agents such as urea and guanidinium and small chain alcohols solvate hydrophobic areas and interact with water</w:t>
      </w:r>
      <w:r w:rsidR="00C82662">
        <w:rPr>
          <w:bCs/>
          <w:iCs/>
        </w:rPr>
        <w:t>.</w:t>
      </w:r>
      <w:hyperlink w:anchor="_ENREF_77" w:tooltip="Breslow, 1998 #472" w:history="1">
        <w:r w:rsidR="00512D09" w:rsidRPr="00154633">
          <w:rPr>
            <w:bCs/>
            <w:iCs/>
          </w:rPr>
          <w:fldChar w:fldCharType="begin"/>
        </w:r>
        <w:r w:rsidR="00512D09">
          <w:rPr>
            <w:bCs/>
            <w:iCs/>
          </w:rPr>
          <w:instrText xml:space="preserve"> ADDIN EN.CITE &lt;EndNote&gt;&lt;Cite&gt;&lt;Author&gt;Breslow&lt;/Author&gt;&lt;Year&gt;1998&lt;/Year&gt;&lt;RecNum&gt;472&lt;/RecNum&gt;&lt;DisplayText&gt;&lt;style face="superscript"&gt;77&lt;/style&gt;&lt;/DisplayText&gt;&lt;record&gt;&lt;rec-number&gt;472&lt;/rec-number&gt;&lt;foreign-keys&gt;&lt;key app="EN" db-id="5trrespwzsdr07efd5tx2w96x22re9s0fsdt"&gt;472&lt;/key&gt;&lt;/foreign-keys&gt;&lt;ref-type name="Journal Article"&gt;17&lt;/ref-type&gt;&lt;contributors&gt;&lt;authors&gt;&lt;author&gt;Breslow, Ronald&lt;/author&gt;&lt;author&gt;Groves, Kevin&lt;/author&gt;&lt;author&gt;Mayer, M Uljana&lt;/author&gt;&lt;/authors&gt;&lt;/contributors&gt;&lt;titles&gt;&lt;title&gt;The hydrophobic effect as a mechanistic tool&lt;/title&gt;&lt;secondary-title&gt;Pure and applied chemistry&lt;/secondary-title&gt;&lt;/titles&gt;&lt;periodical&gt;&lt;full-title&gt;Pure and applied chemistry&lt;/full-title&gt;&lt;/periodical&gt;&lt;pages&gt;1933-1938&lt;/pages&gt;&lt;volume&gt;70&lt;/volume&gt;&lt;dates&gt;&lt;year&gt;1998&lt;/year&gt;&lt;/dates&gt;&lt;isbn&gt;0033-4545&lt;/isbn&gt;&lt;urls&gt;&lt;/urls&gt;&lt;/record&gt;&lt;/Cite&gt;&lt;/EndNote&gt;</w:instrText>
        </w:r>
        <w:r w:rsidR="00512D09" w:rsidRPr="00154633">
          <w:rPr>
            <w:bCs/>
            <w:iCs/>
          </w:rPr>
          <w:fldChar w:fldCharType="separate"/>
        </w:r>
        <w:r w:rsidR="00512D09" w:rsidRPr="00F80CAD">
          <w:rPr>
            <w:bCs/>
            <w:iCs/>
            <w:noProof/>
            <w:vertAlign w:val="superscript"/>
          </w:rPr>
          <w:t>77</w:t>
        </w:r>
        <w:r w:rsidR="00512D09" w:rsidRPr="00154633">
          <w:rPr>
            <w:bCs/>
          </w:rPr>
          <w:fldChar w:fldCharType="end"/>
        </w:r>
      </w:hyperlink>
      <w:r w:rsidRPr="00154633">
        <w:rPr>
          <w:bCs/>
          <w:iCs/>
        </w:rPr>
        <w:t xml:space="preserve"> Hydrophobic reactants can dissolve to a greater extent by the addition of alcohols reducing the free energy of the interacting partners. This can be used to study the transition state. If hydrophobic surface areas are less exposed and the transition state is effectively more polar the rate of the reaction will decrease. This gives a method of studying complex formation and has been used in a number of experimental studies. Nucleophilic addition/elimination of </w:t>
      </w:r>
      <w:r w:rsidRPr="00154633">
        <w:rPr>
          <w:bCs/>
          <w:i/>
          <w:iCs/>
        </w:rPr>
        <w:t>N</w:t>
      </w:r>
      <w:r w:rsidRPr="00154633">
        <w:rPr>
          <w:bCs/>
          <w:iCs/>
        </w:rPr>
        <w:t>-methylaniline with sodium 4-(chloromethyl)</w:t>
      </w:r>
      <w:r w:rsidR="00B650CC">
        <w:rPr>
          <w:bCs/>
          <w:iCs/>
        </w:rPr>
        <w:t xml:space="preserve"> </w:t>
      </w:r>
      <w:r w:rsidRPr="00154633">
        <w:rPr>
          <w:bCs/>
          <w:iCs/>
        </w:rPr>
        <w:t>ben</w:t>
      </w:r>
      <w:r w:rsidR="000817A2">
        <w:rPr>
          <w:bCs/>
          <w:iCs/>
        </w:rPr>
        <w:t>zoate was slowed by 10% ethanol</w:t>
      </w:r>
      <w:r w:rsidRPr="00154633">
        <w:rPr>
          <w:bCs/>
          <w:iCs/>
        </w:rPr>
        <w:t>. This was believed to be due to the overlap of phenyl groups occluding the solvent in the transition state</w:t>
      </w:r>
      <w:r w:rsidR="000978E5">
        <w:rPr>
          <w:bCs/>
          <w:iCs/>
        </w:rPr>
        <w:t>.</w:t>
      </w:r>
      <w:hyperlink w:anchor="_ENREF_78" w:tooltip="Breslow, 1995 #474" w:history="1">
        <w:r w:rsidR="00512D09" w:rsidRPr="00154633">
          <w:rPr>
            <w:bCs/>
            <w:iCs/>
          </w:rPr>
          <w:fldChar w:fldCharType="begin"/>
        </w:r>
        <w:r w:rsidR="00512D09">
          <w:rPr>
            <w:bCs/>
            <w:iCs/>
          </w:rPr>
          <w:instrText xml:space="preserve"> ADDIN EN.CITE &lt;EndNote&gt;&lt;Cite&gt;&lt;Author&gt;Breslow&lt;/Author&gt;&lt;Year&gt;1995&lt;/Year&gt;&lt;RecNum&gt;474&lt;/RecNum&gt;&lt;DisplayText&gt;&lt;style face="superscript"&gt;78&lt;/style&gt;&lt;/DisplayText&gt;&lt;record&gt;&lt;rec-number&gt;474&lt;/rec-number&gt;&lt;foreign-keys&gt;&lt;key app="EN" db-id="5trrespwzsdr07efd5tx2w96x22re9s0fsdt"&gt;474&lt;/key&gt;&lt;/foreign-keys&gt;&lt;ref-type name="Journal Article"&gt;17&lt;/ref-type&gt;&lt;contributors&gt;&lt;authors&gt;&lt;author&gt;Breslow, Ronald&lt;/author&gt;&lt;author&gt;Connors, Richard V.&lt;/author&gt;&lt;/authors&gt;&lt;/contributors&gt;&lt;titles&gt;&lt;title&gt;Quantitative Antihydrophobic Effects as Probes for Transition State Structures. 1. Benzoin Condensation and Displacement Reactions&lt;/title&gt;&lt;secondary-title&gt;J Am Chem Soc&lt;/secondary-title&gt;&lt;/titles&gt;&lt;periodical&gt;&lt;full-title&gt;J Am Chem Soc&lt;/full-title&gt;&lt;abbr-1&gt;Journal of the American Chemical Society&lt;/abbr-1&gt;&lt;/periodical&gt;&lt;pages&gt;6601-6602&lt;/pages&gt;&lt;volume&gt;117&lt;/volume&gt;&lt;number&gt;24&lt;/number&gt;&lt;dates&gt;&lt;year&gt;1995&lt;/year&gt;&lt;pub-dates&gt;&lt;date&gt;1995/06/01&lt;/date&gt;&lt;/pub-dates&gt;&lt;/dates&gt;&lt;publisher&gt;American Chemical Society&lt;/publisher&gt;&lt;isbn&gt;0002-7863&lt;/isbn&gt;&lt;urls&gt;&lt;related-urls&gt;&lt;url&gt;http://dx.doi.org/10.1021/ja00129a028&lt;/url&gt;&lt;/related-urls&gt;&lt;/urls&gt;&lt;electronic-resource-num&gt;10.1021/ja00129a028&lt;/electronic-resource-num&gt;&lt;access-date&gt;2014/11/28&lt;/access-date&gt;&lt;/record&gt;&lt;/Cite&gt;&lt;/EndNote&gt;</w:instrText>
        </w:r>
        <w:r w:rsidR="00512D09" w:rsidRPr="00154633">
          <w:rPr>
            <w:bCs/>
            <w:iCs/>
          </w:rPr>
          <w:fldChar w:fldCharType="separate"/>
        </w:r>
        <w:r w:rsidR="00512D09" w:rsidRPr="00F80CAD">
          <w:rPr>
            <w:bCs/>
            <w:iCs/>
            <w:noProof/>
            <w:vertAlign w:val="superscript"/>
          </w:rPr>
          <w:t>78</w:t>
        </w:r>
        <w:r w:rsidR="00512D09" w:rsidRPr="00154633">
          <w:rPr>
            <w:bCs/>
          </w:rPr>
          <w:fldChar w:fldCharType="end"/>
        </w:r>
      </w:hyperlink>
      <w:r w:rsidRPr="00154633">
        <w:rPr>
          <w:bCs/>
          <w:iCs/>
        </w:rPr>
        <w:t xml:space="preserve"> There was no change in rate when ethanol was added to the nucleophlic addition/elimination reaction of sodium 4-(chloromethyl)</w:t>
      </w:r>
      <w:r w:rsidR="00B650CC">
        <w:rPr>
          <w:bCs/>
          <w:iCs/>
        </w:rPr>
        <w:t xml:space="preserve"> </w:t>
      </w:r>
      <w:r w:rsidRPr="00154633">
        <w:rPr>
          <w:bCs/>
          <w:iCs/>
        </w:rPr>
        <w:t xml:space="preserve">benzoate with sodium phenoxide </w:t>
      </w:r>
      <w:r w:rsidRPr="00154633">
        <w:rPr>
          <w:bCs/>
          <w:iCs/>
        </w:rPr>
        <w:lastRenderedPageBreak/>
        <w:t>acting as a nucleophile. The authors suggested that the phenyls of both compounds do not overlap in the transition state</w:t>
      </w:r>
      <w:r w:rsidR="000978E5">
        <w:rPr>
          <w:bCs/>
          <w:iCs/>
        </w:rPr>
        <w:t>.</w:t>
      </w:r>
      <w:hyperlink w:anchor="_ENREF_79" w:tooltip="Breslow, 1996 #475" w:history="1">
        <w:r w:rsidR="00512D09" w:rsidRPr="00154633">
          <w:rPr>
            <w:bCs/>
            <w:iCs/>
          </w:rPr>
          <w:fldChar w:fldCharType="begin"/>
        </w:r>
        <w:r w:rsidR="00512D09">
          <w:rPr>
            <w:bCs/>
            <w:iCs/>
          </w:rPr>
          <w:instrText xml:space="preserve"> ADDIN EN.CITE &lt;EndNote&gt;&lt;Cite&gt;&lt;Author&gt;Breslow&lt;/Author&gt;&lt;Year&gt;1996&lt;/Year&gt;&lt;RecNum&gt;475&lt;/RecNum&gt;&lt;DisplayText&gt;&lt;style face="superscript"&gt;79&lt;/style&gt;&lt;/DisplayText&gt;&lt;record&gt;&lt;rec-number&gt;475&lt;/rec-number&gt;&lt;foreign-keys&gt;&lt;key app="EN" db-id="5trrespwzsdr07efd5tx2w96x22re9s0fsdt"&gt;475&lt;/key&gt;&lt;/foreign-keys&gt;&lt;ref-type name="Journal Article"&gt;17&lt;/ref-type&gt;&lt;contributors&gt;&lt;authors&gt;&lt;author&gt;Breslow, Ronald&lt;/author&gt;&lt;author&gt;Connors, Richard&lt;/author&gt;&lt;/authors&gt;&lt;/contributors&gt;&lt;titles&gt;&lt;title&gt;Antihydrophobic Cosolvent Effects Detect Two Different Geometries for an SN2 Displacement and the Change to a Single-Electron-Transfer Mechanism in Related Cases&lt;/title&gt;&lt;secondary-title&gt;J Am Chem Soc&lt;/secondary-title&gt;&lt;/titles&gt;&lt;periodical&gt;&lt;full-title&gt;J Am Chem Soc&lt;/full-title&gt;&lt;abbr-1&gt;Journal of the American Chemical Society&lt;/abbr-1&gt;&lt;/periodical&gt;&lt;pages&gt;6323-6324&lt;/pages&gt;&lt;volume&gt;118&lt;/volume&gt;&lt;number&gt;26&lt;/number&gt;&lt;dates&gt;&lt;year&gt;1996&lt;/year&gt;&lt;/dates&gt;&lt;isbn&gt;0002-7863&lt;/isbn&gt;&lt;urls&gt;&lt;/urls&gt;&lt;/record&gt;&lt;/Cite&gt;&lt;/EndNote&gt;</w:instrText>
        </w:r>
        <w:r w:rsidR="00512D09" w:rsidRPr="00154633">
          <w:rPr>
            <w:bCs/>
            <w:iCs/>
          </w:rPr>
          <w:fldChar w:fldCharType="separate"/>
        </w:r>
        <w:r w:rsidR="00512D09" w:rsidRPr="00F80CAD">
          <w:rPr>
            <w:bCs/>
            <w:iCs/>
            <w:noProof/>
            <w:vertAlign w:val="superscript"/>
          </w:rPr>
          <w:t>79</w:t>
        </w:r>
        <w:r w:rsidR="00512D09" w:rsidRPr="00154633">
          <w:rPr>
            <w:bCs/>
          </w:rPr>
          <w:fldChar w:fldCharType="end"/>
        </w:r>
      </w:hyperlink>
    </w:p>
    <w:p w:rsidR="00154633" w:rsidRPr="00154633" w:rsidRDefault="00154633" w:rsidP="001D0B51">
      <w:pPr>
        <w:spacing w:line="480" w:lineRule="auto"/>
        <w:rPr>
          <w:bCs/>
          <w:iCs/>
        </w:rPr>
      </w:pPr>
      <w:r w:rsidRPr="00154633">
        <w:rPr>
          <w:bCs/>
          <w:iCs/>
        </w:rPr>
        <w:t>Hydrophobicity in enzyme catalysed reactions have also been probed using organic solvents. Maurel suggested that the higher the solubility of apolar compounds in water-organic solvent mixtures, the lower the affinity for apolar sections of the active site</w:t>
      </w:r>
      <w:r w:rsidR="00C82662">
        <w:rPr>
          <w:bCs/>
          <w:iCs/>
        </w:rPr>
        <w:t>.</w:t>
      </w:r>
      <w:r w:rsidRPr="00154633">
        <w:rPr>
          <w:bCs/>
          <w:iCs/>
        </w:rPr>
        <w:t xml:space="preserve"> </w:t>
      </w:r>
      <w:hyperlink w:anchor="_ENREF_80" w:tooltip="Maurel, 1978 #476" w:history="1">
        <w:r w:rsidR="00512D09" w:rsidRPr="00154633">
          <w:rPr>
            <w:bCs/>
            <w:iCs/>
          </w:rPr>
          <w:fldChar w:fldCharType="begin"/>
        </w:r>
        <w:r w:rsidR="00512D09">
          <w:rPr>
            <w:bCs/>
            <w:iCs/>
          </w:rPr>
          <w:instrText xml:space="preserve"> ADDIN EN.CITE &lt;EndNote&gt;&lt;Cite&gt;&lt;Author&gt;Maurel&lt;/Author&gt;&lt;Year&gt;1978&lt;/Year&gt;&lt;RecNum&gt;476&lt;/RecNum&gt;&lt;DisplayText&gt;&lt;style face="superscript"&gt;80&lt;/style&gt;&lt;/DisplayText&gt;&lt;record&gt;&lt;rec-number&gt;476&lt;/rec-number&gt;&lt;foreign-keys&gt;&lt;key app="EN" db-id="5trrespwzsdr07efd5tx2w96x22re9s0fsdt"&gt;476&lt;/key&gt;&lt;/foreign-keys&gt;&lt;ref-type name="Journal Article"&gt;17&lt;/ref-type&gt;&lt;contributors&gt;&lt;authors&gt;&lt;author&gt;Maurel, P&lt;/author&gt;&lt;/authors&gt;&lt;/contributors&gt;&lt;titles&gt;&lt;title&gt;Relevance of dielectric constant and solvent hydrophobicity to the organic solvent effect in enzymology&lt;/title&gt;&lt;secondary-title&gt;Journal of Biological Chemistry&lt;/secondary-title&gt;&lt;/titles&gt;&lt;periodical&gt;&lt;full-title&gt;Journal of Biological Chemistry&lt;/full-title&gt;&lt;/periodical&gt;&lt;pages&gt;1677-1683&lt;/pages&gt;&lt;volume&gt;253&lt;/volume&gt;&lt;number&gt;5&lt;/number&gt;&lt;dates&gt;&lt;year&gt;1978&lt;/year&gt;&lt;pub-dates&gt;&lt;date&gt;March 10, 1978&lt;/date&gt;&lt;/pub-dates&gt;&lt;/dates&gt;&lt;urls&gt;&lt;related-urls&gt;&lt;url&gt;http://www.jbc.org/content/253/5/1677.short&lt;/url&gt;&lt;/related-urls&gt;&lt;/urls&gt;&lt;/record&gt;&lt;/Cite&gt;&lt;/EndNote&gt;</w:instrText>
        </w:r>
        <w:r w:rsidR="00512D09" w:rsidRPr="00154633">
          <w:rPr>
            <w:bCs/>
            <w:iCs/>
          </w:rPr>
          <w:fldChar w:fldCharType="separate"/>
        </w:r>
        <w:r w:rsidR="00512D09" w:rsidRPr="00F80CAD">
          <w:rPr>
            <w:bCs/>
            <w:iCs/>
            <w:noProof/>
            <w:vertAlign w:val="superscript"/>
          </w:rPr>
          <w:t>80</w:t>
        </w:r>
        <w:r w:rsidR="00512D09" w:rsidRPr="00154633">
          <w:rPr>
            <w:bCs/>
          </w:rPr>
          <w:fldChar w:fldCharType="end"/>
        </w:r>
      </w:hyperlink>
      <w:r w:rsidRPr="00154633">
        <w:rPr>
          <w:bCs/>
          <w:iCs/>
        </w:rPr>
        <w:t xml:space="preserve"> </w:t>
      </w:r>
    </w:p>
    <w:p w:rsidR="00594D5D" w:rsidRPr="00594D5D" w:rsidRDefault="00594D5D" w:rsidP="00217116">
      <w:pPr>
        <w:spacing w:line="480" w:lineRule="auto"/>
        <w:jc w:val="both"/>
        <w:rPr>
          <w:bCs/>
          <w:iCs/>
        </w:rPr>
      </w:pPr>
      <w:r w:rsidRPr="00594D5D">
        <w:rPr>
          <w:bCs/>
          <w:iCs/>
        </w:rPr>
        <w:t>Experiments in the presence of glycerol, ethylene glycol and betaine with an antibody and an avian lysozyme caused a decrease in the association constants measured by ITC which was attributed to a change in the hydration layer and correlated with the water activity of these osmolytes</w:t>
      </w:r>
      <w:r w:rsidR="00C82662">
        <w:rPr>
          <w:bCs/>
          <w:iCs/>
        </w:rPr>
        <w:t>.</w:t>
      </w:r>
      <w:hyperlink w:anchor="_ENREF_81" w:tooltip="Xavier, 1997 #248" w:history="1">
        <w:r w:rsidR="00512D09" w:rsidRPr="00594D5D">
          <w:rPr>
            <w:bCs/>
            <w:iCs/>
          </w:rPr>
          <w:fldChar w:fldCharType="begin"/>
        </w:r>
        <w:r w:rsidR="00512D09">
          <w:rPr>
            <w:bCs/>
            <w:iCs/>
          </w:rPr>
          <w:instrText xml:space="preserve"> ADDIN EN.CITE &lt;EndNote&gt;&lt;Cite&gt;&lt;Author&gt;Xavier&lt;/Author&gt;&lt;Year&gt;1997&lt;/Year&gt;&lt;RecNum&gt;248&lt;/RecNum&gt;&lt;DisplayText&gt;&lt;style face="superscript"&gt;81&lt;/style&gt;&lt;/DisplayText&gt;&lt;record&gt;&lt;rec-number&gt;248&lt;/rec-number&gt;&lt;foreign-keys&gt;&lt;key app="EN" db-id="5trrespwzsdr07efd5tx2w96x22re9s0fsdt"&gt;248&lt;/key&gt;&lt;/foreign-keys&gt;&lt;ref-type name="Journal Article"&gt;17&lt;/ref-type&gt;&lt;contributors&gt;&lt;authors&gt;&lt;author&gt;Xavier, K Asish&lt;/author&gt;&lt;author&gt;Shick, Kari A&lt;/author&gt;&lt;author&gt;Smith-Gil, SJ&lt;/author&gt;&lt;author&gt;Willson, Richard C&lt;/author&gt;&lt;/authors&gt;&lt;/contributors&gt;&lt;titles&gt;&lt;title&gt;Involvement of water molecules in the association of monoclonal antibody HyHEL-5 with bobwhite quail lysozyme&lt;/title&gt;&lt;secondary-title&gt;Biophysical Journal&lt;/secondary-title&gt;&lt;/titles&gt;&lt;periodical&gt;&lt;full-title&gt;Biophysical Journal&lt;/full-title&gt;&lt;/periodical&gt;&lt;pages&gt;2116-2125&lt;/pages&gt;&lt;volume&gt;73&lt;/volume&gt;&lt;number&gt;4&lt;/number&gt;&lt;dates&gt;&lt;year&gt;1997&lt;/year&gt;&lt;/dates&gt;&lt;isbn&gt;0006-3495&lt;/isbn&gt;&lt;urls&gt;&lt;/urls&gt;&lt;/record&gt;&lt;/Cite&gt;&lt;/EndNote&gt;</w:instrText>
        </w:r>
        <w:r w:rsidR="00512D09" w:rsidRPr="00594D5D">
          <w:rPr>
            <w:bCs/>
            <w:iCs/>
          </w:rPr>
          <w:fldChar w:fldCharType="separate"/>
        </w:r>
        <w:r w:rsidR="00512D09" w:rsidRPr="00F80CAD">
          <w:rPr>
            <w:bCs/>
            <w:iCs/>
            <w:noProof/>
            <w:vertAlign w:val="superscript"/>
          </w:rPr>
          <w:t>81</w:t>
        </w:r>
        <w:r w:rsidR="00512D09" w:rsidRPr="00594D5D">
          <w:rPr>
            <w:bCs/>
          </w:rPr>
          <w:fldChar w:fldCharType="end"/>
        </w:r>
      </w:hyperlink>
      <w:r w:rsidRPr="00594D5D">
        <w:rPr>
          <w:bCs/>
          <w:iCs/>
        </w:rPr>
        <w:t xml:space="preserve"> Kornblatt </w:t>
      </w:r>
      <w:r w:rsidR="002D4FF8">
        <w:rPr>
          <w:bCs/>
          <w:i/>
          <w:iCs/>
        </w:rPr>
        <w:t xml:space="preserve">et al. </w:t>
      </w:r>
      <w:r w:rsidRPr="00594D5D">
        <w:rPr>
          <w:bCs/>
          <w:i/>
          <w:iCs/>
        </w:rPr>
        <w:t xml:space="preserve"> </w:t>
      </w:r>
      <w:r w:rsidRPr="00594D5D">
        <w:rPr>
          <w:bCs/>
          <w:iCs/>
        </w:rPr>
        <w:t xml:space="preserve">found with the addition of 40% glycerol the dissociation constant of porphyrin cytochrome </w:t>
      </w:r>
      <w:r w:rsidRPr="00594D5D">
        <w:rPr>
          <w:bCs/>
          <w:i/>
          <w:iCs/>
        </w:rPr>
        <w:t>c</w:t>
      </w:r>
      <w:r w:rsidRPr="00594D5D">
        <w:rPr>
          <w:bCs/>
          <w:iCs/>
        </w:rPr>
        <w:t xml:space="preserve"> and cytochrome </w:t>
      </w:r>
      <w:r w:rsidRPr="00594D5D">
        <w:rPr>
          <w:bCs/>
          <w:i/>
          <w:iCs/>
        </w:rPr>
        <w:t>c</w:t>
      </w:r>
      <w:r w:rsidRPr="00594D5D">
        <w:rPr>
          <w:bCs/>
          <w:iCs/>
        </w:rPr>
        <w:t xml:space="preserve"> oxidase changed from 0.4 × 10</w:t>
      </w:r>
      <w:r w:rsidRPr="00594D5D">
        <w:rPr>
          <w:bCs/>
          <w:iCs/>
          <w:vertAlign w:val="superscript"/>
        </w:rPr>
        <w:t>-7</w:t>
      </w:r>
      <w:r w:rsidRPr="00594D5D">
        <w:rPr>
          <w:bCs/>
          <w:iCs/>
        </w:rPr>
        <w:t xml:space="preserve"> molal to 1.83 × 10</w:t>
      </w:r>
      <w:r w:rsidRPr="00594D5D">
        <w:rPr>
          <w:bCs/>
          <w:iCs/>
          <w:vertAlign w:val="superscript"/>
        </w:rPr>
        <w:t>-7</w:t>
      </w:r>
      <w:r w:rsidRPr="00594D5D">
        <w:rPr>
          <w:bCs/>
          <w:iCs/>
        </w:rPr>
        <w:t xml:space="preserve"> molal</w:t>
      </w:r>
      <w:r w:rsidR="000978E5">
        <w:rPr>
          <w:bCs/>
          <w:iCs/>
        </w:rPr>
        <w:t>.</w:t>
      </w:r>
      <w:hyperlink w:anchor="_ENREF_82" w:tooltip="Kornblatt, 1993 #249" w:history="1">
        <w:r w:rsidR="00512D09" w:rsidRPr="00594D5D">
          <w:rPr>
            <w:bCs/>
            <w:iCs/>
          </w:rPr>
          <w:fldChar w:fldCharType="begin"/>
        </w:r>
        <w:r w:rsidR="00512D09">
          <w:rPr>
            <w:bCs/>
            <w:iCs/>
          </w:rPr>
          <w:instrText xml:space="preserve"> ADDIN EN.CITE &lt;EndNote&gt;&lt;Cite&gt;&lt;Author&gt;Kornblatt&lt;/Author&gt;&lt;Year&gt;1993&lt;/Year&gt;&lt;RecNum&gt;249&lt;/RecNum&gt;&lt;DisplayText&gt;&lt;style face="superscript"&gt;82&lt;/style&gt;&lt;/DisplayText&gt;&lt;record&gt;&lt;rec-number&gt;249&lt;/rec-number&gt;&lt;foreign-keys&gt;&lt;key app="EN" db-id="5trrespwzsdr07efd5tx2w96x22re9s0fsdt"&gt;249&lt;/key&gt;&lt;/foreign-keys&gt;&lt;ref-type name="Journal Article"&gt;17&lt;/ref-type&gt;&lt;contributors&gt;&lt;authors&gt;&lt;author&gt;Kornblatt, J. A.&lt;/author&gt;&lt;author&gt;Kornblatt, M. J.&lt;/author&gt;&lt;author&gt;Hoa, G. H.&lt;/author&gt;&lt;author&gt;Mauk, A. G.&lt;/author&gt;&lt;/authors&gt;&lt;/contributors&gt;&lt;titles&gt;&lt;title&gt;Responses of two protein-protein complexes to solvent stress: does water play a role at the interface?&lt;/title&gt;&lt;secondary-title&gt;Biophysical Journal&lt;/secondary-title&gt;&lt;/titles&gt;&lt;periodical&gt;&lt;full-title&gt;Biophysical Journal&lt;/full-title&gt;&lt;/periodical&gt;&lt;pages&gt;1059-1065&lt;/pages&gt;&lt;volume&gt;65&lt;/volume&gt;&lt;number&gt;3&lt;/number&gt;&lt;dates&gt;&lt;year&gt;1993&lt;/year&gt;&lt;/dates&gt;&lt;isbn&gt;0006-3495&lt;/isbn&gt;&lt;urls&gt;&lt;related-urls&gt;&lt;url&gt;http://www.sciencedirect.com/science/article/pii/S0006349593811688&lt;/url&gt;&lt;/related-urls&gt;&lt;/urls&gt;&lt;electronic-resource-num&gt;http://dx.doi.org/10.1016/S0006-3495(93)81168-8&lt;/electronic-resource-num&gt;&lt;/record&gt;&lt;/Cite&gt;&lt;/EndNote&gt;</w:instrText>
        </w:r>
        <w:r w:rsidR="00512D09" w:rsidRPr="00594D5D">
          <w:rPr>
            <w:bCs/>
            <w:iCs/>
          </w:rPr>
          <w:fldChar w:fldCharType="separate"/>
        </w:r>
        <w:r w:rsidR="00512D09" w:rsidRPr="00F80CAD">
          <w:rPr>
            <w:bCs/>
            <w:iCs/>
            <w:noProof/>
            <w:vertAlign w:val="superscript"/>
          </w:rPr>
          <w:t>82</w:t>
        </w:r>
        <w:r w:rsidR="00512D09" w:rsidRPr="00594D5D">
          <w:rPr>
            <w:bCs/>
          </w:rPr>
          <w:fldChar w:fldCharType="end"/>
        </w:r>
      </w:hyperlink>
      <w:r w:rsidRPr="00594D5D">
        <w:rPr>
          <w:bCs/>
          <w:iCs/>
        </w:rPr>
        <w:t xml:space="preserve"> The authors put forward a range of possible suggestions including ordering of water around the proteins or glycerol preferentially binding. Kornblatt </w:t>
      </w:r>
      <w:r w:rsidR="002D4FF8">
        <w:rPr>
          <w:bCs/>
          <w:i/>
          <w:iCs/>
        </w:rPr>
        <w:t xml:space="preserve">et al. </w:t>
      </w:r>
      <w:r w:rsidRPr="00594D5D">
        <w:rPr>
          <w:bCs/>
          <w:iCs/>
        </w:rPr>
        <w:t xml:space="preserve">suggested binding could play a role, although there </w:t>
      </w:r>
      <w:r w:rsidR="00522282">
        <w:rPr>
          <w:bCs/>
          <w:iCs/>
        </w:rPr>
        <w:t>was no correlation between Gibb</w:t>
      </w:r>
      <w:r w:rsidRPr="00594D5D">
        <w:rPr>
          <w:bCs/>
          <w:iCs/>
        </w:rPr>
        <w:t xml:space="preserve">s free energy and glycerol </w:t>
      </w:r>
      <w:r w:rsidR="008356DA" w:rsidRPr="00594D5D">
        <w:rPr>
          <w:bCs/>
          <w:iCs/>
        </w:rPr>
        <w:t>concentration, which</w:t>
      </w:r>
      <w:r w:rsidRPr="00594D5D">
        <w:rPr>
          <w:bCs/>
          <w:iCs/>
        </w:rPr>
        <w:t xml:space="preserve"> there should be if glycerol was preferentially interacting with the proteins</w:t>
      </w:r>
      <w:r w:rsidR="00C82662">
        <w:rPr>
          <w:bCs/>
          <w:iCs/>
        </w:rPr>
        <w:t>.</w:t>
      </w:r>
      <w:r w:rsidRPr="00594D5D">
        <w:rPr>
          <w:bCs/>
          <w:iCs/>
        </w:rPr>
        <w:t xml:space="preserve"> </w:t>
      </w:r>
      <w:hyperlink w:anchor="_ENREF_82" w:tooltip="Kornblatt, 1993 #249" w:history="1">
        <w:r w:rsidR="00512D09" w:rsidRPr="00594D5D">
          <w:rPr>
            <w:bCs/>
            <w:iCs/>
          </w:rPr>
          <w:fldChar w:fldCharType="begin"/>
        </w:r>
        <w:r w:rsidR="00512D09">
          <w:rPr>
            <w:bCs/>
            <w:iCs/>
          </w:rPr>
          <w:instrText xml:space="preserve"> ADDIN EN.CITE &lt;EndNote&gt;&lt;Cite&gt;&lt;Author&gt;Kornblatt&lt;/Author&gt;&lt;Year&gt;1993&lt;/Year&gt;&lt;RecNum&gt;249&lt;/RecNum&gt;&lt;DisplayText&gt;&lt;style face="superscript"&gt;82&lt;/style&gt;&lt;/DisplayText&gt;&lt;record&gt;&lt;rec-number&gt;249&lt;/rec-number&gt;&lt;foreign-keys&gt;&lt;key app="EN" db-id="5trrespwzsdr07efd5tx2w96x22re9s0fsdt"&gt;249&lt;/key&gt;&lt;/foreign-keys&gt;&lt;ref-type name="Journal Article"&gt;17&lt;/ref-type&gt;&lt;contributors&gt;&lt;authors&gt;&lt;author&gt;Kornblatt, J. A.&lt;/author&gt;&lt;author&gt;Kornblatt, M. J.&lt;/author&gt;&lt;author&gt;Hoa, G. H.&lt;/author&gt;&lt;author&gt;Mauk, A. G.&lt;/author&gt;&lt;/authors&gt;&lt;/contributors&gt;&lt;titles&gt;&lt;title&gt;Responses of two protein-protein complexes to solvent stress: does water play a role at the interface?&lt;/title&gt;&lt;secondary-title&gt;Biophysical Journal&lt;/secondary-title&gt;&lt;/titles&gt;&lt;periodical&gt;&lt;full-title&gt;Biophysical Journal&lt;/full-title&gt;&lt;/periodical&gt;&lt;pages&gt;1059-1065&lt;/pages&gt;&lt;volume&gt;65&lt;/volume&gt;&lt;number&gt;3&lt;/number&gt;&lt;dates&gt;&lt;year&gt;1993&lt;/year&gt;&lt;/dates&gt;&lt;isbn&gt;0006-3495&lt;/isbn&gt;&lt;urls&gt;&lt;related-urls&gt;&lt;url&gt;http://www.sciencedirect.com/science/article/pii/S0006349593811688&lt;/url&gt;&lt;/related-urls&gt;&lt;/urls&gt;&lt;electronic-resource-num&gt;http://dx.doi.org/10.1016/S0006-3495(93)81168-8&lt;/electronic-resource-num&gt;&lt;/record&gt;&lt;/Cite&gt;&lt;/EndNote&gt;</w:instrText>
        </w:r>
        <w:r w:rsidR="00512D09" w:rsidRPr="00594D5D">
          <w:rPr>
            <w:bCs/>
            <w:iCs/>
          </w:rPr>
          <w:fldChar w:fldCharType="separate"/>
        </w:r>
        <w:r w:rsidR="00512D09" w:rsidRPr="00F80CAD">
          <w:rPr>
            <w:bCs/>
            <w:iCs/>
            <w:noProof/>
            <w:vertAlign w:val="superscript"/>
          </w:rPr>
          <w:t>82</w:t>
        </w:r>
        <w:r w:rsidR="00512D09" w:rsidRPr="00594D5D">
          <w:rPr>
            <w:bCs/>
          </w:rPr>
          <w:fldChar w:fldCharType="end"/>
        </w:r>
      </w:hyperlink>
      <w:r w:rsidRPr="00594D5D">
        <w:rPr>
          <w:bCs/>
          <w:iCs/>
        </w:rPr>
        <w:t xml:space="preserve"> It could also be argued the ordering of water, another suggestion put forward by the group, would lead to some measure of enthalpy-entropy compensation and the same association constant. A better explanation put forward was that water was assisting in binding by acting as a bridge or lubricant between functional groups of the two proteins and so removing this water increased the dissociation constant. Water acting as a molecular lubricant or bridge has been invoked before to explain changes in association constants and is used to explain the “sloppy fit” mode of binding which is somewhat at odds with conventional theories of binding such as the “lock and key” and “induced fit”</w:t>
      </w:r>
      <w:r w:rsidR="000978E5">
        <w:rPr>
          <w:bCs/>
          <w:iCs/>
        </w:rPr>
        <w:t>.</w:t>
      </w:r>
      <w:hyperlink w:anchor="_ENREF_15" w:tooltip="Whitesides, 2005 #177" w:history="1">
        <w:r w:rsidR="00512D09" w:rsidRPr="00594D5D">
          <w:rPr>
            <w:bCs/>
            <w:iCs/>
          </w:rPr>
          <w:fldChar w:fldCharType="begin"/>
        </w:r>
        <w:r w:rsidR="00512D09">
          <w:rPr>
            <w:bCs/>
            <w:iCs/>
          </w:rPr>
          <w:instrText xml:space="preserve"> ADDIN EN.CITE &lt;EndNote&gt;&lt;Cite&gt;&lt;Author&gt;Whitesides&lt;/Author&gt;&lt;Year&gt;2005&lt;/Year&gt;&lt;RecNum&gt;177&lt;/RecNum&gt;&lt;DisplayText&gt;&lt;style face="superscript"&gt;15&lt;/style&gt;&lt;/DisplayText&gt;&lt;record&gt;&lt;rec-number&gt;177&lt;/rec-number&gt;&lt;foreign-keys&gt;&lt;key app="EN" db-id="5trrespwzsdr07efd5tx2w96x22re9s0fsdt"&gt;177&lt;/key&gt;&lt;/foreign-keys&gt;&lt;ref-type name="Journal Article"&gt;17&lt;/ref-type&gt;&lt;contributors&gt;&lt;authors&gt;&lt;author&gt;Whitesides, G. M.&lt;/author&gt;&lt;author&gt;Krishnamurthy, V. M.&lt;/author&gt;&lt;/authors&gt;&lt;/contributors&gt;&lt;auth-address&gt;Harvard Univ, Dept Chem &amp;amp; Biol Chem, Cambridge, MA 02138 USA.&amp;#xD;Whitesides, GM (reprint author), Harvard Univ, Dept Chem &amp;amp; Biol Chem, Cambridge, MA 02138 USA.&amp;#xD;gwhitesides@gmwgroup.harvard.edu&lt;/auth-address&gt;&lt;titles&gt;&lt;title&gt;Designing ligands to bind proteins&lt;/title&gt;&lt;secondary-title&gt;Quarterly Reviews of Biophysics&lt;/secondary-title&gt;&lt;alt-title&gt;Q. Rev. Biophys.&lt;/alt-title&gt;&lt;/titles&gt;&lt;periodical&gt;&lt;full-title&gt;Quarterly Reviews of Biophysics&lt;/full-title&gt;&lt;abbr-1&gt;Quarterly Reviews of Biophysics&lt;/abbr-1&gt;&lt;/periodical&gt;&lt;pages&gt;385-395&lt;/pages&gt;&lt;volume&gt;38&lt;/volume&gt;&lt;number&gt;4&lt;/number&gt;&lt;keywords&gt;&lt;keyword&gt;carbonic-anhydrase-ii&lt;/keyword&gt;&lt;keyword&gt;enthalpy-entropy compensation&lt;/keyword&gt;&lt;keyword&gt;significant&lt;/keyword&gt;&lt;keyword&gt;discrepancies&lt;/keyword&gt;&lt;keyword&gt;calorimetric enthalpies&lt;/keyword&gt;&lt;keyword&gt;vant-hoff&lt;/keyword&gt;&lt;keyword&gt;constants&lt;/keyword&gt;&lt;keyword&gt;hydrophobicity&lt;/keyword&gt;&lt;keyword&gt;inhibitor&lt;/keyword&gt;&lt;keyword&gt;affinity&lt;/keyword&gt;&lt;keyword&gt;energy&lt;/keyword&gt;&lt;/keywords&gt;&lt;dates&gt;&lt;year&gt;2005&lt;/year&gt;&lt;pub-dates&gt;&lt;date&gt;Nov&lt;/date&gt;&lt;/pub-dates&gt;&lt;/dates&gt;&lt;isbn&gt;0033-5835&lt;/isbn&gt;&lt;accession-num&gt;WOS:000241008500012&lt;/accession-num&gt;&lt;work-type&gt;Article; Proceedings Paper&lt;/work-type&gt;&lt;urls&gt;&lt;related-urls&gt;&lt;url&gt;&amp;lt;Go to ISI&amp;gt;://WOS:000241008500012&lt;/url&gt;&lt;/related-urls&gt;&lt;/urls&gt;&lt;electronic-resource-num&gt;10.1017/s0033583506004240&lt;/electronic-resource-num&gt;&lt;language&gt;English&lt;/language&gt;&lt;/record&gt;&lt;/Cite&gt;&lt;/EndNote&gt;</w:instrText>
        </w:r>
        <w:r w:rsidR="00512D09" w:rsidRPr="00594D5D">
          <w:rPr>
            <w:bCs/>
            <w:iCs/>
          </w:rPr>
          <w:fldChar w:fldCharType="separate"/>
        </w:r>
        <w:r w:rsidR="00512D09" w:rsidRPr="00E30C0B">
          <w:rPr>
            <w:bCs/>
            <w:iCs/>
            <w:noProof/>
            <w:vertAlign w:val="superscript"/>
          </w:rPr>
          <w:t>15</w:t>
        </w:r>
        <w:r w:rsidR="00512D09" w:rsidRPr="00594D5D">
          <w:rPr>
            <w:bCs/>
          </w:rPr>
          <w:fldChar w:fldCharType="end"/>
        </w:r>
      </w:hyperlink>
      <w:r w:rsidRPr="00594D5D">
        <w:rPr>
          <w:bCs/>
          <w:iCs/>
        </w:rPr>
        <w:t xml:space="preserve">  To probe the role of “bound water” in </w:t>
      </w:r>
      <w:r w:rsidRPr="00522282">
        <w:rPr>
          <w:bCs/>
          <w:i/>
          <w:iCs/>
        </w:rPr>
        <w:t>EcoR1</w:t>
      </w:r>
      <w:r w:rsidRPr="00594D5D">
        <w:rPr>
          <w:bCs/>
          <w:iCs/>
        </w:rPr>
        <w:t xml:space="preserve"> in the recognition of DNA a series of compatible and non-compatible osmolytes were used</w:t>
      </w:r>
      <w:r w:rsidR="00C82662">
        <w:rPr>
          <w:bCs/>
          <w:iCs/>
        </w:rPr>
        <w:t>.</w:t>
      </w:r>
      <w:r w:rsidRPr="00594D5D">
        <w:rPr>
          <w:bCs/>
          <w:iCs/>
        </w:rPr>
        <w:t xml:space="preserve"> </w:t>
      </w:r>
      <w:hyperlink w:anchor="_ENREF_83" w:tooltip="Robinson, 1993 #250" w:history="1">
        <w:r w:rsidR="00512D09" w:rsidRPr="00594D5D">
          <w:rPr>
            <w:bCs/>
            <w:iCs/>
          </w:rPr>
          <w:fldChar w:fldCharType="begin"/>
        </w:r>
        <w:r w:rsidR="00512D09">
          <w:rPr>
            <w:bCs/>
            <w:iCs/>
          </w:rPr>
          <w:instrText xml:space="preserve"> ADDIN EN.CITE &lt;EndNote&gt;&lt;Cite&gt;&lt;Author&gt;Robinson&lt;/Author&gt;&lt;Year&gt;1993&lt;/Year&gt;&lt;RecNum&gt;250&lt;/RecNum&gt;&lt;DisplayText&gt;&lt;style face="superscript"&gt;83&lt;/style&gt;&lt;/DisplayText&gt;&lt;record&gt;&lt;rec-number&gt;250&lt;/rec-number&gt;&lt;foreign-keys&gt;&lt;key app="EN" db-id="5trrespwzsdr07efd5tx2w96x22re9s0fsdt"&gt;250&lt;/key&gt;&lt;/foreign-keys&gt;&lt;ref-type name="Journal Article"&gt;17&lt;/ref-type&gt;&lt;contributors&gt;&lt;authors&gt;&lt;author&gt;Robinson, Clifford R.&lt;/author&gt;&lt;author&gt;Sligar, Stephen G.&lt;/author&gt;&lt;/authors&gt;&lt;/contributors&gt;&lt;titles&gt;&lt;title&gt;Molecular Recognition Mediated by Bound Water: A Mechanism for Star Activity of the Restriction Endonuclease EcoRI&lt;/title&gt;&lt;secondary-title&gt;Journal of Molecular Biology&lt;/secondary-title&gt;&lt;/titles&gt;&lt;periodical&gt;&lt;full-title&gt;Journal of Molecular Biology&lt;/full-title&gt;&lt;/periodical&gt;&lt;pages&gt;302-306&lt;/pages&gt;&lt;volume&gt;234&lt;/volume&gt;&lt;number&gt;2&lt;/number&gt;&lt;keywords&gt;&lt;keyword&gt;molecular recognition&lt;/keyword&gt;&lt;keyword&gt;bound water&lt;/keyword&gt;&lt;keyword&gt;osmotic pressure&lt;/keyword&gt;&lt;keyword&gt;EcoRI&lt;/keyword&gt;&lt;keyword&gt;star activity&lt;/keyword&gt;&lt;/keywords&gt;&lt;dates&gt;&lt;year&gt;1993&lt;/year&gt;&lt;/dates&gt;&lt;isbn&gt;0022-2836&lt;/isbn&gt;&lt;urls&gt;&lt;related-urls&gt;&lt;url&gt;http://www.sciencedirect.com/science/article/pii/S002228368371586X&lt;/url&gt;&lt;/related-urls&gt;&lt;/urls&gt;&lt;electronic-resource-num&gt;http://dx.doi.org/10.1006/jmbi.1993.1586&lt;/electronic-resource-num&gt;&lt;/record&gt;&lt;/Cite&gt;&lt;/EndNote&gt;</w:instrText>
        </w:r>
        <w:r w:rsidR="00512D09" w:rsidRPr="00594D5D">
          <w:rPr>
            <w:bCs/>
            <w:iCs/>
          </w:rPr>
          <w:fldChar w:fldCharType="separate"/>
        </w:r>
        <w:r w:rsidR="00512D09" w:rsidRPr="00F80CAD">
          <w:rPr>
            <w:bCs/>
            <w:iCs/>
            <w:noProof/>
            <w:vertAlign w:val="superscript"/>
          </w:rPr>
          <w:t>83</w:t>
        </w:r>
        <w:r w:rsidR="00512D09" w:rsidRPr="00594D5D">
          <w:rPr>
            <w:bCs/>
          </w:rPr>
          <w:fldChar w:fldCharType="end"/>
        </w:r>
      </w:hyperlink>
      <w:r w:rsidRPr="00594D5D">
        <w:rPr>
          <w:bCs/>
          <w:iCs/>
        </w:rPr>
        <w:t xml:space="preserve"> With increasing osmotic </w:t>
      </w:r>
      <w:r w:rsidRPr="00594D5D">
        <w:rPr>
          <w:bCs/>
          <w:iCs/>
        </w:rPr>
        <w:lastRenderedPageBreak/>
        <w:t xml:space="preserve">pressure there was a correlated drop with specificity which the authors assumed was the water being drawn out of the active site.  </w:t>
      </w:r>
    </w:p>
    <w:p w:rsidR="00594D5D" w:rsidRPr="00594D5D" w:rsidRDefault="00594D5D" w:rsidP="00217116">
      <w:pPr>
        <w:spacing w:line="480" w:lineRule="auto"/>
        <w:jc w:val="both"/>
        <w:rPr>
          <w:bCs/>
          <w:iCs/>
        </w:rPr>
      </w:pPr>
      <w:r w:rsidRPr="00594D5D">
        <w:rPr>
          <w:bCs/>
          <w:iCs/>
        </w:rPr>
        <w:t xml:space="preserve">It was later found the dissociation rate was correlated with water activity for the binding of </w:t>
      </w:r>
      <w:r w:rsidRPr="00522282">
        <w:rPr>
          <w:bCs/>
          <w:i/>
          <w:iCs/>
        </w:rPr>
        <w:t>EcoR1</w:t>
      </w:r>
      <w:r w:rsidRPr="00594D5D">
        <w:rPr>
          <w:bCs/>
          <w:iCs/>
        </w:rPr>
        <w:t xml:space="preserve"> to DNA</w:t>
      </w:r>
      <w:r w:rsidR="00C82662">
        <w:rPr>
          <w:bCs/>
          <w:iCs/>
        </w:rPr>
        <w:t>.</w:t>
      </w:r>
      <w:r w:rsidRPr="00594D5D">
        <w:rPr>
          <w:bCs/>
          <w:iCs/>
        </w:rPr>
        <w:t xml:space="preserve"> </w:t>
      </w:r>
      <w:hyperlink w:anchor="_ENREF_84" w:tooltip="Sidorova, 2000 #251" w:history="1">
        <w:r w:rsidR="00512D09" w:rsidRPr="00594D5D">
          <w:rPr>
            <w:bCs/>
            <w:iCs/>
          </w:rPr>
          <w:fldChar w:fldCharType="begin"/>
        </w:r>
        <w:r w:rsidR="00512D09">
          <w:rPr>
            <w:bCs/>
            <w:iCs/>
          </w:rPr>
          <w:instrText xml:space="preserve"> ADDIN EN.CITE &lt;EndNote&gt;&lt;Cite&gt;&lt;Author&gt;Sidorova&lt;/Author&gt;&lt;Year&gt;2000&lt;/Year&gt;&lt;RecNum&gt;251&lt;/RecNum&gt;&lt;DisplayText&gt;&lt;style face="superscript"&gt;84&lt;/style&gt;&lt;/DisplayText&gt;&lt;record&gt;&lt;rec-number&gt;251&lt;/rec-number&gt;&lt;foreign-keys&gt;&lt;key app="EN" db-id="5trrespwzsdr07efd5tx2w96x22re9s0fsdt"&gt;251&lt;/key&gt;&lt;/foreign-keys&gt;&lt;ref-type name="Journal Article"&gt;17&lt;/ref-type&gt;&lt;contributors&gt;&lt;authors&gt;&lt;author&gt;Sidorova, Nina Y.&lt;/author&gt;&lt;author&gt;Rau, Donald C.&lt;/author&gt;&lt;/authors&gt;&lt;/contributors&gt;&lt;titles&gt;&lt;title&gt;The dissociation rate of the EcoRI–DNA-specific complex is linked to water activity&lt;/title&gt;&lt;secondary-title&gt;Biopolymers&lt;/secondary-title&gt;&lt;/titles&gt;&lt;periodical&gt;&lt;full-title&gt;Biopolymers&lt;/full-title&gt;&lt;/periodical&gt;&lt;pages&gt;363-368&lt;/pages&gt;&lt;volume&gt;53&lt;/volume&gt;&lt;number&gt;5&lt;/number&gt;&lt;dates&gt;&lt;year&gt;2000&lt;/year&gt;&lt;/dates&gt;&lt;publisher&gt;John Wiley &amp;amp; Sons, Inc.&lt;/publisher&gt;&lt;isbn&gt;1097-0282&lt;/isbn&gt;&lt;urls&gt;&lt;related-urls&gt;&lt;url&gt;http://dx.doi.org/10.1002/(SICI)1097-0282(20000415)53:5&amp;lt;363::AID-BIP1&amp;gt;3.0.CO;2-Q&lt;/url&gt;&lt;/related-urls&gt;&lt;/urls&gt;&lt;electronic-resource-num&gt;10.1002/(sici)1097-0282(20000415)53:5&amp;lt;363::aid-bip1&amp;gt;3.0.co;2-q&lt;/electronic-resource-num&gt;&lt;/record&gt;&lt;/Cite&gt;&lt;/EndNote&gt;</w:instrText>
        </w:r>
        <w:r w:rsidR="00512D09" w:rsidRPr="00594D5D">
          <w:rPr>
            <w:bCs/>
            <w:iCs/>
          </w:rPr>
          <w:fldChar w:fldCharType="separate"/>
        </w:r>
        <w:r w:rsidR="00512D09" w:rsidRPr="00F80CAD">
          <w:rPr>
            <w:bCs/>
            <w:iCs/>
            <w:noProof/>
            <w:vertAlign w:val="superscript"/>
          </w:rPr>
          <w:t>84</w:t>
        </w:r>
        <w:r w:rsidR="00512D09" w:rsidRPr="00594D5D">
          <w:rPr>
            <w:bCs/>
          </w:rPr>
          <w:fldChar w:fldCharType="end"/>
        </w:r>
      </w:hyperlink>
      <w:r w:rsidR="003901D6">
        <w:rPr>
          <w:bCs/>
          <w:iCs/>
        </w:rPr>
        <w:t xml:space="preserve"> For example, t</w:t>
      </w:r>
      <w:r w:rsidRPr="00594D5D">
        <w:rPr>
          <w:bCs/>
          <w:iCs/>
        </w:rPr>
        <w:t xml:space="preserve">he half-life </w:t>
      </w:r>
      <w:r w:rsidR="003901D6">
        <w:rPr>
          <w:bCs/>
          <w:iCs/>
        </w:rPr>
        <w:t xml:space="preserve">of the DNA-protein complex was </w:t>
      </w:r>
      <w:r w:rsidRPr="00594D5D">
        <w:rPr>
          <w:bCs/>
          <w:iCs/>
        </w:rPr>
        <w:t xml:space="preserve">about 20 times larger in 3 molal betaine in comparison to 1.6 molal betaine. </w:t>
      </w:r>
      <w:r w:rsidR="003901D6">
        <w:rPr>
          <w:bCs/>
          <w:iCs/>
        </w:rPr>
        <w:t>I</w:t>
      </w:r>
      <w:r w:rsidRPr="00594D5D">
        <w:rPr>
          <w:bCs/>
          <w:iCs/>
        </w:rPr>
        <w:t>t could be argued viscosity and not water activity was contributing to the increased stability of the protein-DNA complex. Though, the very similar effect of both betaine and sucrose on the half-life of the complex and the similar amount of water (</w:t>
      </w:r>
      <m:oMath>
        <m:r>
          <w:rPr>
            <w:rFonts w:ascii="Cambria Math" w:hAnsi="Cambria Math"/>
          </w:rPr>
          <m:t>≈</m:t>
        </m:r>
      </m:oMath>
      <w:r w:rsidRPr="00594D5D">
        <w:rPr>
          <w:bCs/>
          <w:iCs/>
        </w:rPr>
        <w:t>65) taken up by the co</w:t>
      </w:r>
      <w:r w:rsidR="001F3FAC">
        <w:rPr>
          <w:bCs/>
          <w:iCs/>
        </w:rPr>
        <w:t>mplex after dissociation, argume</w:t>
      </w:r>
      <w:r w:rsidRPr="00594D5D">
        <w:rPr>
          <w:bCs/>
          <w:iCs/>
        </w:rPr>
        <w:t xml:space="preserve">nts regarding viscosity </w:t>
      </w:r>
      <w:r w:rsidR="00B650CC">
        <w:rPr>
          <w:bCs/>
          <w:iCs/>
        </w:rPr>
        <w:t>are less of an experimental caveat</w:t>
      </w:r>
      <w:r w:rsidRPr="00594D5D">
        <w:rPr>
          <w:bCs/>
          <w:iCs/>
        </w:rPr>
        <w:t xml:space="preserve"> since sucrose is 6 times more viscous than betaine at the concentrations used.  </w:t>
      </w:r>
    </w:p>
    <w:p w:rsidR="00594D5D" w:rsidRDefault="00594D5D" w:rsidP="00217116">
      <w:pPr>
        <w:spacing w:line="480" w:lineRule="auto"/>
        <w:jc w:val="both"/>
        <w:rPr>
          <w:bCs/>
          <w:iCs/>
        </w:rPr>
      </w:pPr>
      <w:r w:rsidRPr="00594D5D">
        <w:rPr>
          <w:bCs/>
          <w:iCs/>
        </w:rPr>
        <w:t xml:space="preserve">Using a series of osmolytes with an assay to measure the stability of a </w:t>
      </w:r>
      <w:r w:rsidRPr="003901D6">
        <w:rPr>
          <w:bCs/>
          <w:i/>
          <w:iCs/>
        </w:rPr>
        <w:t>BamHI</w:t>
      </w:r>
      <w:r w:rsidRPr="00594D5D">
        <w:rPr>
          <w:bCs/>
          <w:iCs/>
        </w:rPr>
        <w:t xml:space="preserve">-DNA complex and non-specific DNA cleavage Sidorova </w:t>
      </w:r>
      <w:r w:rsidR="002D4FF8">
        <w:rPr>
          <w:bCs/>
          <w:i/>
          <w:iCs/>
        </w:rPr>
        <w:t xml:space="preserve">et al. </w:t>
      </w:r>
      <w:r w:rsidRPr="00594D5D">
        <w:rPr>
          <w:bCs/>
          <w:iCs/>
        </w:rPr>
        <w:t xml:space="preserve">measured the differences in sequestered water between specific and non-specific </w:t>
      </w:r>
      <w:r w:rsidR="003901D6" w:rsidRPr="003901D6">
        <w:rPr>
          <w:bCs/>
          <w:i/>
          <w:iCs/>
        </w:rPr>
        <w:t>BamH1</w:t>
      </w:r>
      <w:r w:rsidR="003901D6" w:rsidRPr="00594D5D">
        <w:rPr>
          <w:bCs/>
          <w:iCs/>
        </w:rPr>
        <w:t xml:space="preserve">-DNA </w:t>
      </w:r>
      <w:r w:rsidRPr="00594D5D">
        <w:rPr>
          <w:bCs/>
          <w:iCs/>
        </w:rPr>
        <w:t>complexes</w:t>
      </w:r>
      <w:r w:rsidR="00C82662">
        <w:rPr>
          <w:bCs/>
          <w:iCs/>
        </w:rPr>
        <w:t>.</w:t>
      </w:r>
      <w:r w:rsidRPr="00594D5D">
        <w:rPr>
          <w:bCs/>
          <w:iCs/>
        </w:rPr>
        <w:t xml:space="preserve"> </w:t>
      </w:r>
      <w:hyperlink w:anchor="_ENREF_85" w:tooltip="Sidorova, 2006 #253" w:history="1">
        <w:r w:rsidR="00512D09" w:rsidRPr="00594D5D">
          <w:rPr>
            <w:bCs/>
            <w:iCs/>
          </w:rPr>
          <w:fldChar w:fldCharType="begin"/>
        </w:r>
        <w:r w:rsidR="00512D09">
          <w:rPr>
            <w:bCs/>
            <w:iCs/>
          </w:rPr>
          <w:instrText xml:space="preserve"> ADDIN EN.CITE &lt;EndNote&gt;&lt;Cite&gt;&lt;Author&gt;Sidorova&lt;/Author&gt;&lt;Year&gt;2006&lt;/Year&gt;&lt;RecNum&gt;253&lt;/RecNum&gt;&lt;DisplayText&gt;&lt;style face="superscript"&gt;85&lt;/style&gt;&lt;/DisplayText&gt;&lt;record&gt;&lt;rec-number&gt;253&lt;/rec-number&gt;&lt;foreign-keys&gt;&lt;key app="EN" db-id="5trrespwzsdr07efd5tx2w96x22re9s0fsdt"&gt;253&lt;/key&gt;&lt;/foreign-keys&gt;&lt;ref-type name="Journal Article"&gt;17&lt;/ref-type&gt;&lt;contributors&gt;&lt;authors&gt;&lt;author&gt;Sidorova, Nina Y.&lt;/author&gt;&lt;author&gt;Muradymov, Shakir&lt;/author&gt;&lt;author&gt;Rau, Donald C.&lt;/author&gt;&lt;/authors&gt;&lt;/contributors&gt;&lt;titles&gt;&lt;title&gt;Differences in Hydration Coupled to Specific and Nonspecific Competitive Binding and to Specific DNA Binding of the Restriction Endonuclease BamHI&lt;/title&gt;&lt;secondary-title&gt;Journal of Biological Chemistry&lt;/secondary-title&gt;&lt;/titles&gt;&lt;periodical&gt;&lt;full-title&gt;Journal of Biological Chemistry&lt;/full-title&gt;&lt;/periodical&gt;&lt;pages&gt;35656-35666&lt;/pages&gt;&lt;volume&gt;281&lt;/volume&gt;&lt;number&gt;47&lt;/number&gt;&lt;dates&gt;&lt;year&gt;2006&lt;/year&gt;&lt;pub-dates&gt;&lt;date&gt;November 24, 2006&lt;/date&gt;&lt;/pub-dates&gt;&lt;/dates&gt;&lt;urls&gt;&lt;related-urls&gt;&lt;url&gt;http://www.jbc.org/content/281/47/35656.abstract&lt;/url&gt;&lt;/related-urls&gt;&lt;/urls&gt;&lt;electronic-resource-num&gt;10.1074/jbc.M608018200&lt;/electronic-resource-num&gt;&lt;/record&gt;&lt;/Cite&gt;&lt;/EndNote&gt;</w:instrText>
        </w:r>
        <w:r w:rsidR="00512D09" w:rsidRPr="00594D5D">
          <w:rPr>
            <w:bCs/>
            <w:iCs/>
          </w:rPr>
          <w:fldChar w:fldCharType="separate"/>
        </w:r>
        <w:r w:rsidR="00512D09" w:rsidRPr="00F80CAD">
          <w:rPr>
            <w:bCs/>
            <w:iCs/>
            <w:noProof/>
            <w:vertAlign w:val="superscript"/>
          </w:rPr>
          <w:t>85</w:t>
        </w:r>
        <w:r w:rsidR="00512D09" w:rsidRPr="00594D5D">
          <w:rPr>
            <w:bCs/>
          </w:rPr>
          <w:fldChar w:fldCharType="end"/>
        </w:r>
      </w:hyperlink>
      <w:r w:rsidRPr="00594D5D">
        <w:rPr>
          <w:bCs/>
          <w:iCs/>
        </w:rPr>
        <w:t xml:space="preserve"> They found 135 more water molecules revisited in the non-specific </w:t>
      </w:r>
      <w:r w:rsidRPr="003901D6">
        <w:rPr>
          <w:bCs/>
          <w:i/>
          <w:iCs/>
        </w:rPr>
        <w:t>BamH1</w:t>
      </w:r>
      <w:r w:rsidRPr="00594D5D">
        <w:rPr>
          <w:bCs/>
          <w:iCs/>
        </w:rPr>
        <w:t>-DNA complex compared with the specific DNA protein-complex using osmolytes with MWs larger or similar to methyl sulphate (126 g/mol). In addition to this, they found smaller osmolytes such as methanol and those of a similar MW caused less water to return (≤100), which in the case of methanol was less than 21 water molecules. The authors suggested this was due to these small osmolytes possibly interacting with the surface of the protein which complicated the analysis</w:t>
      </w:r>
      <w:r w:rsidR="00C82662">
        <w:rPr>
          <w:bCs/>
          <w:iCs/>
        </w:rPr>
        <w:t>.</w:t>
      </w:r>
      <w:r w:rsidRPr="00594D5D">
        <w:rPr>
          <w:bCs/>
          <w:iCs/>
        </w:rPr>
        <w:t xml:space="preserve"> </w:t>
      </w:r>
      <w:hyperlink w:anchor="_ENREF_85" w:tooltip="Sidorova, 2006 #253" w:history="1">
        <w:r w:rsidR="00512D09" w:rsidRPr="00594D5D">
          <w:rPr>
            <w:bCs/>
            <w:iCs/>
          </w:rPr>
          <w:fldChar w:fldCharType="begin"/>
        </w:r>
        <w:r w:rsidR="00512D09">
          <w:rPr>
            <w:bCs/>
            <w:iCs/>
          </w:rPr>
          <w:instrText xml:space="preserve"> ADDIN EN.CITE &lt;EndNote&gt;&lt;Cite&gt;&lt;Author&gt;Sidorova&lt;/Author&gt;&lt;Year&gt;2006&lt;/Year&gt;&lt;RecNum&gt;253&lt;/RecNum&gt;&lt;DisplayText&gt;&lt;style face="superscript"&gt;85&lt;/style&gt;&lt;/DisplayText&gt;&lt;record&gt;&lt;rec-number&gt;253&lt;/rec-number&gt;&lt;foreign-keys&gt;&lt;key app="EN" db-id="5trrespwzsdr07efd5tx2w96x22re9s0fsdt"&gt;253&lt;/key&gt;&lt;/foreign-keys&gt;&lt;ref-type name="Journal Article"&gt;17&lt;/ref-type&gt;&lt;contributors&gt;&lt;authors&gt;&lt;author&gt;Sidorova, Nina Y.&lt;/author&gt;&lt;author&gt;Muradymov, Shakir&lt;/author&gt;&lt;author&gt;Rau, Donald C.&lt;/author&gt;&lt;/authors&gt;&lt;/contributors&gt;&lt;titles&gt;&lt;title&gt;Differences in Hydration Coupled to Specific and Nonspecific Competitive Binding and to Specific DNA Binding of the Restriction Endonuclease BamHI&lt;/title&gt;&lt;secondary-title&gt;Journal of Biological Chemistry&lt;/secondary-title&gt;&lt;/titles&gt;&lt;periodical&gt;&lt;full-title&gt;Journal of Biological Chemistry&lt;/full-title&gt;&lt;/periodical&gt;&lt;pages&gt;35656-35666&lt;/pages&gt;&lt;volume&gt;281&lt;/volume&gt;&lt;number&gt;47&lt;/number&gt;&lt;dates&gt;&lt;year&gt;2006&lt;/year&gt;&lt;pub-dates&gt;&lt;date&gt;November 24, 2006&lt;/date&gt;&lt;/pub-dates&gt;&lt;/dates&gt;&lt;urls&gt;&lt;related-urls&gt;&lt;url&gt;http://www.jbc.org/content/281/47/35656.abstract&lt;/url&gt;&lt;/related-urls&gt;&lt;/urls&gt;&lt;electronic-resource-num&gt;10.1074/jbc.M608018200&lt;/electronic-resource-num&gt;&lt;/record&gt;&lt;/Cite&gt;&lt;/EndNote&gt;</w:instrText>
        </w:r>
        <w:r w:rsidR="00512D09" w:rsidRPr="00594D5D">
          <w:rPr>
            <w:bCs/>
            <w:iCs/>
          </w:rPr>
          <w:fldChar w:fldCharType="separate"/>
        </w:r>
        <w:r w:rsidR="00512D09" w:rsidRPr="00F80CAD">
          <w:rPr>
            <w:bCs/>
            <w:iCs/>
            <w:noProof/>
            <w:vertAlign w:val="superscript"/>
          </w:rPr>
          <w:t>85</w:t>
        </w:r>
        <w:r w:rsidR="00512D09" w:rsidRPr="00594D5D">
          <w:rPr>
            <w:bCs/>
          </w:rPr>
          <w:fldChar w:fldCharType="end"/>
        </w:r>
      </w:hyperlink>
      <w:r w:rsidRPr="00594D5D">
        <w:rPr>
          <w:bCs/>
          <w:iCs/>
        </w:rPr>
        <w:t xml:space="preserve"> </w:t>
      </w:r>
    </w:p>
    <w:p w:rsidR="00204092" w:rsidRDefault="00F36C1A" w:rsidP="00217116">
      <w:pPr>
        <w:spacing w:line="480" w:lineRule="auto"/>
        <w:jc w:val="both"/>
        <w:rPr>
          <w:bCs/>
          <w:iCs/>
        </w:rPr>
      </w:pPr>
      <w:r>
        <w:rPr>
          <w:bCs/>
          <w:iCs/>
        </w:rPr>
        <w:t>Changing the experimental temperature remains a highly used method of studying the role of water in binding interactions. The hydrophobic effect increases with increasing temperature and in many cases switches from being endo-to exothermic</w:t>
      </w:r>
      <w:r w:rsidR="00C82662">
        <w:rPr>
          <w:bCs/>
          <w:iCs/>
        </w:rPr>
        <w:t>.</w:t>
      </w:r>
      <w:hyperlink w:anchor="_ENREF_86" w:tooltip="Kessler, 2012 #503" w:history="1">
        <w:r w:rsidR="00512D09">
          <w:rPr>
            <w:bCs/>
            <w:iCs/>
          </w:rPr>
          <w:fldChar w:fldCharType="begin">
            <w:fldData xml:space="preserve">PEVuZE5vdGU+PENpdGU+PEF1dGhvcj5LZXNzbGVyPC9BdXRob3I+PFllYXI+MjAxMjwvWWVhcj48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=
</w:fldData>
          </w:fldChar>
        </w:r>
        <w:r w:rsidR="00512D09">
          <w:rPr>
            <w:bCs/>
            <w:iCs/>
          </w:rPr>
          <w:instrText xml:space="preserve"> ADDIN EN.CITE </w:instrText>
        </w:r>
        <w:r w:rsidR="00512D09">
          <w:rPr>
            <w:bCs/>
            <w:iCs/>
          </w:rPr>
          <w:fldChar w:fldCharType="begin">
            <w:fldData xml:space="preserve">PEVuZE5vdGU+PENpdGU+PEF1dGhvcj5LZXNzbGVyPC9BdXRob3I+PFllYXI+MjAxMjwvWWVhcj48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=
</w:fldData>
          </w:fldChar>
        </w:r>
        <w:r w:rsidR="00512D09">
          <w:rPr>
            <w:bCs/>
            <w:iCs/>
          </w:rPr>
          <w:instrText xml:space="preserve"> ADDIN EN.CITE.DATA </w:instrText>
        </w:r>
        <w:r w:rsidR="00512D09">
          <w:rPr>
            <w:bCs/>
            <w:iCs/>
          </w:rPr>
        </w:r>
        <w:r w:rsidR="00512D09">
          <w:rPr>
            <w:bCs/>
            <w:iCs/>
          </w:rPr>
          <w:fldChar w:fldCharType="end"/>
        </w:r>
        <w:r w:rsidR="00512D09">
          <w:rPr>
            <w:bCs/>
            <w:iCs/>
          </w:rPr>
        </w:r>
        <w:r w:rsidR="00512D09">
          <w:rPr>
            <w:bCs/>
            <w:iCs/>
          </w:rPr>
          <w:fldChar w:fldCharType="separate"/>
        </w:r>
        <w:r w:rsidR="00512D09" w:rsidRPr="00F80CAD">
          <w:rPr>
            <w:bCs/>
            <w:iCs/>
            <w:noProof/>
            <w:vertAlign w:val="superscript"/>
          </w:rPr>
          <w:t>86-88</w:t>
        </w:r>
        <w:r w:rsidR="00512D09">
          <w:rPr>
            <w:bCs/>
            <w:iCs/>
          </w:rPr>
          <w:fldChar w:fldCharType="end"/>
        </w:r>
      </w:hyperlink>
      <w:r>
        <w:rPr>
          <w:bCs/>
          <w:iCs/>
        </w:rPr>
        <w:t xml:space="preserve"> This means that many binding interactions have a ne</w:t>
      </w:r>
      <w:r w:rsidR="005B6A2A">
        <w:rPr>
          <w:bCs/>
          <w:iCs/>
        </w:rPr>
        <w:t xml:space="preserve">gative change in </w:t>
      </w:r>
      <w:r w:rsidR="005252FB">
        <w:rPr>
          <w:bCs/>
          <w:iCs/>
        </w:rPr>
        <w:t>∆</w:t>
      </w:r>
      <w:r w:rsidR="005252FB" w:rsidRPr="005252FB">
        <w:rPr>
          <w:bCs/>
          <w:i/>
          <w:iCs/>
        </w:rPr>
        <w:t>C</w:t>
      </w:r>
      <w:r w:rsidR="005252FB" w:rsidRPr="005252FB">
        <w:rPr>
          <w:bCs/>
          <w:i/>
          <w:iCs/>
          <w:vertAlign w:val="subscript"/>
        </w:rPr>
        <w:t>p</w:t>
      </w:r>
      <w:r w:rsidR="005B6A2A">
        <w:rPr>
          <w:bCs/>
          <w:iCs/>
        </w:rPr>
        <w:t xml:space="preserve"> due to the burial of </w:t>
      </w:r>
      <w:r w:rsidR="00BA7E7A">
        <w:rPr>
          <w:bCs/>
          <w:iCs/>
        </w:rPr>
        <w:t>apolar</w:t>
      </w:r>
      <w:r w:rsidR="005B6A2A">
        <w:rPr>
          <w:bCs/>
          <w:iCs/>
        </w:rPr>
        <w:t xml:space="preserve"> surface area</w:t>
      </w:r>
      <w:r w:rsidR="00C82662">
        <w:rPr>
          <w:bCs/>
          <w:iCs/>
        </w:rPr>
        <w:t>.</w:t>
      </w:r>
      <w:r w:rsidR="0075172E">
        <w:rPr>
          <w:bCs/>
          <w:iCs/>
        </w:rPr>
        <w:fldChar w:fldCharType="begin"/>
      </w:r>
      <w:r w:rsidR="00F80CAD">
        <w:rPr>
          <w:bCs/>
          <w:iCs/>
        </w:rPr>
        <w:instrText xml:space="preserve"> ADDIN EN.CITE &lt;EndNote&gt;&lt;Cite&gt;&lt;Author&gt;Sturtevant&lt;/Author&gt;&lt;Year&gt;1977&lt;/Year&gt;&lt;RecNum&gt;493&lt;/RecNum&gt;&lt;DisplayText&gt;&lt;style face="superscript"&gt;88,89&lt;/style&gt;&lt;/DisplayText&gt;&lt;record&gt;&lt;rec-number&gt;493&lt;/rec-number&gt;&lt;foreign-keys&gt;&lt;key app="EN" db-id="5trrespwzsdr07efd5tx2w96x22re9s0fsdt"&gt;493&lt;/key&gt;&lt;/foreign-keys&gt;&lt;ref-type name="Journal Article"&gt;17&lt;/ref-type&gt;&lt;contributors&gt;&lt;authors&gt;&lt;author&gt;Sturtevant, J M&lt;/author&gt;&lt;/authors&gt;&lt;/contributors&gt;&lt;titles&gt;&lt;title&gt;Heat capacity and entropy changes in processes involving proteins&lt;/title&gt;&lt;secondary-title&gt;Proceedings of the National Academy of Sciences&lt;/secondary-title&gt;&lt;/titles&gt;&lt;periodical&gt;&lt;full-title&gt;Proceedings of the National Academy of Sciences&lt;/full-title&gt;&lt;/periodical&gt;&lt;pages&gt;2236-2240&lt;/pages&gt;&lt;volume&gt;74&lt;/volume&gt;&lt;number&gt;6&lt;/number&gt;&lt;dates&gt;&lt;year&gt;1977&lt;/year&gt;&lt;pub-dates&gt;&lt;date&gt;June 1, 1977&lt;/date&gt;&lt;/pub-dates&gt;&lt;/dates&gt;&lt;urls&gt;&lt;related-urls&gt;&lt;url&gt;http://www.pnas.org/content/74/6/2236.abstract&lt;/url&gt;&lt;/related-urls&gt;&lt;/urls&gt;&lt;/record&gt;&lt;/Cite&gt;&lt;Cite&gt;&lt;Author&gt;Connelly&lt;/Author&gt;&lt;Year&gt;1992&lt;/Year&gt;&lt;RecNum&gt;441&lt;/RecNum&gt;&lt;record&gt;&lt;rec-number&gt;441&lt;/rec-number&gt;&lt;foreign-keys&gt;&lt;key app="EN" db-id="5trrespwzsdr07efd5tx2w96x22re9s0fsdt"&gt;441&lt;/key&gt;&lt;/foreign-keys&gt;&lt;ref-type name="Journal Article"&gt;17&lt;/ref-type&gt;&lt;contributors&gt;&lt;authors&gt;&lt;author&gt;Connelly, Patrick R&lt;/author&gt;&lt;author&gt;Thomson, John A&lt;/author&gt;&lt;/authors&gt;&lt;/contributors&gt;&lt;titles&gt;&lt;title&gt;Heat capacity changes and hydrophobic interactions in the binding of FK506 and rapamycin to the FK506 binding protein&lt;/title&gt;&lt;secondary-title&gt;Proceedings of the National Academy of Sciences&lt;/secondary-title&gt;&lt;/titles&gt;&lt;periodical&gt;&lt;full-title&gt;Proceedings of the National Academy of Sciences&lt;/full-title&gt;&lt;/periodical&gt;&lt;pages&gt;4781-4785&lt;/pages&gt;&lt;volume&gt;89&lt;/volume&gt;&lt;number&gt;11&lt;/number&gt;&lt;dates&gt;&lt;year&gt;1992&lt;/year&gt;&lt;/dates&gt;&lt;isbn&gt;0027-8424&lt;/isbn&gt;&lt;urls&gt;&lt;/urls&gt;&lt;/record&gt;&lt;/Cite&gt;&lt;/EndNote&gt;</w:instrText>
      </w:r>
      <w:r w:rsidR="0075172E">
        <w:rPr>
          <w:bCs/>
          <w:iCs/>
        </w:rPr>
        <w:fldChar w:fldCharType="separate"/>
      </w:r>
      <w:hyperlink w:anchor="_ENREF_88" w:tooltip="Sturtevant, 1977 #493" w:history="1">
        <w:r w:rsidR="00512D09" w:rsidRPr="00F80CAD">
          <w:rPr>
            <w:bCs/>
            <w:iCs/>
            <w:noProof/>
            <w:vertAlign w:val="superscript"/>
          </w:rPr>
          <w:t>88</w:t>
        </w:r>
      </w:hyperlink>
      <w:r w:rsidR="00F80CAD" w:rsidRPr="00F80CAD">
        <w:rPr>
          <w:bCs/>
          <w:iCs/>
          <w:noProof/>
          <w:vertAlign w:val="superscript"/>
        </w:rPr>
        <w:t>,</w:t>
      </w:r>
      <w:hyperlink w:anchor="_ENREF_89" w:tooltip="Connelly, 1992 #441" w:history="1">
        <w:r w:rsidR="00512D09" w:rsidRPr="00F80CAD">
          <w:rPr>
            <w:bCs/>
            <w:iCs/>
            <w:noProof/>
            <w:vertAlign w:val="superscript"/>
          </w:rPr>
          <w:t>89</w:t>
        </w:r>
      </w:hyperlink>
      <w:r w:rsidR="0075172E">
        <w:rPr>
          <w:bCs/>
          <w:iCs/>
        </w:rPr>
        <w:fldChar w:fldCharType="end"/>
      </w:r>
      <w:r w:rsidR="005B6A2A">
        <w:rPr>
          <w:bCs/>
          <w:iCs/>
        </w:rPr>
        <w:t xml:space="preserve"> </w:t>
      </w:r>
      <w:r w:rsidR="00204092">
        <w:rPr>
          <w:bCs/>
          <w:iCs/>
        </w:rPr>
        <w:t>Changing the temperature also remains a way of identifying true EEC</w:t>
      </w:r>
      <w:r w:rsidR="0066085C">
        <w:rPr>
          <w:bCs/>
          <w:iCs/>
        </w:rPr>
        <w:t xml:space="preserve"> as it </w:t>
      </w:r>
      <w:r w:rsidR="0066085C">
        <w:rPr>
          <w:bCs/>
          <w:iCs/>
        </w:rPr>
        <w:lastRenderedPageBreak/>
        <w:t>has been suggested to be extra thermodynamic and does not respond to normal statistical thermodynamics</w:t>
      </w:r>
      <w:r w:rsidR="00C82662">
        <w:rPr>
          <w:bCs/>
          <w:iCs/>
        </w:rPr>
        <w:t>.</w:t>
      </w:r>
      <w:r w:rsidR="0066085C">
        <w:rPr>
          <w:bCs/>
          <w:iCs/>
        </w:rPr>
        <w:t xml:space="preserve"> </w:t>
      </w:r>
      <w:r w:rsidR="0075172E">
        <w:rPr>
          <w:bCs/>
          <w:iCs/>
        </w:rPr>
        <w:fldChar w:fldCharType="begin"/>
      </w:r>
      <w:r w:rsidR="00F80CAD">
        <w:rPr>
          <w:bCs/>
          <w:iCs/>
        </w:rPr>
        <w:instrText xml:space="preserve"> ADDIN EN.CITE &lt;EndNote&gt;&lt;Cite&gt;&lt;Author&gt;Sharp&lt;/Author&gt;&lt;Year&gt;2001&lt;/Year&gt;&lt;RecNum&gt;466&lt;/RecNum&gt;&lt;DisplayText&gt;&lt;style face="superscript"&gt;90,91&lt;/style&gt;&lt;/DisplayText&gt;&lt;record&gt;&lt;rec-number&gt;466&lt;/rec-number&gt;&lt;foreign-keys&gt;&lt;key app="EN" db-id="5trrespwzsdr07efd5tx2w96x22re9s0fsdt"&gt;466&lt;/key&gt;&lt;/foreign-keys&gt;&lt;ref-type name="Journal Article"&gt;17&lt;/ref-type&gt;&lt;contributors&gt;&lt;authors&gt;&lt;author&gt;Sharp, Kim&lt;/author&gt;&lt;/authors&gt;&lt;/contributors&gt;&lt;titles&gt;&lt;title&gt;Entropy—enthalpy compensation: Fact or artifact?&lt;/title&gt;&lt;secondary-title&gt;Protein Science&lt;/secondary-title&gt;&lt;/titles&gt;&lt;periodical&gt;&lt;full-title&gt;Protein Science&lt;/full-title&gt;&lt;/periodical&gt;&lt;pages&gt;661-667&lt;/pages&gt;&lt;volume&gt;10&lt;/volume&gt;&lt;number&gt;3&lt;/number&gt;&lt;dates&gt;&lt;year&gt;2001&lt;/year&gt;&lt;/dates&gt;&lt;isbn&gt;1469-896X&lt;/isbn&gt;&lt;urls&gt;&lt;/urls&gt;&lt;/record&gt;&lt;/Cite&gt;&lt;Cite&gt;&lt;Author&gt;Leffler&lt;/Author&gt;&lt;Year&gt;1955&lt;/Year&gt;&lt;RecNum&gt;497&lt;/RecNum&gt;&lt;record&gt;&lt;rec-number&gt;497&lt;/rec-number&gt;&lt;foreign-keys&gt;&lt;key app="EN" db-id="5trrespwzsdr07efd5tx2w96x22re9s0fsdt"&gt;497&lt;/key&gt;&lt;/foreign-keys&gt;&lt;ref-type name="Journal Article"&gt;17&lt;/ref-type&gt;&lt;contributors&gt;&lt;authors&gt;&lt;author&gt;Leffler, J. E.&lt;/author&gt;&lt;/authors&gt;&lt;/contributors&gt;&lt;titles&gt;&lt;title&gt;The Enthalpy-Entropy Relationship and Its Implications for Organic Chemistry&lt;/title&gt;&lt;secondary-title&gt;Journal of Organic Chemistry&lt;/secondary-title&gt;&lt;alt-title&gt;Journal of Organic Chemistry&lt;/alt-title&gt;&lt;/titles&gt;&lt;periodical&gt;&lt;full-title&gt;Journal of Organic Chemistry&lt;/full-title&gt;&lt;abbr-1&gt;Journal of Organic Chemistry&lt;/abbr-1&gt;&lt;/periodical&gt;&lt;alt-periodical&gt;&lt;full-title&gt;Journal of Organic Chemistry&lt;/full-title&gt;&lt;abbr-1&gt;Journal of Organic Chemistry&lt;/abbr-1&gt;&lt;/alt-periodical&gt;&lt;pages&gt;1202-1231&lt;/pages&gt;&lt;volume&gt;20&lt;/volume&gt;&lt;number&gt;9&lt;/number&gt;&lt;dates&gt;&lt;year&gt;1955&lt;/year&gt;&lt;pub-dates&gt;&lt;date&gt;1955/09/01&lt;/date&gt;&lt;/pub-dates&gt;&lt;/dates&gt;&lt;publisher&gt;American Chemical Society&lt;/publisher&gt;&lt;isbn&gt;0022-3263&lt;/isbn&gt;&lt;accession-num&gt;ISI:A1955WX72200009&lt;/accession-num&gt;&lt;urls&gt;&lt;related-urls&gt;&lt;url&gt;&amp;lt;Go to ISI&amp;gt;://A1955WX72200009&lt;/url&gt;&lt;/related-urls&gt;&lt;/urls&gt;&lt;electronic-resource-num&gt;Doi 10.1021/Jo01126a009&lt;/electronic-resource-num&gt;&lt;language&gt;English&lt;/language&gt;&lt;access-date&gt;2014/12/15&lt;/access-date&gt;&lt;/record&gt;&lt;/Cite&gt;&lt;/EndNote&gt;</w:instrText>
      </w:r>
      <w:r w:rsidR="0075172E">
        <w:rPr>
          <w:bCs/>
          <w:iCs/>
        </w:rPr>
        <w:fldChar w:fldCharType="separate"/>
      </w:r>
      <w:hyperlink w:anchor="_ENREF_90" w:tooltip="Sharp, 2001 #466" w:history="1">
        <w:r w:rsidR="00512D09" w:rsidRPr="00F80CAD">
          <w:rPr>
            <w:bCs/>
            <w:iCs/>
            <w:noProof/>
            <w:vertAlign w:val="superscript"/>
          </w:rPr>
          <w:t>90</w:t>
        </w:r>
      </w:hyperlink>
      <w:r w:rsidR="00F80CAD" w:rsidRPr="00F80CAD">
        <w:rPr>
          <w:bCs/>
          <w:iCs/>
          <w:noProof/>
          <w:vertAlign w:val="superscript"/>
        </w:rPr>
        <w:t>,</w:t>
      </w:r>
      <w:hyperlink w:anchor="_ENREF_91" w:tooltip="Leffler, 1955 #497" w:history="1">
        <w:r w:rsidR="00512D09" w:rsidRPr="00F80CAD">
          <w:rPr>
            <w:bCs/>
            <w:iCs/>
            <w:noProof/>
            <w:vertAlign w:val="superscript"/>
          </w:rPr>
          <w:t>91</w:t>
        </w:r>
      </w:hyperlink>
      <w:r w:rsidR="0075172E">
        <w:rPr>
          <w:bCs/>
          <w:iCs/>
        </w:rPr>
        <w:fldChar w:fldCharType="end"/>
      </w:r>
      <w:r w:rsidR="00204092">
        <w:rPr>
          <w:bCs/>
          <w:iCs/>
        </w:rPr>
        <w:t xml:space="preserve"> </w:t>
      </w:r>
      <w:r w:rsidR="00522282">
        <w:rPr>
          <w:bCs/>
          <w:iCs/>
        </w:rPr>
        <w:t xml:space="preserve">Sharp </w:t>
      </w:r>
      <w:r w:rsidR="0066085C">
        <w:rPr>
          <w:bCs/>
          <w:iCs/>
        </w:rPr>
        <w:t>suggested that the temperature should be varied more than 25% of the experimental temperature to reveal EEC</w:t>
      </w:r>
      <w:r w:rsidR="00C82662">
        <w:rPr>
          <w:bCs/>
          <w:iCs/>
        </w:rPr>
        <w:t>.</w:t>
      </w:r>
      <w:hyperlink w:anchor="_ENREF_90" w:tooltip="Sharp, 2001 #466" w:history="1">
        <w:r w:rsidR="00512D09">
          <w:rPr>
            <w:bCs/>
            <w:iCs/>
          </w:rPr>
          <w:fldChar w:fldCharType="begin"/>
        </w:r>
        <w:r w:rsidR="00512D09">
          <w:rPr>
            <w:bCs/>
            <w:iCs/>
          </w:rPr>
          <w:instrText xml:space="preserve"> ADDIN EN.CITE &lt;EndNote&gt;&lt;Cite&gt;&lt;Author&gt;Sharp&lt;/Author&gt;&lt;Year&gt;2001&lt;/Year&gt;&lt;RecNum&gt;466&lt;/RecNum&gt;&lt;DisplayText&gt;&lt;style face="superscript"&gt;90&lt;/style&gt;&lt;/DisplayText&gt;&lt;record&gt;&lt;rec-number&gt;466&lt;/rec-number&gt;&lt;foreign-keys&gt;&lt;key app="EN" db-id="5trrespwzsdr07efd5tx2w96x22re9s0fsdt"&gt;466&lt;/key&gt;&lt;/foreign-keys&gt;&lt;ref-type name="Journal Article"&gt;17&lt;/ref-type&gt;&lt;contributors&gt;&lt;authors&gt;&lt;author&gt;Sharp, Kim&lt;/author&gt;&lt;/authors&gt;&lt;/contributors&gt;&lt;titles&gt;&lt;title&gt;Entropy—enthalpy compensation: Fact or artifact?&lt;/title&gt;&lt;secondary-title&gt;Protein Science&lt;/secondary-title&gt;&lt;/titles&gt;&lt;periodical&gt;&lt;full-title&gt;Protein Science&lt;/full-title&gt;&lt;/periodical&gt;&lt;pages&gt;661-667&lt;/pages&gt;&lt;volume&gt;10&lt;/volume&gt;&lt;number&gt;3&lt;/number&gt;&lt;dates&gt;&lt;year&gt;2001&lt;/year&gt;&lt;/dates&gt;&lt;isbn&gt;1469-896X&lt;/isbn&gt;&lt;urls&gt;&lt;/urls&gt;&lt;/record&gt;&lt;/Cite&gt;&lt;/EndNote&gt;</w:instrText>
        </w:r>
        <w:r w:rsidR="00512D09">
          <w:rPr>
            <w:bCs/>
            <w:iCs/>
          </w:rPr>
          <w:fldChar w:fldCharType="separate"/>
        </w:r>
        <w:r w:rsidR="00512D09" w:rsidRPr="00F80CAD">
          <w:rPr>
            <w:bCs/>
            <w:iCs/>
            <w:noProof/>
            <w:vertAlign w:val="superscript"/>
          </w:rPr>
          <w:t>90</w:t>
        </w:r>
        <w:r w:rsidR="00512D09">
          <w:rPr>
            <w:bCs/>
            <w:iCs/>
          </w:rPr>
          <w:fldChar w:fldCharType="end"/>
        </w:r>
      </w:hyperlink>
      <w:r w:rsidR="0066085C">
        <w:rPr>
          <w:bCs/>
          <w:iCs/>
        </w:rPr>
        <w:t xml:space="preserve"> </w:t>
      </w:r>
    </w:p>
    <w:p w:rsidR="00BE75B4" w:rsidRDefault="00A316E2" w:rsidP="00514313">
      <w:pPr>
        <w:pStyle w:val="Heading2"/>
      </w:pPr>
      <w:bookmarkStart w:id="48" w:name="_Toc459130669"/>
      <w:r>
        <w:t>Techniques Used to Study Ion S</w:t>
      </w:r>
      <w:r w:rsidR="00BE75B4" w:rsidRPr="00BE75B4">
        <w:t>olvation</w:t>
      </w:r>
      <w:bookmarkEnd w:id="48"/>
    </w:p>
    <w:p w:rsidR="0077575C" w:rsidRPr="0077575C" w:rsidRDefault="0077575C" w:rsidP="0077575C"/>
    <w:p w:rsidR="00BE75B4" w:rsidRDefault="00BE75B4" w:rsidP="00217116">
      <w:pPr>
        <w:spacing w:line="480" w:lineRule="auto"/>
        <w:jc w:val="both"/>
      </w:pPr>
      <w:r w:rsidRPr="00BE75B4">
        <w:t>The dynamics and spatiality of water around ions is not fully understood. Ions having electronic and steric effects on water produce populations of water with differing dynamics and spatiality yielding differing thermodynamics and kinetics to that of the bulk. These populations of water – so called hydration layers are a complex pattern of hydrogen bonding which have been detected by numerous techniques. The issue is contentious because data on the dynamism and spatiality of water populations around ions conflict. The reasons for these discrepanc</w:t>
      </w:r>
      <w:r w:rsidR="008C74E7">
        <w:t xml:space="preserve">ies </w:t>
      </w:r>
      <w:r w:rsidR="00C82662">
        <w:t>are put forward in this literature review</w:t>
      </w:r>
      <w:r w:rsidR="008C74E7">
        <w:t xml:space="preserve">. </w:t>
      </w:r>
    </w:p>
    <w:p w:rsidR="00C36350" w:rsidRPr="00BE75B4" w:rsidRDefault="00C36350" w:rsidP="00217116">
      <w:pPr>
        <w:spacing w:line="480" w:lineRule="auto"/>
        <w:jc w:val="both"/>
      </w:pPr>
      <w:r w:rsidRPr="00BE75B4">
        <w:t xml:space="preserve">In 1888, Hofmeister discovered the effects of ions on the precipitation of proteins in purified egg white. According to the precipitative efficiency of the different ions, they can be ordered and are known as the Hofmeister series. It has only been relatively recently that a molecular understanding of how ions affect water has begun to be realised. Kim </w:t>
      </w:r>
      <w:r w:rsidR="002D4FF8">
        <w:rPr>
          <w:i/>
        </w:rPr>
        <w:t xml:space="preserve">et al. </w:t>
      </w:r>
      <w:r w:rsidRPr="00BE75B4">
        <w:t xml:space="preserve"> used a combined experimental and simulated Infrared spectroscopy approach to show that increasing anion concentration from 1 to 6 M disrupted the hydrogen bond network. This was found to be independent of the kosmotrope - chaotrope classification. Amide I and II frequencies of </w:t>
      </w:r>
      <w:r w:rsidRPr="00C405C6">
        <w:rPr>
          <w:i/>
        </w:rPr>
        <w:t>N</w:t>
      </w:r>
      <w:r w:rsidRPr="00BE75B4">
        <w:t>-methylacetamide in D</w:t>
      </w:r>
      <w:r w:rsidRPr="00BE75B4">
        <w:rPr>
          <w:vertAlign w:val="subscript"/>
        </w:rPr>
        <w:t>2</w:t>
      </w:r>
      <w:r w:rsidRPr="00BE75B4">
        <w:t>O did not show any changes in the hydration layer which precludes direct bonding. The results were used to suggest that the ions used in this study did not interact with the peptide backbone</w:t>
      </w:r>
      <w:r>
        <w:t>.</w:t>
      </w:r>
      <w:r w:rsidRPr="00BE75B4">
        <w:t xml:space="preserve"> </w:t>
      </w:r>
      <w:hyperlink w:anchor="_ENREF_92" w:tooltip="Kim, 2012 #326" w:history="1">
        <w:r w:rsidR="00512D09" w:rsidRPr="00BE75B4">
          <w:fldChar w:fldCharType="begin"/>
        </w:r>
        <w:r w:rsidR="00512D09">
          <w:instrText xml:space="preserve"> ADDIN EN.CITE &lt;EndNote&gt;&lt;Cite&gt;&lt;Author&gt;Kim&lt;/Author&gt;&lt;Year&gt;2012&lt;/Year&gt;&lt;RecNum&gt;326&lt;/RecNum&gt;&lt;DisplayText&gt;&lt;style face="superscript"&gt;92&lt;/style&gt;&lt;/DisplayText&gt;&lt;record&gt;&lt;rec-number&gt;326&lt;/rec-number&gt;&lt;foreign-keys&gt;&lt;key app="EN" db-id="5trrespwzsdr07efd5tx2w96x22re9s0fsdt"&gt;326&lt;/key&gt;&lt;/foreign-keys&gt;&lt;ref-type name="Journal Article"&gt;17&lt;/ref-type&gt;&lt;contributors&gt;&lt;authors&gt;&lt;author&gt;Kim, Heejae&lt;/author&gt;&lt;author&gt;Lee, Hochan&lt;/author&gt;&lt;author&gt;Lee, Gayeon&lt;/author&gt;&lt;author&gt;Kim, Haeyoung&lt;/author&gt;&lt;author&gt;Cho, Minhaeng&lt;/author&gt;&lt;/authors&gt;&lt;/contributors&gt;&lt;titles&gt;&lt;title&gt;Hofmeister anionic effects on hydration electric fields around water and peptide&lt;/title&gt;&lt;secondary-title&gt;The Journal of Chemical Physics&lt;/secondary-title&gt;&lt;/titles&gt;&lt;periodical&gt;&lt;full-title&gt;The Journal of Chemical Physics&lt;/full-title&gt;&lt;/periodical&gt;&lt;pages&gt;-&lt;/pages&gt;&lt;volume&gt;136&lt;/volume&gt;&lt;number&gt;12&lt;/number&gt;&lt;keywords&gt;&lt;keyword&gt;proteins&lt;/keyword&gt;&lt;keyword&gt;hydrogen bonds&lt;/keyword&gt;&lt;keyword&gt;solvation&lt;/keyword&gt;&lt;keyword&gt;electrolytes&lt;/keyword&gt;&lt;keyword&gt;electric field effects&lt;/keyword&gt;&lt;keyword&gt;water&lt;/keyword&gt;&lt;keyword&gt;fluctuations&lt;/keyword&gt;&lt;keyword&gt;biological effects of fields&lt;/keyword&gt;&lt;keyword&gt;molecular biophysics&lt;/keyword&gt;&lt;keyword&gt;deuterium compounds&lt;/keyword&gt;&lt;keyword&gt;molecular configurations&lt;/keyword&gt;&lt;keyword&gt;vibrational modes&lt;/keyword&gt;&lt;keyword&gt;negative ions&lt;/keyword&gt;&lt;keyword&gt;infrared spectra&lt;/keyword&gt;&lt;keyword&gt;dissolving&lt;/keyword&gt;&lt;/keywords&gt;&lt;dates&gt;&lt;year&gt;2012&lt;/year&gt;&lt;/dates&gt;&lt;urls&gt;&lt;related-urls&gt;&lt;url&gt;http://scitation.aip.org/content/aip/journal/jcp/136/12/10.1063/1.3694036&lt;/url&gt;&lt;/related-urls&gt;&lt;/urls&gt;&lt;electronic-resource-num&gt;doi:http://dx.doi.org/10.1063/1.3694036&lt;/electronic-resource-num&gt;&lt;/record&gt;&lt;/Cite&gt;&lt;/EndNote&gt;</w:instrText>
        </w:r>
        <w:r w:rsidR="00512D09" w:rsidRPr="00BE75B4">
          <w:fldChar w:fldCharType="separate"/>
        </w:r>
        <w:r w:rsidR="00512D09" w:rsidRPr="00F80CAD">
          <w:rPr>
            <w:noProof/>
            <w:vertAlign w:val="superscript"/>
          </w:rPr>
          <w:t>92</w:t>
        </w:r>
        <w:r w:rsidR="00512D09" w:rsidRPr="00BE75B4">
          <w:fldChar w:fldCharType="end"/>
        </w:r>
      </w:hyperlink>
      <w:r>
        <w:t xml:space="preserve"> </w:t>
      </w:r>
    </w:p>
    <w:p w:rsidR="00BE75B4" w:rsidRPr="00BE75B4" w:rsidRDefault="00BE75B4" w:rsidP="00217116">
      <w:pPr>
        <w:spacing w:line="480" w:lineRule="auto"/>
        <w:jc w:val="both"/>
      </w:pPr>
      <w:r w:rsidRPr="00BE75B4">
        <w:t xml:space="preserve">The high surface tension of water (72 </w:t>
      </w:r>
      <w:r w:rsidR="007048FC">
        <w:t xml:space="preserve">mN/m </w:t>
      </w:r>
      <w:r w:rsidRPr="00BE75B4">
        <w:t>at 25</w:t>
      </w:r>
      <w:r w:rsidR="006F2757">
        <w:t xml:space="preserve"> </w:t>
      </w:r>
      <w:r w:rsidRPr="00BE75B4">
        <w:t xml:space="preserve">°C) is caused by a number of cohesive forces between </w:t>
      </w:r>
      <w:r w:rsidR="003901D6">
        <w:t>water molecules</w:t>
      </w:r>
      <w:r w:rsidRPr="00BE75B4">
        <w:t xml:space="preserve">. The water molecules on the top layer are thought to bond more strongly to those underneath. This top layer is primarily thought to be </w:t>
      </w:r>
      <w:r w:rsidRPr="00BE75B4">
        <w:lastRenderedPageBreak/>
        <w:t>responsible for surface tension.  The addition of most inorganic salts to water increases the surface tension of the air/water interface with an approximate linear increase in salt concentration above 0.01 M</w:t>
      </w:r>
      <w:r w:rsidR="00C82662">
        <w:t>.</w:t>
      </w:r>
      <w:hyperlink w:anchor="_ENREF_93" w:tooltip="Petersen, 2006 #348" w:history="1">
        <w:r w:rsidR="00512D09" w:rsidRPr="00BE75B4">
          <w:fldChar w:fldCharType="begin"/>
        </w:r>
        <w:r w:rsidR="00512D09">
          <w:instrText xml:space="preserve"> ADDIN EN.CITE &lt;EndNote&gt;&lt;Cite&gt;&lt;Author&gt;Petersen&lt;/Author&gt;&lt;Year&gt;2006&lt;/Year&gt;&lt;RecNum&gt;348&lt;/RecNum&gt;&lt;DisplayText&gt;&lt;style face="superscript"&gt;93&lt;/style&gt;&lt;/DisplayText&gt;&lt;record&gt;&lt;rec-number&gt;348&lt;/rec-number&gt;&lt;foreign-keys&gt;&lt;key app="EN" db-id="5trrespwzsdr07efd5tx2w96x22re9s0fsdt"&gt;348&lt;/key&gt;&lt;/foreign-keys&gt;&lt;ref-type name="Book Section"&gt;5&lt;/ref-type&gt;&lt;contributors&gt;&lt;authors&gt;&lt;author&gt;Petersen, P. B.&lt;/author&gt;&lt;author&gt;Saykally, R. J.&lt;/author&gt;&lt;/authors&gt;&lt;/contributors&gt;&lt;titles&gt;&lt;title&gt;On the nature of ions at the liquid water surface&lt;/title&gt;&lt;secondary-title&gt;Annual Review of Physical Chemistry&lt;/secondary-title&gt;&lt;tertiary-title&gt;Annual Review of Physical Chemistry&lt;/tertiary-title&gt;&lt;/titles&gt;&lt;periodical&gt;&lt;full-title&gt;Annual Review of Physical Chemistry&lt;/full-title&gt;&lt;/periodical&gt;&lt;pages&gt;333-364&lt;/pages&gt;&lt;volume&gt;57&lt;/volume&gt;&lt;dates&gt;&lt;year&gt;2006&lt;/year&gt;&lt;/dates&gt;&lt;isbn&gt;0066-426X&amp;#xD;978-0-8243-1057-8&lt;/isbn&gt;&lt;accession-num&gt;WOS:000237668700012&lt;/accession-num&gt;&lt;urls&gt;&lt;related-urls&gt;&lt;url&gt;&amp;lt;Go to ISI&amp;gt;://WOS:000237668700012&lt;/url&gt;&lt;/related-urls&gt;&lt;/urls&gt;&lt;electronic-resource-num&gt;10.1146/annurev.physchem.57.032905.104609&lt;/electronic-resource-num&gt;&lt;/record&gt;&lt;/Cite&gt;&lt;/EndNote&gt;</w:instrText>
        </w:r>
        <w:r w:rsidR="00512D09" w:rsidRPr="00BE75B4">
          <w:fldChar w:fldCharType="separate"/>
        </w:r>
        <w:r w:rsidR="00512D09" w:rsidRPr="00F80CAD">
          <w:rPr>
            <w:noProof/>
            <w:vertAlign w:val="superscript"/>
          </w:rPr>
          <w:t>93</w:t>
        </w:r>
        <w:r w:rsidR="00512D09" w:rsidRPr="00BE75B4">
          <w:fldChar w:fldCharType="end"/>
        </w:r>
      </w:hyperlink>
      <w:r w:rsidRPr="00BE75B4">
        <w:t xml:space="preserve"> The central insight into this work was the realisation of an induced surface charge at the air-water interface caused by the strong dielectric discontinuity between the two phases. It was suggested the increase in surface tension was due to depletion of ions from the interfacial area indicated by a negative value for the Gibbs adsorption equation</w:t>
      </w:r>
      <w:r w:rsidR="00C82662">
        <w:t>.</w:t>
      </w:r>
      <w:r w:rsidR="0075172E" w:rsidRPr="00BE75B4">
        <w:fldChar w:fldCharType="begin">
          <w:fldData xml:space="preserve">PEVuZE5vdGU+PENpdGU+PEF1dGhvcj5XZWlzc2VuYm9ybjwvQXV0aG9yPjxZZWFyPjE5OTY8L1ll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</w:fldData>
        </w:fldChar>
      </w:r>
      <w:r w:rsidR="00F80CAD">
        <w:instrText xml:space="preserve"> ADDIN EN.CITE </w:instrText>
      </w:r>
      <w:r w:rsidR="0075172E">
        <w:fldChar w:fldCharType="begin">
          <w:fldData xml:space="preserve">PEVuZE5vdGU+PENpdGU+PEF1dGhvcj5XZWlzc2VuYm9ybjwvQXV0aG9yPjxZZWFyPjE5OTY8L1ll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</w:fldData>
        </w:fldChar>
      </w:r>
      <w:r w:rsidR="00F80CAD">
        <w:instrText xml:space="preserve"> ADDIN EN.CITE.DATA </w:instrText>
      </w:r>
      <w:r w:rsidR="0075172E">
        <w:fldChar w:fldCharType="end"/>
      </w:r>
      <w:r w:rsidR="0075172E" w:rsidRPr="00BE75B4">
        <w:fldChar w:fldCharType="separate"/>
      </w:r>
      <w:hyperlink w:anchor="_ENREF_94" w:tooltip="Weissenborn, 1996 #359" w:history="1">
        <w:r w:rsidR="00512D09" w:rsidRPr="00F80CAD">
          <w:rPr>
            <w:noProof/>
            <w:vertAlign w:val="superscript"/>
          </w:rPr>
          <w:t>94</w:t>
        </w:r>
      </w:hyperlink>
      <w:r w:rsidR="00F80CAD" w:rsidRPr="00F80CAD">
        <w:rPr>
          <w:noProof/>
          <w:vertAlign w:val="superscript"/>
        </w:rPr>
        <w:t>,</w:t>
      </w:r>
      <w:hyperlink w:anchor="_ENREF_95" w:tooltip="Onsager, 1934 #360" w:history="1">
        <w:r w:rsidR="00512D09" w:rsidRPr="00F80CAD">
          <w:rPr>
            <w:noProof/>
            <w:vertAlign w:val="superscript"/>
          </w:rPr>
          <w:t>95</w:t>
        </w:r>
      </w:hyperlink>
      <w:r w:rsidR="0075172E" w:rsidRPr="00BE75B4">
        <w:fldChar w:fldCharType="end"/>
      </w:r>
      <w:r w:rsidRPr="00BE75B4">
        <w:t xml:space="preserve">  Mechanistically, salt is removed from the surface and drawn into the bulk creating a new surface. This was in part believed to be due to the image field created by the </w:t>
      </w:r>
      <w:r w:rsidR="00C65AD7" w:rsidRPr="00BE75B4">
        <w:t>interface that</w:t>
      </w:r>
      <w:r w:rsidRPr="00BE75B4">
        <w:t xml:space="preserve"> acted to repulse ions</w:t>
      </w:r>
      <w:r w:rsidR="00C82662">
        <w:t>.</w:t>
      </w:r>
      <w:r w:rsidRPr="00BE75B4">
        <w:t xml:space="preserve"> </w:t>
      </w:r>
      <w:hyperlink w:anchor="_ENREF_96" w:tooltip="dos Santos, 2011 #357" w:history="1">
        <w:r w:rsidR="00512D09" w:rsidRPr="00BE75B4">
          <w:fldChar w:fldCharType="begin"/>
        </w:r>
        <w:r w:rsidR="00512D09">
          <w:instrText xml:space="preserve"> ADDIN EN.CITE &lt;EndNote&gt;&lt;Cite&gt;&lt;Author&gt;dos Santos&lt;/Author&gt;&lt;Year&gt;2011&lt;/Year&gt;&lt;RecNum&gt;357&lt;/RecNum&gt;&lt;DisplayText&gt;&lt;style face="superscript"&gt;96&lt;/style&gt;&lt;/DisplayText&gt;&lt;record&gt;&lt;rec-number&gt;357&lt;/rec-number&gt;&lt;foreign-keys&gt;&lt;key app="EN" db-id="5trrespwzsdr07efd5tx2w96x22re9s0fsdt"&gt;357&lt;/key&gt;&lt;/foreign-keys&gt;&lt;ref-type name="Journal Article"&gt;17&lt;/ref-type&gt;&lt;contributors&gt;&lt;authors&gt;&lt;author&gt;dos Santos, Alexandre P.&lt;/author&gt;&lt;author&gt;Levin, Yan&lt;/author&gt;&lt;/authors&gt;&lt;/contributors&gt;&lt;titles&gt;&lt;title&gt;Ions at the Water–oil Interface: Interfacial Tension of Electrolyte Solutions&lt;/title&gt;&lt;secondary-title&gt;Langmuir&lt;/secondary-title&gt;&lt;/titles&gt;&lt;periodical&gt;&lt;full-title&gt;Langmuir&lt;/full-title&gt;&lt;/periodical&gt;&lt;pages&gt;1304-1308&lt;/pages&gt;&lt;volume&gt;28&lt;/volume&gt;&lt;number&gt;2&lt;/number&gt;&lt;dates&gt;&lt;year&gt;2011&lt;/year&gt;&lt;pub-dates&gt;&lt;date&gt;2012/01/17&lt;/date&gt;&lt;/pub-dates&gt;&lt;/dates&gt;&lt;publisher&gt;American Chemical Society&lt;/publisher&gt;&lt;isbn&gt;0743-7463&lt;/isbn&gt;&lt;urls&gt;&lt;related-urls&gt;&lt;url&gt;http://dx.doi.org/10.1021/la204036e&lt;/url&gt;&lt;/related-urls&gt;&lt;/urls&gt;&lt;electronic-resource-num&gt;10.1021/la204036e&lt;/electronic-resource-num&gt;&lt;access-date&gt;2014/03/12&lt;/access-date&gt;&lt;/record&gt;&lt;/Cite&gt;&lt;/EndNote&gt;</w:instrText>
        </w:r>
        <w:r w:rsidR="00512D09" w:rsidRPr="00BE75B4">
          <w:fldChar w:fldCharType="separate"/>
        </w:r>
        <w:r w:rsidR="00512D09" w:rsidRPr="00F80CAD">
          <w:rPr>
            <w:noProof/>
            <w:vertAlign w:val="superscript"/>
          </w:rPr>
          <w:t>96</w:t>
        </w:r>
        <w:r w:rsidR="00512D09" w:rsidRPr="00BE75B4">
          <w:fldChar w:fldCharType="end"/>
        </w:r>
      </w:hyperlink>
      <w:r w:rsidRPr="00BE75B4">
        <w:t xml:space="preserve">  As the concentration of salt increases it becomes more challenging to draw the salt into the bulk and therefore less energetically f</w:t>
      </w:r>
      <w:r w:rsidR="00F329CD">
        <w:t>avourable to make a new surface</w:t>
      </w:r>
      <w:r w:rsidRPr="00BE75B4">
        <w:t>.</w:t>
      </w:r>
      <w:r w:rsidR="00F329CD">
        <w:t xml:space="preserve"> </w:t>
      </w:r>
      <w:r w:rsidRPr="00BE75B4">
        <w:t>However</w:t>
      </w:r>
      <w:r w:rsidR="003915D1">
        <w:t>,</w:t>
      </w:r>
      <w:r w:rsidRPr="00BE75B4">
        <w:t xml:space="preserve"> this theory breaks down at concentrations approximately  above 1 M</w:t>
      </w:r>
      <w:r w:rsidR="00C82662">
        <w:t>.</w:t>
      </w:r>
      <w:r w:rsidRPr="00BE75B4">
        <w:t xml:space="preserve"> </w:t>
      </w:r>
      <w:hyperlink w:anchor="_ENREF_94" w:tooltip="Weissenborn, 1996 #359" w:history="1">
        <w:r w:rsidR="00512D09" w:rsidRPr="00BE75B4">
          <w:fldChar w:fldCharType="begin"/>
        </w:r>
        <w:r w:rsidR="00512D09">
          <w:instrText xml:space="preserve"> ADDIN EN.CITE &lt;EndNote&gt;&lt;Cite&gt;&lt;Author&gt;Weissenborn&lt;/Author&gt;&lt;Year&gt;1996&lt;/Year&gt;&lt;RecNum&gt;359&lt;/RecNum&gt;&lt;DisplayText&gt;&lt;style face="superscript"&gt;94&lt;/style&gt;&lt;/DisplayText&gt;&lt;record&gt;&lt;rec-number&gt;359&lt;/rec-number&gt;&lt;foreign-keys&gt;&lt;key app="EN" db-id="5trrespwzsdr07efd5tx2w96x22re9s0fsdt"&gt;359&lt;/key&gt;&lt;/foreign-keys&gt;&lt;ref-type name="Journal Article"&gt;17&lt;/ref-type&gt;&lt;contributors&gt;&lt;authors&gt;&lt;author&gt;Weissenborn, Peter K.&lt;/author&gt;&lt;author&gt;Pugh, Robert J.&lt;/author&gt;&lt;/authors&gt;&lt;/contributors&gt;&lt;titles&gt;&lt;title&gt;Surface Tension of Aqueous Solutions of Electrolytes: Relationship with Ion Hydration, Oxygen Solubility, and Bubble Coalescence&lt;/title&gt;&lt;secondary-title&gt;Journal of Colloid and Interface Science&lt;/secondary-title&gt;&lt;/titles&gt;&lt;periodical&gt;&lt;full-title&gt;Journal of Colloid and Interface Science&lt;/full-title&gt;&lt;/periodical&gt;&lt;pages&gt;550-563&lt;/pages&gt;&lt;volume&gt;184&lt;/volume&gt;&lt;number&gt;2&lt;/number&gt;&lt;keywords&gt;&lt;keyword&gt;surface tension&lt;/keyword&gt;&lt;keyword&gt;electrolytes&lt;/keyword&gt;&lt;keyword&gt;bubble coalescence&lt;/keyword&gt;&lt;keyword&gt;dissolved gases&lt;/keyword&gt;&lt;/keywords&gt;&lt;dates&gt;&lt;year&gt;1996&lt;/year&gt;&lt;/dates&gt;&lt;isbn&gt;0021-9797&lt;/isbn&gt;&lt;urls&gt;&lt;related-urls&gt;&lt;url&gt;http://www.sciencedirect.com/science/article/pii/S0021979796906517&lt;/url&gt;&lt;/related-urls&gt;&lt;/urls&gt;&lt;electronic-resource-num&gt;http://dx.doi.org/10.1006/jcis.1996.0651&lt;/electronic-resource-num&gt;&lt;/record&gt;&lt;/Cite&gt;&lt;/EndNote&gt;</w:instrText>
        </w:r>
        <w:r w:rsidR="00512D09" w:rsidRPr="00BE75B4">
          <w:fldChar w:fldCharType="separate"/>
        </w:r>
        <w:r w:rsidR="00512D09" w:rsidRPr="00F80CAD">
          <w:rPr>
            <w:noProof/>
            <w:vertAlign w:val="superscript"/>
          </w:rPr>
          <w:t>94</w:t>
        </w:r>
        <w:r w:rsidR="00512D09" w:rsidRPr="00BE75B4">
          <w:fldChar w:fldCharType="end"/>
        </w:r>
      </w:hyperlink>
      <w:r w:rsidRPr="00BE75B4">
        <w:t xml:space="preserve">  </w:t>
      </w:r>
    </w:p>
    <w:p w:rsidR="00BE75B4" w:rsidRPr="00BE75B4" w:rsidRDefault="00BE75B4" w:rsidP="00217116">
      <w:pPr>
        <w:spacing w:line="480" w:lineRule="auto"/>
        <w:jc w:val="both"/>
      </w:pPr>
      <w:r w:rsidRPr="00BE75B4">
        <w:t>Pegram and Record studying concentrations between 0 to 1.5 M proposed that most anions that favour protein den</w:t>
      </w:r>
      <w:r w:rsidR="000167BC">
        <w:t>aturation accumulate at the air-</w:t>
      </w:r>
      <w:r w:rsidRPr="00BE75B4">
        <w:t>water interface such as SCN</w:t>
      </w:r>
      <w:r w:rsidR="003901D6" w:rsidRPr="003901D6">
        <w:rPr>
          <w:vertAlign w:val="superscript"/>
        </w:rPr>
        <w:t>-</w:t>
      </w:r>
      <w:r w:rsidR="00C82662">
        <w:t>.</w:t>
      </w:r>
      <w:r w:rsidRPr="00BE75B4">
        <w:t xml:space="preserve"> </w:t>
      </w:r>
      <w:hyperlink w:anchor="_ENREF_97" w:tooltip="Pegram, 2007 #370" w:history="1">
        <w:r w:rsidR="00512D09" w:rsidRPr="00BE75B4">
          <w:fldChar w:fldCharType="begin"/>
        </w:r>
        <w:r w:rsidR="00512D09">
          <w:instrText xml:space="preserve"> ADDIN EN.CITE &lt;EndNote&gt;&lt;Cite&gt;&lt;Author&gt;Pegram&lt;/Author&gt;&lt;Year&gt;2007&lt;/Year&gt;&lt;RecNum&gt;370&lt;/RecNum&gt;&lt;DisplayText&gt;&lt;style face="superscript"&gt;97&lt;/style&gt;&lt;/DisplayText&gt;&lt;record&gt;&lt;rec-number&gt;370&lt;/rec-number&gt;&lt;foreign-keys&gt;&lt;key app="EN" db-id="5trrespwzsdr07efd5tx2w96x22re9s0fsdt"&gt;370&lt;/key&gt;&lt;/foreign-keys&gt;&lt;ref-type name="Journal Article"&gt;17&lt;/ref-type&gt;&lt;contributors&gt;&lt;authors&gt;&lt;author&gt;Pegram, Laurel M.&lt;/author&gt;&lt;author&gt;Record, M. Thomas&lt;/author&gt;&lt;/authors&gt;&lt;/contributors&gt;&lt;titles&gt;&lt;title&gt;Hofmeister Salt Effects on Surface Tension Arise from Partitioning of Anions and Cations between Bulk Water and the Air−Water Interface&lt;/title&gt;&lt;secondary-title&gt;The Journal of Physical Chemistry B&lt;/secondary-title&gt;&lt;/titles&gt;&lt;periodical&gt;&lt;full-title&gt;The Journal of Physical Chemistry B&lt;/full-title&gt;&lt;/periodical&gt;&lt;pages&gt;5411-5417&lt;/pages&gt;&lt;volume&gt;111&lt;/volume&gt;&lt;number&gt;19&lt;/number&gt;&lt;dates&gt;&lt;year&gt;2007&lt;/year&gt;&lt;pub-dates&gt;&lt;date&gt;2007/05/01&lt;/date&gt;&lt;/pub-dates&gt;&lt;/dates&gt;&lt;publisher&gt;American Chemical Society&lt;/publisher&gt;&lt;isbn&gt;1520-6106&lt;/isbn&gt;&lt;urls&gt;&lt;related-urls&gt;&lt;url&gt;http://dx.doi.org/10.1021/jp070245z&lt;/url&gt;&lt;/related-urls&gt;&lt;/urls&gt;&lt;electronic-resource-num&gt;10.1021/jp070245z&lt;/electronic-resource-num&gt;&lt;access-date&gt;2014/05/19&lt;/access-date&gt;&lt;/record&gt;&lt;/Cite&gt;&lt;/EndNote&gt;</w:instrText>
        </w:r>
        <w:r w:rsidR="00512D09" w:rsidRPr="00BE75B4">
          <w:fldChar w:fldCharType="separate"/>
        </w:r>
        <w:r w:rsidR="00512D09" w:rsidRPr="00F80CAD">
          <w:rPr>
            <w:noProof/>
            <w:vertAlign w:val="superscript"/>
          </w:rPr>
          <w:t>97</w:t>
        </w:r>
        <w:r w:rsidR="00512D09" w:rsidRPr="00BE75B4">
          <w:fldChar w:fldCharType="end"/>
        </w:r>
      </w:hyperlink>
      <w:r w:rsidRPr="00BE75B4">
        <w:t xml:space="preserve">  Whilst those ions that favour the bulk over the air-water interface such as F</w:t>
      </w:r>
      <w:r w:rsidRPr="00BE75B4">
        <w:rPr>
          <w:vertAlign w:val="superscript"/>
        </w:rPr>
        <w:t>-</w:t>
      </w:r>
      <w:r w:rsidRPr="00BE75B4">
        <w:t xml:space="preserve"> reduce the exposure of the protein surface to water by aggregation, precipitation or protein folding. </w:t>
      </w:r>
      <w:r w:rsidR="002E4790">
        <w:t>Acetate</w:t>
      </w:r>
      <w:r w:rsidRPr="00BE75B4">
        <w:t xml:space="preserve"> is an exception as it accumulates at the air</w:t>
      </w:r>
      <w:r w:rsidR="00F329CD">
        <w:t>-</w:t>
      </w:r>
      <w:r w:rsidRPr="00BE75B4">
        <w:t xml:space="preserve"> water interface but it decreases protein exposure to water. Pegram and Record believed this was due to the poor solvation of the methyl group leading to the hydrophobic effect expelling this to the surface</w:t>
      </w:r>
      <w:r w:rsidR="00C82662">
        <w:t>.</w:t>
      </w:r>
      <w:r w:rsidRPr="00BE75B4">
        <w:t xml:space="preserve"> </w:t>
      </w:r>
      <w:hyperlink w:anchor="_ENREF_97" w:tooltip="Pegram, 2007 #370" w:history="1">
        <w:r w:rsidR="00512D09" w:rsidRPr="00BE75B4">
          <w:fldChar w:fldCharType="begin"/>
        </w:r>
        <w:r w:rsidR="00512D09">
          <w:instrText xml:space="preserve"> ADDIN EN.CITE &lt;EndNote&gt;&lt;Cite&gt;&lt;Author&gt;Pegram&lt;/Author&gt;&lt;Year&gt;2007&lt;/Year&gt;&lt;RecNum&gt;370&lt;/RecNum&gt;&lt;DisplayText&gt;&lt;style face="superscript"&gt;97&lt;/style&gt;&lt;/DisplayText&gt;&lt;record&gt;&lt;rec-number&gt;370&lt;/rec-number&gt;&lt;foreign-keys&gt;&lt;key app="EN" db-id="5trrespwzsdr07efd5tx2w96x22re9s0fsdt"&gt;370&lt;/key&gt;&lt;/foreign-keys&gt;&lt;ref-type name="Journal Article"&gt;17&lt;/ref-type&gt;&lt;contributors&gt;&lt;authors&gt;&lt;author&gt;Pegram, Laurel M.&lt;/author&gt;&lt;author&gt;Record, M. Thomas&lt;/author&gt;&lt;/authors&gt;&lt;/contributors&gt;&lt;titles&gt;&lt;title&gt;Hofmeister Salt Effects on Surface Tension Arise from Partitioning of Anions and Cations between Bulk Water and the Air−Water Interface&lt;/title&gt;&lt;secondary-title&gt;The Journal of Physical Chemistry B&lt;/secondary-title&gt;&lt;/titles&gt;&lt;periodical&gt;&lt;full-title&gt;The Journal of Physical Chemistry B&lt;/full-title&gt;&lt;/periodical&gt;&lt;pages&gt;5411-5417&lt;/pages&gt;&lt;volume&gt;111&lt;/volume&gt;&lt;number&gt;19&lt;/number&gt;&lt;dates&gt;&lt;year&gt;2007&lt;/year&gt;&lt;pub-dates&gt;&lt;date&gt;2007/05/01&lt;/date&gt;&lt;/pub-dates&gt;&lt;/dates&gt;&lt;publisher&gt;American Chemical Society&lt;/publisher&gt;&lt;isbn&gt;1520-6106&lt;/isbn&gt;&lt;urls&gt;&lt;related-urls&gt;&lt;url&gt;http://dx.doi.org/10.1021/jp070245z&lt;/url&gt;&lt;/related-urls&gt;&lt;/urls&gt;&lt;electronic-resource-num&gt;10.1021/jp070245z&lt;/electronic-resource-num&gt;&lt;access-date&gt;2014/05/19&lt;/access-date&gt;&lt;/record&gt;&lt;/Cite&gt;&lt;/EndNote&gt;</w:instrText>
        </w:r>
        <w:r w:rsidR="00512D09" w:rsidRPr="00BE75B4">
          <w:fldChar w:fldCharType="separate"/>
        </w:r>
        <w:r w:rsidR="00512D09" w:rsidRPr="00F80CAD">
          <w:rPr>
            <w:noProof/>
            <w:vertAlign w:val="superscript"/>
          </w:rPr>
          <w:t>97</w:t>
        </w:r>
        <w:r w:rsidR="00512D09" w:rsidRPr="00BE75B4">
          <w:fldChar w:fldCharType="end"/>
        </w:r>
      </w:hyperlink>
      <w:r w:rsidRPr="00BE75B4">
        <w:t xml:space="preserve"> </w:t>
      </w:r>
    </w:p>
    <w:p w:rsidR="00BE75B4" w:rsidRPr="00BE75B4" w:rsidRDefault="00BE75B4" w:rsidP="00217116">
      <w:pPr>
        <w:spacing w:line="480" w:lineRule="auto"/>
        <w:jc w:val="both"/>
      </w:pPr>
      <w:r w:rsidRPr="00BE75B4">
        <w:t>Various models have been proposed for the action of Hofmeister salts at the air-water interface for differing concentrations of salts</w:t>
      </w:r>
      <w:r w:rsidR="00C82662">
        <w:t>.</w:t>
      </w:r>
      <w:hyperlink w:anchor="_ENREF_98" w:tooltip="Slavchov, 2012 #372" w:history="1">
        <w:r w:rsidR="00512D09" w:rsidRPr="00BE75B4">
          <w:fldChar w:fldCharType="begin"/>
        </w:r>
        <w:r w:rsidR="00512D09">
          <w:instrText xml:space="preserve"> ADDIN EN.CITE &lt;EndNote&gt;&lt;Cite&gt;&lt;Author&gt;Slavchov&lt;/Author&gt;&lt;Year&gt;2012&lt;/Year&gt;&lt;RecNum&gt;372&lt;/RecNum&gt;&lt;DisplayText&gt;&lt;style face="superscript"&gt;98&lt;/style&gt;&lt;/DisplayText&gt;&lt;record&gt;&lt;rec-number&gt;372&lt;/rec-number&gt;&lt;foreign-keys&gt;&lt;key app="EN" db-id="5trrespwzsdr07efd5tx2w96x22re9s0fsdt"&gt;372&lt;/key&gt;&lt;/foreign-keys&gt;&lt;ref-type name="Journal Article"&gt;17&lt;/ref-type&gt;&lt;contributors&gt;&lt;authors&gt;&lt;author&gt;Slavchov, Radomir I.&lt;/author&gt;&lt;author&gt;Novev, Javor K.&lt;/author&gt;&lt;/authors&gt;&lt;/contributors&gt;&lt;titles&gt;&lt;title&gt;Surface tension of concentrated electrolyte solutions&lt;/title&gt;&lt;secondary-title&gt;Journal of Colloid and Interface Science&lt;/secondary-title&gt;&lt;/titles&gt;&lt;periodical&gt;&lt;full-title&gt;Journal of Colloid and Interface Science&lt;/full-title&gt;&lt;/periodical&gt;&lt;pages&gt;234-243&lt;/pages&gt;&lt;volume&gt;387&lt;/volume&gt;&lt;number&gt;1&lt;/number&gt;&lt;keywords&gt;&lt;keyword&gt;Surface tension&lt;/keyword&gt;&lt;keyword&gt;Aqueous electrolyte solution&lt;/keyword&gt;&lt;keyword&gt;Brine&lt;/keyword&gt;&lt;keyword&gt;Hofmeister series&lt;/keyword&gt;&lt;keyword&gt;Ion-specific effect&lt;/keyword&gt;&lt;keyword&gt;Hydrophobic interaction&lt;/keyword&gt;&lt;/keywords&gt;&lt;dates&gt;&lt;year&gt;2012&lt;/year&gt;&lt;/dates&gt;&lt;isbn&gt;0021-9797&lt;/isbn&gt;&lt;urls&gt;&lt;related-urls&gt;&lt;url&gt;http://www.sciencedirect.com/science/article/pii/S0021979712007758&lt;/url&gt;&lt;/related-urls&gt;&lt;/urls&gt;&lt;electronic-resource-num&gt;http://dx.doi.org/10.1016/j.jcis.2012.07.020&lt;/electronic-resource-num&gt;&lt;/record&gt;&lt;/Cite&gt;&lt;/EndNote&gt;</w:instrText>
        </w:r>
        <w:r w:rsidR="00512D09" w:rsidRPr="00BE75B4">
          <w:fldChar w:fldCharType="separate"/>
        </w:r>
        <w:r w:rsidR="00512D09" w:rsidRPr="00F80CAD">
          <w:rPr>
            <w:noProof/>
            <w:vertAlign w:val="superscript"/>
          </w:rPr>
          <w:t>98</w:t>
        </w:r>
        <w:r w:rsidR="00512D09" w:rsidRPr="00BE75B4">
          <w:fldChar w:fldCharType="end"/>
        </w:r>
      </w:hyperlink>
      <w:r w:rsidRPr="00BE75B4">
        <w:t xml:space="preserve"> Schmutzer’s model seems to hold for the</w:t>
      </w:r>
      <w:r w:rsidR="007048FC">
        <w:t xml:space="preserve"> concentration region between 0</w:t>
      </w:r>
      <w:r w:rsidRPr="00BE75B4">
        <w:t>-1 mol/kg.  The model details that below 0.25 mol/kg electrostatics dominate surface tension effects whilst at higher concentrations hy</w:t>
      </w:r>
      <w:r w:rsidR="00546E4A">
        <w:t xml:space="preserve">dration becomes dominant. This </w:t>
      </w:r>
      <w:r w:rsidRPr="00BE75B4">
        <w:t xml:space="preserve">is due to screening with increasing concentration meaning that image forces no longer repel ions at the surface, whilst the hydration shell around the ion </w:t>
      </w:r>
      <w:r w:rsidRPr="00BE75B4">
        <w:lastRenderedPageBreak/>
        <w:t>stays constant. Although able to give approximate simulations to the surface tension effects, the model does deviate from the experimental data.  Slavchov and Novev detailed some observations pertinent to the deviations. All the ions that deviate from the model have ionic radii larger than 2 Å, with larger ions yielding larger deviations. Partial dehydration of the ions led to a better agreement between the model and experimental data, but failed in some cases particularity with ions larger than 2.1 Å. Marcus also found no correlation between ions and</w:t>
      </w:r>
      <w:r w:rsidR="002E4790">
        <w:t xml:space="preserve"> the Gibbs free energy of hydration</w:t>
      </w:r>
      <w:r w:rsidRPr="00BE75B4">
        <w:t xml:space="preserve"> </w:t>
      </w:r>
      <w:r w:rsidR="002E4790">
        <w:t>(</w:t>
      </w:r>
      <w:r w:rsidRPr="00BE75B4">
        <w:t>Δ</w:t>
      </w:r>
      <w:r w:rsidRPr="00BE75B4">
        <w:rPr>
          <w:vertAlign w:val="subscript"/>
        </w:rPr>
        <w:t>hyd</w:t>
      </w:r>
      <w:r w:rsidRPr="00BE75B4">
        <w:rPr>
          <w:i/>
          <w:iCs/>
        </w:rPr>
        <w:t>G</w:t>
      </w:r>
      <w:r w:rsidRPr="00BE75B4">
        <w:rPr>
          <w:vertAlign w:val="subscript"/>
        </w:rPr>
        <w:t>i</w:t>
      </w:r>
      <w:r w:rsidRPr="00BE75B4">
        <w:t>°</w:t>
      </w:r>
      <w:r w:rsidR="002E4790">
        <w:t>)</w:t>
      </w:r>
      <w:r w:rsidRPr="00BE75B4">
        <w:t xml:space="preserve"> concluding that ion dehydration does not play a major role in the desorption of ions from the surface</w:t>
      </w:r>
      <w:r w:rsidR="00C82662">
        <w:t>.</w:t>
      </w:r>
      <w:hyperlink w:anchor="_ENREF_99" w:tooltip="Marcus, 2013 #375" w:history="1">
        <w:r w:rsidR="00512D09" w:rsidRPr="00BE75B4">
          <w:fldChar w:fldCharType="begin"/>
        </w:r>
        <w:r w:rsidR="00512D09">
          <w:instrText xml:space="preserve"> ADDIN EN.CITE &lt;EndNote&gt;&lt;Cite&gt;&lt;Author&gt;Marcus&lt;/Author&gt;&lt;Year&gt;2013&lt;/Year&gt;&lt;RecNum&gt;375&lt;/RecNum&gt;&lt;DisplayText&gt;&lt;style face="superscript"&gt;99&lt;/style&gt;&lt;/DisplayText&gt;&lt;record&gt;&lt;rec-number&gt;375&lt;/rec-number&gt;&lt;foreign-keys&gt;&lt;key app="EN" db-id="5trrespwzsdr07efd5tx2w96x22re9s0fsdt"&gt;375&lt;/key&gt;&lt;/foreign-keys&gt;&lt;ref-type name="Journal Article"&gt;17&lt;/ref-type&gt;&lt;contributors&gt;&lt;authors&gt;&lt;author&gt;Marcus, Yizhak&lt;/author&gt;&lt;/authors&gt;&lt;/contributors&gt;&lt;titles&gt;&lt;title&gt;Individual Ionic Surface Tension Increments in Aqueous Solutions&lt;/title&gt;&lt;secondary-title&gt;Langmuir&lt;/secondary-title&gt;&lt;/titles&gt;&lt;periodical&gt;&lt;full-title&gt;Langmuir&lt;/full-title&gt;&lt;/periodical&gt;&lt;pages&gt;2881-2888&lt;/pages&gt;&lt;volume&gt;29&lt;/volume&gt;&lt;number&gt;9&lt;/number&gt;&lt;dates&gt;&lt;year&gt;2013&lt;/year&gt;&lt;pub-dates&gt;&lt;date&gt;2013/03/05&lt;/date&gt;&lt;/pub-dates&gt;&lt;/dates&gt;&lt;publisher&gt;American Chemical Society&lt;/publisher&gt;&lt;isbn&gt;0743-7463&lt;/isbn&gt;&lt;urls&gt;&lt;related-urls&gt;&lt;url&gt;http://dx.doi.org/10.1021/la3041659&lt;/url&gt;&lt;/related-urls&gt;&lt;/urls&gt;&lt;electronic-resource-num&gt;10.1021/la3041659&lt;/electronic-resource-num&gt;&lt;access-date&gt;2014/05/20&lt;/access-date&gt;&lt;/record&gt;&lt;/Cite&gt;&lt;/EndNote&gt;</w:instrText>
        </w:r>
        <w:r w:rsidR="00512D09" w:rsidRPr="00BE75B4">
          <w:fldChar w:fldCharType="separate"/>
        </w:r>
        <w:r w:rsidR="00512D09" w:rsidRPr="00F80CAD">
          <w:rPr>
            <w:noProof/>
            <w:vertAlign w:val="superscript"/>
          </w:rPr>
          <w:t>99</w:t>
        </w:r>
        <w:r w:rsidR="00512D09" w:rsidRPr="00BE75B4">
          <w:fldChar w:fldCharType="end"/>
        </w:r>
      </w:hyperlink>
      <w:r w:rsidRPr="00BE75B4">
        <w:t xml:space="preserve">  It was suggested that as water is supposedly less dense at the air-water interface and so subsequent accumulation of ions that disturb the structure of bulk water is entropically favoured.  As this effect is missing from the models, it was suggested to be a reason behind the discrepancies. </w:t>
      </w:r>
    </w:p>
    <w:p w:rsidR="00BE75B4" w:rsidRPr="00BE75B4" w:rsidRDefault="00BE75B4" w:rsidP="001D0B51">
      <w:pPr>
        <w:spacing w:line="480" w:lineRule="auto"/>
      </w:pPr>
      <w:r w:rsidRPr="00BE75B4">
        <w:t>Molar refractivity yields a measure of the polarisability of an ion and details information regarding the size and charge</w:t>
      </w:r>
      <w:r w:rsidR="00C82662">
        <w:t>.</w:t>
      </w:r>
      <w:hyperlink w:anchor="_ENREF_99" w:tooltip="Marcus, 2013 #375" w:history="1">
        <w:r w:rsidR="00512D09" w:rsidRPr="00BE75B4">
          <w:fldChar w:fldCharType="begin"/>
        </w:r>
        <w:r w:rsidR="00512D09">
          <w:instrText xml:space="preserve"> ADDIN EN.CITE &lt;EndNote&gt;&lt;Cite&gt;&lt;Author&gt;Marcus&lt;/Author&gt;&lt;Year&gt;2013&lt;/Year&gt;&lt;RecNum&gt;375&lt;/RecNum&gt;&lt;DisplayText&gt;&lt;style face="superscript"&gt;99&lt;/style&gt;&lt;/DisplayText&gt;&lt;record&gt;&lt;rec-number&gt;375&lt;/rec-number&gt;&lt;foreign-keys&gt;&lt;key app="EN" db-id="5trrespwzsdr07efd5tx2w96x22re9s0fsdt"&gt;375&lt;/key&gt;&lt;/foreign-keys&gt;&lt;ref-type name="Journal Article"&gt;17&lt;/ref-type&gt;&lt;contributors&gt;&lt;authors&gt;&lt;author&gt;Marcus, Yizhak&lt;/author&gt;&lt;/authors&gt;&lt;/contributors&gt;&lt;titles&gt;&lt;title&gt;Individual Ionic Surface Tension Increments in Aqueous Solutions&lt;/title&gt;&lt;secondary-title&gt;Langmuir&lt;/secondary-title&gt;&lt;/titles&gt;&lt;periodical&gt;&lt;full-title&gt;Langmuir&lt;/full-title&gt;&lt;/periodical&gt;&lt;pages&gt;2881-2888&lt;/pages&gt;&lt;volume&gt;29&lt;/volume&gt;&lt;number&gt;9&lt;/number&gt;&lt;dates&gt;&lt;year&gt;2013&lt;/year&gt;&lt;pub-dates&gt;&lt;date&gt;2013/03/05&lt;/date&gt;&lt;/pub-dates&gt;&lt;/dates&gt;&lt;publisher&gt;American Chemical Society&lt;/publisher&gt;&lt;isbn&gt;0743-7463&lt;/isbn&gt;&lt;urls&gt;&lt;related-urls&gt;&lt;url&gt;http://dx.doi.org/10.1021/la3041659&lt;/url&gt;&lt;/related-urls&gt;&lt;/urls&gt;&lt;electronic-resource-num&gt;10.1021/la3041659&lt;/electronic-resource-num&gt;&lt;access-date&gt;2014/05/20&lt;/access-date&gt;&lt;/record&gt;&lt;/Cite&gt;&lt;/EndNote&gt;</w:instrText>
        </w:r>
        <w:r w:rsidR="00512D09" w:rsidRPr="00BE75B4">
          <w:fldChar w:fldCharType="separate"/>
        </w:r>
        <w:r w:rsidR="00512D09" w:rsidRPr="00F80CAD">
          <w:rPr>
            <w:noProof/>
            <w:vertAlign w:val="superscript"/>
          </w:rPr>
          <w:t>99</w:t>
        </w:r>
        <w:r w:rsidR="00512D09" w:rsidRPr="00BE75B4">
          <w:fldChar w:fldCharType="end"/>
        </w:r>
      </w:hyperlink>
      <w:r w:rsidR="00C82662">
        <w:t xml:space="preserve"> </w:t>
      </w:r>
      <w:r w:rsidRPr="00BE75B4">
        <w:t xml:space="preserve">There is a good correlation with excess molar refractivity and the change in surface tension with anions having smaller molar refractivity values producing larger increases in </w:t>
      </w:r>
      <w:r w:rsidR="000E6516">
        <w:t xml:space="preserve">incremental </w:t>
      </w:r>
      <w:r w:rsidRPr="00BE75B4">
        <w:t>surface tension, however with the larger ClO</w:t>
      </w:r>
      <w:r w:rsidRPr="00BE75B4">
        <w:rPr>
          <w:vertAlign w:val="subscript"/>
        </w:rPr>
        <w:t>4</w:t>
      </w:r>
      <w:r w:rsidRPr="00BE75B4">
        <w:rPr>
          <w:vertAlign w:val="superscript"/>
        </w:rPr>
        <w:t>-</w:t>
      </w:r>
      <w:r w:rsidRPr="00BE75B4">
        <w:t xml:space="preserve"> and SCN ions this breaks down yielding similar </w:t>
      </w:r>
      <w:r w:rsidR="00FB09EF" w:rsidRPr="00FB09EF">
        <w:rPr>
          <w:iCs/>
        </w:rPr>
        <w:t>surface tension values</w:t>
      </w:r>
      <w:r w:rsidRPr="00BE75B4">
        <w:t>. This is due to the larger bulk water structure breaking effect of ClO</w:t>
      </w:r>
      <w:r w:rsidRPr="00BE75B4">
        <w:rPr>
          <w:vertAlign w:val="subscript"/>
        </w:rPr>
        <w:t>4</w:t>
      </w:r>
      <w:r w:rsidRPr="00BE75B4">
        <w:rPr>
          <w:vertAlign w:val="superscript"/>
        </w:rPr>
        <w:t>-</w:t>
      </w:r>
      <w:r w:rsidRPr="00BE75B4">
        <w:t xml:space="preserve"> than that of SCN causing the former ion to be pushed towards t</w:t>
      </w:r>
      <w:r w:rsidR="000E6516">
        <w:t>he surface.</w:t>
      </w:r>
      <w:r w:rsidRPr="00BE75B4">
        <w:rPr>
          <w:i/>
          <w:iCs/>
        </w:rPr>
        <w:t xml:space="preserve"> </w:t>
      </w:r>
      <w:hyperlink w:anchor="_ENREF_99" w:tooltip="Marcus, 2013 #375" w:history="1">
        <w:r w:rsidR="00512D09" w:rsidRPr="00BE75B4">
          <w:rPr>
            <w:iCs/>
          </w:rPr>
          <w:fldChar w:fldCharType="begin"/>
        </w:r>
        <w:r w:rsidR="00512D09">
          <w:rPr>
            <w:iCs/>
          </w:rPr>
          <w:instrText xml:space="preserve"> ADDIN EN.CITE &lt;EndNote&gt;&lt;Cite&gt;&lt;Author&gt;Marcus&lt;/Author&gt;&lt;Year&gt;2013&lt;/Year&gt;&lt;RecNum&gt;375&lt;/RecNum&gt;&lt;DisplayText&gt;&lt;style face="superscript"&gt;99&lt;/style&gt;&lt;/DisplayText&gt;&lt;record&gt;&lt;rec-number&gt;375&lt;/rec-number&gt;&lt;foreign-keys&gt;&lt;key app="EN" db-id="5trrespwzsdr07efd5tx2w96x22re9s0fsdt"&gt;375&lt;/key&gt;&lt;/foreign-keys&gt;&lt;ref-type name="Journal Article"&gt;17&lt;/ref-type&gt;&lt;contributors&gt;&lt;authors&gt;&lt;author&gt;Marcus, Yizhak&lt;/author&gt;&lt;/authors&gt;&lt;/contributors&gt;&lt;titles&gt;&lt;title&gt;Individual Ionic Surface Tension Increments in Aqueous Solutions&lt;/title&gt;&lt;secondary-title&gt;Langmuir&lt;/secondary-title&gt;&lt;/titles&gt;&lt;periodical&gt;&lt;full-title&gt;Langmuir&lt;/full-title&gt;&lt;/periodical&gt;&lt;pages&gt;2881-2888&lt;/pages&gt;&lt;volume&gt;29&lt;/volume&gt;&lt;number&gt;9&lt;/number&gt;&lt;dates&gt;&lt;year&gt;2013&lt;/year&gt;&lt;pub-dates&gt;&lt;date&gt;2013/03/05&lt;/date&gt;&lt;/pub-dates&gt;&lt;/dates&gt;&lt;publisher&gt;American Chemical Society&lt;/publisher&gt;&lt;isbn&gt;0743-7463&lt;/isbn&gt;&lt;urls&gt;&lt;related-urls&gt;&lt;url&gt;http://dx.doi.org/10.1021/la3041659&lt;/url&gt;&lt;/related-urls&gt;&lt;/urls&gt;&lt;electronic-resource-num&gt;10.1021/la3041659&lt;/electronic-resource-num&gt;&lt;access-date&gt;2014/05/20&lt;/access-date&gt;&lt;/record&gt;&lt;/Cite&gt;&lt;/EndNote&gt;</w:instrText>
        </w:r>
        <w:r w:rsidR="00512D09" w:rsidRPr="00BE75B4">
          <w:rPr>
            <w:iCs/>
          </w:rPr>
          <w:fldChar w:fldCharType="separate"/>
        </w:r>
        <w:r w:rsidR="00512D09" w:rsidRPr="00F80CAD">
          <w:rPr>
            <w:iCs/>
            <w:noProof/>
            <w:vertAlign w:val="superscript"/>
          </w:rPr>
          <w:t>99</w:t>
        </w:r>
        <w:r w:rsidR="00512D09" w:rsidRPr="00BE75B4">
          <w:fldChar w:fldCharType="end"/>
        </w:r>
      </w:hyperlink>
      <w:r w:rsidRPr="00BE75B4">
        <w:rPr>
          <w:iCs/>
        </w:rPr>
        <w:t xml:space="preserve"> </w:t>
      </w:r>
    </w:p>
    <w:p w:rsidR="00BE75B4" w:rsidRPr="00BE75B4" w:rsidRDefault="00BE75B4" w:rsidP="001D0B51">
      <w:pPr>
        <w:spacing w:line="480" w:lineRule="auto"/>
      </w:pPr>
      <w:r w:rsidRPr="00BE75B4">
        <w:t>In 1937, Jones and Ray discovered a surface tension decrease upon addition off KCl, CsNO</w:t>
      </w:r>
      <w:r w:rsidRPr="00BE75B4">
        <w:rPr>
          <w:vertAlign w:val="subscript"/>
        </w:rPr>
        <w:t xml:space="preserve">3 </w:t>
      </w:r>
      <w:r w:rsidRPr="00BE75B4">
        <w:t>and K</w:t>
      </w:r>
      <w:r w:rsidRPr="00BE75B4">
        <w:rPr>
          <w:vertAlign w:val="subscript"/>
        </w:rPr>
        <w:t>2</w:t>
      </w:r>
      <w:r w:rsidRPr="00BE75B4">
        <w:t>SO</w:t>
      </w:r>
      <w:r w:rsidRPr="00BE75B4">
        <w:rPr>
          <w:vertAlign w:val="subscript"/>
        </w:rPr>
        <w:t>4</w:t>
      </w:r>
      <w:r w:rsidRPr="00BE75B4">
        <w:t xml:space="preserve"> solutions using the capillary rise method  </w:t>
      </w:r>
      <w:hyperlink w:anchor="_ENREF_100" w:tooltip="Petersen, 2004 #374" w:history="1">
        <w:r w:rsidR="00512D09" w:rsidRPr="00BE75B4">
          <w:fldChar w:fldCharType="begin"/>
        </w:r>
        <w:r w:rsidR="00512D09">
          <w:instrText xml:space="preserve"> ADDIN EN.CITE &lt;EndNote&gt;&lt;Cite&gt;&lt;Author&gt;Petersen&lt;/Author&gt;&lt;Year&gt;2004&lt;/Year&gt;&lt;RecNum&gt;374&lt;/RecNum&gt;&lt;DisplayText&gt;&lt;style face="superscript"&gt;100&lt;/style&gt;&lt;/DisplayText&gt;&lt;record&gt;&lt;rec-number&gt;374&lt;/rec-number&gt;&lt;foreign-keys&gt;&lt;key app="EN" db-id="5trrespwzsdr07efd5tx2w96x22re9s0fsdt"&gt;374&lt;/key&gt;&lt;/foreign-keys&gt;&lt;ref-type name="Journal Article"&gt;17&lt;/ref-type&gt;&lt;contributors&gt;&lt;authors&gt;&lt;author&gt;Petersen, Poul B.&lt;/author&gt;&lt;author&gt;Johnson, Justin C.&lt;/author&gt;&lt;author&gt;Knutsen, Kelly P.&lt;/author&gt;&lt;author&gt;Saykally, Richard J.&lt;/author&gt;&lt;/authors&gt;&lt;/contributors&gt;&lt;titles&gt;&lt;title&gt;Direct experimental validation of the Jones–Ray effect&lt;/title&gt;&lt;secondary-title&gt;Chemical Physics Letters&lt;/secondary-title&gt;&lt;/titles&gt;&lt;periodical&gt;&lt;full-title&gt;Chemical Physics Letters&lt;/full-title&gt;&lt;/periodical&gt;&lt;pages&gt;46-50&lt;/pages&gt;&lt;volume&gt;397&lt;/volume&gt;&lt;number&gt;1–3&lt;/number&gt;&lt;dates&gt;&lt;year&gt;2004&lt;/year&gt;&lt;/dates&gt;&lt;isbn&gt;0009-2614&lt;/isbn&gt;&lt;urls&gt;&lt;related-urls&gt;&lt;url&gt;http://www.sciencedirect.com/science/article/pii/S0009261404012175&lt;/url&gt;&lt;/related-urls&gt;&lt;/urls&gt;&lt;electronic-resource-num&gt;http://dx.doi.org/10.1016/j.cplett.2004.08.048&lt;/electronic-resource-num&gt;&lt;/record&gt;&lt;/Cite&gt;&lt;/EndNote&gt;</w:instrText>
        </w:r>
        <w:r w:rsidR="00512D09" w:rsidRPr="00BE75B4">
          <w:fldChar w:fldCharType="separate"/>
        </w:r>
        <w:r w:rsidR="00512D09" w:rsidRPr="00F80CAD">
          <w:rPr>
            <w:noProof/>
            <w:vertAlign w:val="superscript"/>
          </w:rPr>
          <w:t>100</w:t>
        </w:r>
        <w:r w:rsidR="00512D09" w:rsidRPr="00BE75B4">
          <w:fldChar w:fldCharType="end"/>
        </w:r>
      </w:hyperlink>
      <w:r w:rsidRPr="00BE75B4">
        <w:t xml:space="preserve">. However, this was later on refuted as an experimental artefact until further work done by Dole, Jones and Ray. More recently, Petersen </w:t>
      </w:r>
      <w:r w:rsidR="002D4FF8">
        <w:rPr>
          <w:i/>
        </w:rPr>
        <w:t xml:space="preserve">et al. </w:t>
      </w:r>
      <w:r w:rsidRPr="00BE75B4">
        <w:t xml:space="preserve"> has used resonance enhanced femtosecond second harmonic generation spectroscopy to investigate the Jones-Ray effect on a molecular level</w:t>
      </w:r>
      <w:r w:rsidR="00C82662">
        <w:t>.</w:t>
      </w:r>
      <w:r w:rsidRPr="00BE75B4">
        <w:t xml:space="preserve"> </w:t>
      </w:r>
      <w:hyperlink w:anchor="_ENREF_100" w:tooltip="Petersen, 2004 #374" w:history="1">
        <w:r w:rsidR="00512D09" w:rsidRPr="00BE75B4">
          <w:fldChar w:fldCharType="begin"/>
        </w:r>
        <w:r w:rsidR="00512D09">
          <w:instrText xml:space="preserve"> ADDIN EN.CITE &lt;EndNote&gt;&lt;Cite&gt;&lt;Author&gt;Petersen&lt;/Author&gt;&lt;Year&gt;2004&lt;/Year&gt;&lt;RecNum&gt;374&lt;/RecNum&gt;&lt;DisplayText&gt;&lt;style face="superscript"&gt;100&lt;/style&gt;&lt;/DisplayText&gt;&lt;record&gt;&lt;rec-number&gt;374&lt;/rec-number&gt;&lt;foreign-keys&gt;&lt;key app="EN" db-id="5trrespwzsdr07efd5tx2w96x22re9s0fsdt"&gt;374&lt;/key&gt;&lt;/foreign-keys&gt;&lt;ref-type name="Journal Article"&gt;17&lt;/ref-type&gt;&lt;contributors&gt;&lt;authors&gt;&lt;author&gt;Petersen, Poul B.&lt;/author&gt;&lt;author&gt;Johnson, Justin C.&lt;/author&gt;&lt;author&gt;Knutsen, Kelly P.&lt;/author&gt;&lt;author&gt;Saykally, Richard J.&lt;/author&gt;&lt;/authors&gt;&lt;/contributors&gt;&lt;titles&gt;&lt;title&gt;Direct experimental validation of the Jones–Ray effect&lt;/title&gt;&lt;secondary-title&gt;Chemical Physics Letters&lt;/secondary-title&gt;&lt;/titles&gt;&lt;periodical&gt;&lt;full-title&gt;Chemical Physics Letters&lt;/full-title&gt;&lt;/periodical&gt;&lt;pages&gt;46-50&lt;/pages&gt;&lt;volume&gt;397&lt;/volume&gt;&lt;number&gt;1–3&lt;/number&gt;&lt;dates&gt;&lt;year&gt;2004&lt;/year&gt;&lt;/dates&gt;&lt;isbn&gt;0009-2614&lt;/isbn&gt;&lt;urls&gt;&lt;related-urls&gt;&lt;url&gt;http://www.sciencedirect.com/science/article/pii/S0009261404012175&lt;/url&gt;&lt;/related-urls&gt;&lt;/urls&gt;&lt;electronic-resource-num&gt;http://dx.doi.org/10.1016/j.cplett.2004.08.048&lt;/electronic-resource-num&gt;&lt;/record&gt;&lt;/Cite&gt;&lt;/EndNote&gt;</w:instrText>
        </w:r>
        <w:r w:rsidR="00512D09" w:rsidRPr="00BE75B4">
          <w:fldChar w:fldCharType="separate"/>
        </w:r>
        <w:r w:rsidR="00512D09" w:rsidRPr="00F80CAD">
          <w:rPr>
            <w:noProof/>
            <w:vertAlign w:val="superscript"/>
          </w:rPr>
          <w:t>100</w:t>
        </w:r>
        <w:r w:rsidR="00512D09" w:rsidRPr="00BE75B4">
          <w:fldChar w:fldCharType="end"/>
        </w:r>
      </w:hyperlink>
      <w:r w:rsidRPr="00BE75B4">
        <w:t xml:space="preserve"> The Gibbs </w:t>
      </w:r>
      <w:r w:rsidR="00CD173D">
        <w:lastRenderedPageBreak/>
        <w:t>ad</w:t>
      </w:r>
      <w:r w:rsidRPr="00BE75B4">
        <w:t>sorption isotherm was negative yet the surface tension decreased despite the accumulation of iodide ions at 1 milimolar</w:t>
      </w:r>
      <w:r w:rsidR="00C82662">
        <w:t>.</w:t>
      </w:r>
      <w:r w:rsidRPr="00BE75B4">
        <w:t xml:space="preserve"> </w:t>
      </w:r>
      <w:hyperlink w:anchor="_ENREF_100" w:tooltip="Petersen, 2004 #374" w:history="1">
        <w:r w:rsidR="00512D09" w:rsidRPr="00BE75B4">
          <w:fldChar w:fldCharType="begin"/>
        </w:r>
        <w:r w:rsidR="00512D09">
          <w:instrText xml:space="preserve"> ADDIN EN.CITE &lt;EndNote&gt;&lt;Cite&gt;&lt;Author&gt;Petersen&lt;/Author&gt;&lt;Year&gt;2004&lt;/Year&gt;&lt;RecNum&gt;374&lt;/RecNum&gt;&lt;DisplayText&gt;&lt;style face="superscript"&gt;100&lt;/style&gt;&lt;/DisplayText&gt;&lt;record&gt;&lt;rec-number&gt;374&lt;/rec-number&gt;&lt;foreign-keys&gt;&lt;key app="EN" db-id="5trrespwzsdr07efd5tx2w96x22re9s0fsdt"&gt;374&lt;/key&gt;&lt;/foreign-keys&gt;&lt;ref-type name="Journal Article"&gt;17&lt;/ref-type&gt;&lt;contributors&gt;&lt;authors&gt;&lt;author&gt;Petersen, Poul B.&lt;/author&gt;&lt;author&gt;Johnson, Justin C.&lt;/author&gt;&lt;author&gt;Knutsen, Kelly P.&lt;/author&gt;&lt;author&gt;Saykally, Richard J.&lt;/author&gt;&lt;/authors&gt;&lt;/contributors&gt;&lt;titles&gt;&lt;title&gt;Direct experimental validation of the Jones–Ray effect&lt;/title&gt;&lt;secondary-title&gt;Chemical Physics Letters&lt;/secondary-title&gt;&lt;/titles&gt;&lt;periodical&gt;&lt;full-title&gt;Chemical Physics Letters&lt;/full-title&gt;&lt;/periodical&gt;&lt;pages&gt;46-50&lt;/pages&gt;&lt;volume&gt;397&lt;/volume&gt;&lt;number&gt;1–3&lt;/number&gt;&lt;dates&gt;&lt;year&gt;2004&lt;/year&gt;&lt;/dates&gt;&lt;isbn&gt;0009-2614&lt;/isbn&gt;&lt;urls&gt;&lt;related-urls&gt;&lt;url&gt;http://www.sciencedirect.com/science/article/pii/S0009261404012175&lt;/url&gt;&lt;/related-urls&gt;&lt;/urls&gt;&lt;electronic-resource-num&gt;http://dx.doi.org/10.1016/j.cplett.2004.08.048&lt;/electronic-resource-num&gt;&lt;/record&gt;&lt;/Cite&gt;&lt;/EndNote&gt;</w:instrText>
        </w:r>
        <w:r w:rsidR="00512D09" w:rsidRPr="00BE75B4">
          <w:fldChar w:fldCharType="separate"/>
        </w:r>
        <w:r w:rsidR="00512D09" w:rsidRPr="00F80CAD">
          <w:rPr>
            <w:noProof/>
            <w:vertAlign w:val="superscript"/>
          </w:rPr>
          <w:t>100</w:t>
        </w:r>
        <w:r w:rsidR="00512D09" w:rsidRPr="00BE75B4">
          <w:fldChar w:fldCharType="end"/>
        </w:r>
      </w:hyperlink>
    </w:p>
    <w:p w:rsidR="00BE75B4" w:rsidRPr="00BE75B4" w:rsidRDefault="00BE75B4" w:rsidP="001D0B51">
      <w:pPr>
        <w:spacing w:line="480" w:lineRule="auto"/>
      </w:pPr>
      <w:r w:rsidRPr="00BE75B4">
        <w:t>The enthalpy of surface formation decreases in the conce</w:t>
      </w:r>
      <w:r w:rsidR="00FB09EF">
        <w:t>ntration regime between 0.1 mol/</w:t>
      </w:r>
      <w:r w:rsidRPr="00BE75B4">
        <w:t>kg to 2.00 mol</w:t>
      </w:r>
      <w:r w:rsidR="00FB09EF">
        <w:t>/</w:t>
      </w:r>
      <w:r w:rsidRPr="00BE75B4">
        <w:t xml:space="preserve"> kg showing no enthalpic temperature dependence.</w:t>
      </w:r>
      <w:hyperlink w:anchor="_ENREF_101" w:tooltip="Shah, 2013 #732" w:history="1">
        <w:r w:rsidR="00512D09">
          <w:fldChar w:fldCharType="begin">
            <w:fldData xml:space="preserve">PEVuZE5vdGU+PENpdGU+PEF1dGhvcj5TaGFoPC9BdXRob3I+PFllYXI+MjAxMzwvWWVhcj48UmVj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==
</w:fldData>
          </w:fldChar>
        </w:r>
        <w:r w:rsidR="00512D09">
          <w:instrText xml:space="preserve"> ADDIN EN.CITE </w:instrText>
        </w:r>
        <w:r w:rsidR="00512D09">
          <w:fldChar w:fldCharType="begin">
            <w:fldData xml:space="preserve">PEVuZE5vdGU+PENpdGU+PEF1dGhvcj5TaGFoPC9BdXRob3I+PFllYXI+MjAxMzwvWWVhcj48UmVj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==
</w:fldData>
          </w:fldChar>
        </w:r>
        <w:r w:rsidR="00512D09">
          <w:instrText xml:space="preserve"> ADDIN EN.CITE.DATA </w:instrText>
        </w:r>
        <w:r w:rsidR="00512D09">
          <w:fldChar w:fldCharType="end"/>
        </w:r>
        <w:r w:rsidR="00512D09">
          <w:fldChar w:fldCharType="separate"/>
        </w:r>
        <w:r w:rsidR="00512D09" w:rsidRPr="00F80CAD">
          <w:rPr>
            <w:noProof/>
            <w:vertAlign w:val="superscript"/>
          </w:rPr>
          <w:t>101</w:t>
        </w:r>
        <w:r w:rsidR="00512D09">
          <w:fldChar w:fldCharType="end"/>
        </w:r>
      </w:hyperlink>
      <w:r w:rsidRPr="00BE75B4">
        <w:t xml:space="preserve">  Surface tension was found to be temperature dependent diverging at higher concentration. This implies that the capacity of the bulk to hold ions beneath the surface decreases with increasing kinetic energy leading to an excess surface concentration and decreased surface tension.  The behaviour of entropy with concentration was found to be dependent on the nature of the salt. KCl, LiCl and NH</w:t>
      </w:r>
      <w:r w:rsidRPr="00BE75B4">
        <w:rPr>
          <w:vertAlign w:val="subscript"/>
        </w:rPr>
        <w:t>4</w:t>
      </w:r>
      <w:r w:rsidRPr="00BE75B4">
        <w:t>Cl showed an increase in entropy with increasing concentration with the KCl showing the largest increase. NH</w:t>
      </w:r>
      <w:r w:rsidRPr="00BE75B4">
        <w:rPr>
          <w:vertAlign w:val="subscript"/>
        </w:rPr>
        <w:t>4</w:t>
      </w:r>
      <w:r w:rsidRPr="00BE75B4">
        <w:t>NO</w:t>
      </w:r>
      <w:r w:rsidRPr="00BE75B4">
        <w:rPr>
          <w:vertAlign w:val="subscript"/>
        </w:rPr>
        <w:t>3</w:t>
      </w:r>
      <w:r w:rsidRPr="00BE75B4">
        <w:t xml:space="preserve"> exhibited both increases and decreases in entropy with increased concentration. Lastly, NaBr KNO</w:t>
      </w:r>
      <w:r w:rsidRPr="00BE75B4">
        <w:rPr>
          <w:vertAlign w:val="subscript"/>
        </w:rPr>
        <w:t>3</w:t>
      </w:r>
      <w:r w:rsidRPr="00BE75B4">
        <w:t xml:space="preserve"> and KBr showed decreases in entropy with increased concentration. </w:t>
      </w:r>
    </w:p>
    <w:p w:rsidR="00BE75B4" w:rsidRPr="00BE75B4" w:rsidRDefault="00BE75B4" w:rsidP="001D0B51">
      <w:pPr>
        <w:spacing w:line="480" w:lineRule="auto"/>
      </w:pPr>
      <w:r w:rsidRPr="00BE75B4">
        <w:t xml:space="preserve">Jungwirth and </w:t>
      </w:r>
      <w:r w:rsidR="00BE1B86">
        <w:t>Tobias reported a series of MDS</w:t>
      </w:r>
      <w:r w:rsidRPr="00BE75B4">
        <w:t xml:space="preserve"> using polarizable forcefields for a series of 1.2 M sodium chloride, bromide, iodide and fluoride solutions at air interfaces</w:t>
      </w:r>
      <w:r w:rsidR="00604275">
        <w:t>.</w:t>
      </w:r>
      <w:r w:rsidRPr="00BE75B4">
        <w:t xml:space="preserve"> </w:t>
      </w:r>
      <w:hyperlink w:anchor="_ENREF_102" w:tooltip="Jungwirth, 2001 #349" w:history="1">
        <w:r w:rsidR="00512D09" w:rsidRPr="00BE75B4">
          <w:fldChar w:fldCharType="begin"/>
        </w:r>
        <w:r w:rsidR="00512D09">
          <w:instrText xml:space="preserve"> ADDIN EN.CITE &lt;EndNote&gt;&lt;Cite&gt;&lt;Author&gt;Jungwirth&lt;/Author&gt;&lt;Year&gt;2001&lt;/Year&gt;&lt;RecNum&gt;349&lt;/RecNum&gt;&lt;DisplayText&gt;&lt;style face="superscript"&gt;102&lt;/style&gt;&lt;/DisplayText&gt;&lt;record&gt;&lt;rec-number&gt;349&lt;/rec-number&gt;&lt;foreign-keys&gt;&lt;key app="EN" db-id="5trrespwzsdr07efd5tx2w96x22re9s0fsdt"&gt;349&lt;/key&gt;&lt;/foreign-keys&gt;&lt;ref-type name="Journal Article"&gt;17&lt;/ref-type&gt;&lt;contributors&gt;&lt;authors&gt;&lt;author&gt;Jungwirth, Pavel&lt;/author&gt;&lt;author&gt;Tobias, Douglas J.&lt;/author&gt;&lt;/authors&gt;&lt;/contributors&gt;&lt;titles&gt;&lt;title&gt;Molecular Structure of Salt Solutions:  A New View of the Interface with Implications for Heterogeneous Atmospheric Chemistry&lt;/title&gt;&lt;secondary-title&gt;The Journal of Physical Chemistry B&lt;/secondary-title&gt;&lt;/titles&gt;&lt;periodical&gt;&lt;full-title&gt;The Journal of Physical Chemistry B&lt;/full-title&gt;&lt;/periodical&gt;&lt;pages&gt;10468-10472&lt;/pages&gt;&lt;volume&gt;105&lt;/volume&gt;&lt;number&gt;43&lt;/number&gt;&lt;dates&gt;&lt;year&gt;2001&lt;/year&gt;&lt;pub-dates&gt;&lt;date&gt;2001/11/01&lt;/date&gt;&lt;/pub-dates&gt;&lt;/dates&gt;&lt;publisher&gt;American Chemical Society&lt;/publisher&gt;&lt;isbn&gt;1520-6106&lt;/isbn&gt;&lt;urls&gt;&lt;related-urls&gt;&lt;url&gt;http://dx.doi.org/10.1021/jp012750g&lt;/url&gt;&lt;/related-urls&gt;&lt;/urls&gt;&lt;electronic-resource-num&gt;10.1021/jp012750g&lt;/electronic-resource-num&gt;&lt;access-date&gt;2014/03/10&lt;/access-date&gt;&lt;/record&gt;&lt;/Cite&gt;&lt;/EndNote&gt;</w:instrText>
        </w:r>
        <w:r w:rsidR="00512D09" w:rsidRPr="00BE75B4">
          <w:fldChar w:fldCharType="separate"/>
        </w:r>
        <w:r w:rsidR="00512D09" w:rsidRPr="00F80CAD">
          <w:rPr>
            <w:noProof/>
            <w:vertAlign w:val="superscript"/>
          </w:rPr>
          <w:t>102</w:t>
        </w:r>
        <w:r w:rsidR="00512D09" w:rsidRPr="00BE75B4">
          <w:fldChar w:fldCharType="end"/>
        </w:r>
      </w:hyperlink>
      <w:r w:rsidRPr="00BE75B4">
        <w:t xml:space="preserve"> They reported that Br</w:t>
      </w:r>
      <w:r w:rsidRPr="00BE75B4">
        <w:rPr>
          <w:vertAlign w:val="superscript"/>
        </w:rPr>
        <w:t xml:space="preserve">- </w:t>
      </w:r>
      <w:r w:rsidRPr="00BE75B4">
        <w:t>and I</w:t>
      </w:r>
      <w:r w:rsidRPr="00BE75B4">
        <w:rPr>
          <w:vertAlign w:val="superscript"/>
        </w:rPr>
        <w:t>-</w:t>
      </w:r>
      <w:r w:rsidRPr="00BE75B4">
        <w:t xml:space="preserve"> accumulated in the interfacial region, F</w:t>
      </w:r>
      <w:r w:rsidRPr="00BE75B4">
        <w:rPr>
          <w:vertAlign w:val="superscript"/>
        </w:rPr>
        <w:t xml:space="preserve">- </w:t>
      </w:r>
      <w:r w:rsidRPr="00BE75B4">
        <w:t>remained in the bulk whereas Cl</w:t>
      </w:r>
      <w:r w:rsidRPr="00BE75B4">
        <w:rPr>
          <w:vertAlign w:val="superscript"/>
        </w:rPr>
        <w:t>-</w:t>
      </w:r>
      <w:r w:rsidRPr="00BE75B4">
        <w:t xml:space="preserve"> seemed to have affinity for both layers. </w:t>
      </w:r>
    </w:p>
    <w:p w:rsidR="00BE75B4" w:rsidRPr="00BE75B4" w:rsidRDefault="00CD173D" w:rsidP="001D0B51">
      <w:pPr>
        <w:spacing w:line="480" w:lineRule="auto"/>
      </w:pPr>
      <w:r>
        <w:t>Five M</w:t>
      </w:r>
      <w:r w:rsidR="00BE75B4" w:rsidRPr="00BE75B4">
        <w:t xml:space="preserve"> NaCl was suggested to reduce the hydrogen </w:t>
      </w:r>
      <w:r w:rsidR="000167BC">
        <w:t>bond strength at the air-</w:t>
      </w:r>
      <w:r w:rsidR="00BE75B4" w:rsidRPr="00BE75B4">
        <w:t xml:space="preserve">water interface using </w:t>
      </w:r>
      <w:r w:rsidR="00CB3C2F" w:rsidRPr="00BE75B4">
        <w:t xml:space="preserve">Vibrational Sum Frequency Generation </w:t>
      </w:r>
      <w:r w:rsidR="00CB3C2F">
        <w:t>(</w:t>
      </w:r>
      <w:r w:rsidR="00BE75B4" w:rsidRPr="00BE75B4">
        <w:t>VSFG</w:t>
      </w:r>
      <w:r w:rsidR="00CB3C2F">
        <w:t>)</w:t>
      </w:r>
      <w:r w:rsidR="00BE75B4" w:rsidRPr="00BE75B4">
        <w:t xml:space="preserve"> spectroscopy due to a decrease at 3200 cm</w:t>
      </w:r>
      <w:r w:rsidR="00BE75B4" w:rsidRPr="00BE75B4">
        <w:rPr>
          <w:vertAlign w:val="superscript"/>
        </w:rPr>
        <w:t>−1</w:t>
      </w:r>
      <w:r w:rsidR="00604275">
        <w:t>.</w:t>
      </w:r>
      <w:r w:rsidR="00BE75B4" w:rsidRPr="00BE75B4">
        <w:rPr>
          <w:vertAlign w:val="superscript"/>
        </w:rPr>
        <w:t xml:space="preserve"> </w:t>
      </w:r>
      <w:hyperlink w:anchor="_ENREF_103" w:tooltip="Allen, 2009 #351" w:history="1">
        <w:r w:rsidR="00512D09" w:rsidRPr="00BE75B4">
          <w:rPr>
            <w:vertAlign w:val="superscript"/>
          </w:rPr>
          <w:fldChar w:fldCharType="begin"/>
        </w:r>
        <w:r w:rsidR="00512D09">
          <w:rPr>
            <w:vertAlign w:val="superscript"/>
          </w:rPr>
          <w:instrText xml:space="preserve"> ADDIN EN.CITE &lt;EndNote&gt;&lt;Cite&gt;&lt;Author&gt;Allen&lt;/Author&gt;&lt;Year&gt;2009&lt;/Year&gt;&lt;RecNum&gt;351&lt;/RecNum&gt;&lt;DisplayText&gt;&lt;style face="superscript"&gt;103&lt;/style&gt;&lt;/DisplayText&gt;&lt;record&gt;&lt;rec-number&gt;351&lt;/rec-number&gt;&lt;foreign-keys&gt;&lt;key app="EN" db-id="5trrespwzsdr07efd5tx2w96x22re9s0fsdt"&gt;351&lt;/key&gt;&lt;/foreign-keys&gt;&lt;ref-type name="Journal Article"&gt;17&lt;/ref-type&gt;&lt;contributors&gt;&lt;authors&gt;&lt;author&gt;Allen, Heather C.&lt;/author&gt;&lt;author&gt;Casillas-Ituarte, Nadia N.&lt;/author&gt;&lt;author&gt;Sierra-Hernandez, M. Roxana&lt;/author&gt;&lt;author&gt;Chen, Xiangke&lt;/author&gt;&lt;author&gt;Tang, Cheng Y.&lt;/author&gt;&lt;/authors&gt;&lt;/contributors&gt;&lt;titles&gt;&lt;title&gt;Shedding light on water structure at air-aqueous interfaces: ions, lipids, and hydration&lt;/title&gt;&lt;secondary-title&gt;Physical Chemistry Chemical Physics&lt;/secondary-title&gt;&lt;/titles&gt;&lt;periodical&gt;&lt;full-title&gt;Physical Chemistry Chemical Physics&lt;/full-title&gt;&lt;/periodical&gt;&lt;pages&gt;5538-5549&lt;/pages&gt;&lt;volume&gt;11&lt;/volume&gt;&lt;number&gt;27&lt;/number&gt;&lt;dates&gt;&lt;year&gt;2009&lt;/year&gt;&lt;/dates&gt;&lt;publisher&gt;The Royal Society of Chemistry&lt;/publisher&gt;&lt;isbn&gt;1463-9076&lt;/isbn&gt;&lt;work-type&gt;10.1039/B901209E&lt;/work-type&gt;&lt;urls&gt;&lt;related-urls&gt;&lt;url&gt;http://dx.doi.org/10.1039/B901209E&lt;/url&gt;&lt;/related-urls&gt;&lt;/urls&gt;&lt;electronic-resource-num&gt;10.1039/b901209e&lt;/electronic-resource-num&gt;&lt;/record&gt;&lt;/Cite&gt;&lt;/EndNote&gt;</w:instrText>
        </w:r>
        <w:r w:rsidR="00512D09" w:rsidRPr="00BE75B4">
          <w:rPr>
            <w:vertAlign w:val="superscript"/>
          </w:rPr>
          <w:fldChar w:fldCharType="separate"/>
        </w:r>
        <w:r w:rsidR="00512D09">
          <w:rPr>
            <w:noProof/>
            <w:vertAlign w:val="superscript"/>
          </w:rPr>
          <w:t>103</w:t>
        </w:r>
        <w:r w:rsidR="00512D09" w:rsidRPr="00BE75B4">
          <w:fldChar w:fldCharType="end"/>
        </w:r>
      </w:hyperlink>
      <w:r w:rsidR="00BE75B4" w:rsidRPr="00BE75B4">
        <w:t xml:space="preserve"> Similar findings were found for a 2 M NaBr solution. More polarisable cations were found to increase the absorbance around 3400 cm</w:t>
      </w:r>
      <w:r w:rsidR="00BE75B4" w:rsidRPr="00FB09EF">
        <w:rPr>
          <w:vertAlign w:val="superscript"/>
        </w:rPr>
        <w:t>−1</w:t>
      </w:r>
      <w:r w:rsidR="00BE75B4" w:rsidRPr="00FB09EF">
        <w:t xml:space="preserve"> in </w:t>
      </w:r>
      <w:r w:rsidR="00FB09EF" w:rsidRPr="00FB09EF">
        <w:rPr>
          <w:rFonts w:cs="Arial"/>
          <w:color w:val="222222"/>
          <w:shd w:val="clear" w:color="auto" w:fill="FFFFFF"/>
        </w:rPr>
        <w:t>NO</w:t>
      </w:r>
      <w:r w:rsidR="00FB09EF" w:rsidRPr="00FB09EF">
        <w:rPr>
          <w:rFonts w:cs="Arial"/>
          <w:color w:val="222222"/>
          <w:shd w:val="clear" w:color="auto" w:fill="FFFFFF"/>
          <w:vertAlign w:val="subscript"/>
        </w:rPr>
        <w:t>3</w:t>
      </w:r>
      <w:r w:rsidR="00FB09EF" w:rsidRPr="00FB09EF">
        <w:rPr>
          <w:rFonts w:cs="Arial"/>
          <w:color w:val="222222"/>
          <w:shd w:val="clear" w:color="auto" w:fill="FFFFFF"/>
          <w:vertAlign w:val="superscript"/>
        </w:rPr>
        <w:t>−</w:t>
      </w:r>
      <w:r w:rsidR="00FB09EF" w:rsidRPr="00FB09EF">
        <w:t xml:space="preserve"> </w:t>
      </w:r>
      <w:r w:rsidR="00BE75B4" w:rsidRPr="00FB09EF">
        <w:t>solutions</w:t>
      </w:r>
      <w:r w:rsidR="00BE75B4" w:rsidRPr="00BE75B4">
        <w:t xml:space="preserve"> but the authors failed to give an explanation for this phenomena. The blue shifting of the 3180 cm</w:t>
      </w:r>
      <w:r w:rsidR="00BE75B4" w:rsidRPr="00BE75B4">
        <w:rPr>
          <w:vertAlign w:val="superscript"/>
        </w:rPr>
        <w:t>−1</w:t>
      </w:r>
      <w:r w:rsidR="00BE75B4" w:rsidRPr="00BE75B4">
        <w:t xml:space="preserve"> peak in the cation-nitrate solutions was attributed to weakening of the hydrogen bond strength</w:t>
      </w:r>
      <w:r w:rsidR="00C82662">
        <w:t>.</w:t>
      </w:r>
      <w:hyperlink w:anchor="_ENREF_103" w:tooltip="Allen, 2009 #351" w:history="1">
        <w:r w:rsidR="00512D09" w:rsidRPr="00BE75B4">
          <w:fldChar w:fldCharType="begin"/>
        </w:r>
        <w:r w:rsidR="00512D09">
          <w:instrText xml:space="preserve"> ADDIN EN.CITE &lt;EndNote&gt;&lt;Cite&gt;&lt;Author&gt;Allen&lt;/Author&gt;&lt;Year&gt;2009&lt;/Year&gt;&lt;RecNum&gt;351&lt;/RecNum&gt;&lt;DisplayText&gt;&lt;style face="superscript"&gt;103&lt;/style&gt;&lt;/DisplayText&gt;&lt;record&gt;&lt;rec-number&gt;351&lt;/rec-number&gt;&lt;foreign-keys&gt;&lt;key app="EN" db-id="5trrespwzsdr07efd5tx2w96x22re9s0fsdt"&gt;351&lt;/key&gt;&lt;/foreign-keys&gt;&lt;ref-type name="Journal Article"&gt;17&lt;/ref-type&gt;&lt;contributors&gt;&lt;authors&gt;&lt;author&gt;Allen, Heather C.&lt;/author&gt;&lt;author&gt;Casillas-Ituarte, Nadia N.&lt;/author&gt;&lt;author&gt;Sierra-Hernandez, M. Roxana&lt;/author&gt;&lt;author&gt;Chen, Xiangke&lt;/author&gt;&lt;author&gt;Tang, Cheng Y.&lt;/author&gt;&lt;/authors&gt;&lt;/contributors&gt;&lt;titles&gt;&lt;title&gt;Shedding light on water structure at air-aqueous interfaces: ions, lipids, and hydration&lt;/title&gt;&lt;secondary-title&gt;Physical Chemistry Chemical Physics&lt;/secondary-title&gt;&lt;/titles&gt;&lt;periodical&gt;&lt;full-title&gt;Physical Chemistry Chemical Physics&lt;/full-title&gt;&lt;/periodical&gt;&lt;pages&gt;5538-5549&lt;/pages&gt;&lt;volume&gt;11&lt;/volume&gt;&lt;number&gt;27&lt;/number&gt;&lt;dates&gt;&lt;year&gt;2009&lt;/year&gt;&lt;/dates&gt;&lt;publisher&gt;The Royal Society of Chemistry&lt;/publisher&gt;&lt;isbn&gt;1463-9076&lt;/isbn&gt;&lt;work-type&gt;10.1039/B901209E&lt;/work-type&gt;&lt;urls&gt;&lt;related-urls&gt;&lt;url&gt;http://dx.doi.org/10.1039/B901209E&lt;/url&gt;&lt;/related-urls&gt;&lt;/urls&gt;&lt;electronic-resource-num&gt;10.1039/b901209e&lt;/electronic-resource-num&gt;&lt;/record&gt;&lt;/Cite&gt;&lt;/EndNote&gt;</w:instrText>
        </w:r>
        <w:r w:rsidR="00512D09" w:rsidRPr="00BE75B4">
          <w:fldChar w:fldCharType="separate"/>
        </w:r>
        <w:r w:rsidR="00512D09" w:rsidRPr="00F80CAD">
          <w:rPr>
            <w:noProof/>
            <w:vertAlign w:val="superscript"/>
          </w:rPr>
          <w:t>103</w:t>
        </w:r>
        <w:r w:rsidR="00512D09" w:rsidRPr="00BE75B4">
          <w:fldChar w:fldCharType="end"/>
        </w:r>
      </w:hyperlink>
      <w:r w:rsidR="00BE75B4" w:rsidRPr="00BE75B4">
        <w:t xml:space="preserve">  It was later put forward that the reduction of the 3200 cm</w:t>
      </w:r>
      <w:r w:rsidR="00BE75B4" w:rsidRPr="00BE75B4">
        <w:rPr>
          <w:vertAlign w:val="superscript"/>
        </w:rPr>
        <w:t xml:space="preserve">–1 </w:t>
      </w:r>
      <w:r w:rsidR="00BE75B4" w:rsidRPr="00BE75B4">
        <w:t>region and enhancement at the 3400 cm</w:t>
      </w:r>
      <w:r w:rsidR="00BE75B4" w:rsidRPr="00BE75B4">
        <w:rPr>
          <w:vertAlign w:val="superscript"/>
        </w:rPr>
        <w:t>–1</w:t>
      </w:r>
      <w:r w:rsidR="00BE75B4" w:rsidRPr="00BE75B4">
        <w:t xml:space="preserve"> region could be attributed to an increase of the nitrate at the air-water </w:t>
      </w:r>
      <w:r w:rsidR="00BE75B4" w:rsidRPr="00BE75B4">
        <w:lastRenderedPageBreak/>
        <w:t xml:space="preserve">interface. </w:t>
      </w:r>
      <w:r w:rsidR="00C65AD7" w:rsidRPr="00BE75B4">
        <w:t>Again,</w:t>
      </w:r>
      <w:r w:rsidR="00BE75B4" w:rsidRPr="00BE75B4">
        <w:t xml:space="preserve"> these absorbencies become more enhanced with increased polarisability of the cation</w:t>
      </w:r>
      <w:r w:rsidR="00C82662">
        <w:t>.</w:t>
      </w:r>
      <w:r w:rsidR="00BE75B4" w:rsidRPr="00BE75B4">
        <w:t xml:space="preserve"> </w:t>
      </w:r>
      <w:hyperlink w:anchor="_ENREF_104" w:tooltip="Jubb, 2011 #356" w:history="1">
        <w:r w:rsidR="00512D09" w:rsidRPr="00BE75B4">
          <w:fldChar w:fldCharType="begin"/>
        </w:r>
        <w:r w:rsidR="00512D09">
          <w:instrText xml:space="preserve"> ADDIN EN.CITE &lt;EndNote&gt;&lt;Cite&gt;&lt;Author&gt;Jubb&lt;/Author&gt;&lt;Year&gt;2011&lt;/Year&gt;&lt;RecNum&gt;356&lt;/RecNum&gt;&lt;DisplayText&gt;&lt;style face="superscript"&gt;104&lt;/style&gt;&lt;/DisplayText&gt;&lt;record&gt;&lt;rec-number&gt;356&lt;/rec-number&gt;&lt;foreign-keys&gt;&lt;key app="EN" db-id="5trrespwzsdr07efd5tx2w96x22re9s0fsdt"&gt;356&lt;/key&gt;&lt;/foreign-keys&gt;&lt;ref-type name="Journal Article"&gt;17&lt;/ref-type&gt;&lt;contributors&gt;&lt;authors&gt;&lt;author&gt;Jubb, Aaron M.&lt;/author&gt;&lt;author&gt;Hua, Wei&lt;/author&gt;&lt;author&gt;Allen, Heather C.&lt;/author&gt;&lt;/authors&gt;&lt;/contributors&gt;&lt;titles&gt;&lt;title&gt;Organization of Water and Atmospherically Relevant Ions and Solutes: Vibrational Sum Frequency Spectroscopy at the Vapor/Liquid and Liquid/Solid Interfaces&lt;/title&gt;&lt;secondary-title&gt;Accounts of Chemical Research&lt;/secondary-title&gt;&lt;/titles&gt;&lt;periodical&gt;&lt;full-title&gt;Accounts of Chemical Research&lt;/full-title&gt;&lt;/periodical&gt;&lt;pages&gt;110-119&lt;/pages&gt;&lt;volume&gt;45&lt;/volume&gt;&lt;number&gt;1&lt;/number&gt;&lt;dates&gt;&lt;year&gt;2011&lt;/year&gt;&lt;pub-dates&gt;&lt;date&gt;2012/01/17&lt;/date&gt;&lt;/pub-dates&gt;&lt;/dates&gt;&lt;publisher&gt;American Chemical Society&lt;/publisher&gt;&lt;isbn&gt;0001-4842&lt;/isbn&gt;&lt;urls&gt;&lt;related-urls&gt;&lt;url&gt;http://dx.doi.org/10.1021/ar200152v&lt;/url&gt;&lt;/related-urls&gt;&lt;/urls&gt;&lt;electronic-resource-num&gt;10.1021/ar200152v&lt;/electronic-resource-num&gt;&lt;access-date&gt;2014/03/11&lt;/access-date&gt;&lt;/record&gt;&lt;/Cite&gt;&lt;/EndNote&gt;</w:instrText>
        </w:r>
        <w:r w:rsidR="00512D09" w:rsidRPr="00BE75B4">
          <w:fldChar w:fldCharType="separate"/>
        </w:r>
        <w:r w:rsidR="00512D09" w:rsidRPr="00F80CAD">
          <w:rPr>
            <w:noProof/>
            <w:vertAlign w:val="superscript"/>
          </w:rPr>
          <w:t>104</w:t>
        </w:r>
        <w:r w:rsidR="00512D09" w:rsidRPr="00BE75B4">
          <w:fldChar w:fldCharType="end"/>
        </w:r>
      </w:hyperlink>
      <w:r w:rsidR="00BE75B4" w:rsidRPr="00BE75B4">
        <w:t xml:space="preserve"> </w:t>
      </w:r>
    </w:p>
    <w:p w:rsidR="00BE75B4" w:rsidRPr="00BE75B4" w:rsidRDefault="00BE75B4" w:rsidP="001D0B51">
      <w:pPr>
        <w:spacing w:line="480" w:lineRule="auto"/>
      </w:pPr>
      <w:r w:rsidRPr="00BE75B4">
        <w:t xml:space="preserve">A combined </w:t>
      </w:r>
      <w:r w:rsidR="00CB3C2F">
        <w:t>VSFG</w:t>
      </w:r>
      <w:r w:rsidRPr="00BE75B4">
        <w:t xml:space="preserve"> spectroscopy MDS study found that hydronium ions penetrate the interfacial area whereas the smaller less polarisable cation Na</w:t>
      </w:r>
      <w:r w:rsidRPr="00BE75B4">
        <w:rPr>
          <w:vertAlign w:val="superscript"/>
        </w:rPr>
        <w:t>+</w:t>
      </w:r>
      <w:r w:rsidRPr="00BE75B4">
        <w:t xml:space="preserve"> cannot</w:t>
      </w:r>
      <w:r w:rsidR="00EE7DCC">
        <w:t>.</w:t>
      </w:r>
      <w:r w:rsidRPr="00BE75B4">
        <w:t xml:space="preserve"> </w:t>
      </w:r>
      <w:hyperlink w:anchor="_ENREF_105" w:tooltip="Mucha, 2005 #350" w:history="1">
        <w:r w:rsidR="00512D09" w:rsidRPr="00BE75B4">
          <w:fldChar w:fldCharType="begin"/>
        </w:r>
        <w:r w:rsidR="00512D09">
          <w:instrText xml:space="preserve"> ADDIN EN.CITE &lt;EndNote&gt;&lt;Cite&gt;&lt;Author&gt;Mucha&lt;/Author&gt;&lt;Year&gt;2005&lt;/Year&gt;&lt;RecNum&gt;350&lt;/RecNum&gt;&lt;DisplayText&gt;&lt;style face="superscript"&gt;105&lt;/style&gt;&lt;/DisplayText&gt;&lt;record&gt;&lt;rec-number&gt;350&lt;/rec-number&gt;&lt;foreign-keys&gt;&lt;key app="EN" db-id="5trrespwzsdr07efd5tx2w96x22re9s0fsdt"&gt;350&lt;/key&gt;&lt;/foreign-keys&gt;&lt;ref-type name="Journal Article"&gt;17&lt;/ref-type&gt;&lt;contributors&gt;&lt;authors&gt;&lt;author&gt;Mucha, Martin&lt;/author&gt;&lt;author&gt;Frigato, Tomaso&lt;/author&gt;&lt;author&gt;Levering, Lori M.&lt;/author&gt;&lt;author&gt;Allen, Heather C.&lt;/author&gt;&lt;author&gt;Tobias, Douglas J.&lt;/author&gt;&lt;author&gt;Dang, Liem X.&lt;/author&gt;&lt;author&gt;Jungwirth, Pavel&lt;/author&gt;&lt;/authors&gt;&lt;/contributors&gt;&lt;titles&gt;&lt;title&gt;Unified Molecular Picture of the Surfaces of Aqueous Acid, Base, and Salt Solutions&lt;/title&gt;&lt;secondary-title&gt;The Journal of Physical Chemistry B&lt;/secondary-title&gt;&lt;/titles&gt;&lt;periodical&gt;&lt;full-title&gt;The Journal of Physical Chemistry B&lt;/full-title&gt;&lt;/periodical&gt;&lt;pages&gt;7617-7623&lt;/pages&gt;&lt;volume&gt;109&lt;/volume&gt;&lt;number&gt;16&lt;/number&gt;&lt;dates&gt;&lt;year&gt;2005&lt;/year&gt;&lt;pub-dates&gt;&lt;date&gt;2005/04/01&lt;/date&gt;&lt;/pub-dates&gt;&lt;/dates&gt;&lt;publisher&gt;American Chemical Society&lt;/publisher&gt;&lt;isbn&gt;1520-6106&lt;/isbn&gt;&lt;urls&gt;&lt;related-urls&gt;&lt;url&gt;http://dx.doi.org/10.1021/jp0445730&lt;/url&gt;&lt;/related-urls&gt;&lt;/urls&gt;&lt;electronic-resource-num&gt;10.1021/jp0445730&lt;/electronic-resource-num&gt;&lt;access-date&gt;2014/03/10&lt;/access-date&gt;&lt;/record&gt;&lt;/Cite&gt;&lt;/EndNote&gt;</w:instrText>
        </w:r>
        <w:r w:rsidR="00512D09" w:rsidRPr="00BE75B4">
          <w:fldChar w:fldCharType="separate"/>
        </w:r>
        <w:r w:rsidR="00512D09" w:rsidRPr="00F80CAD">
          <w:rPr>
            <w:noProof/>
            <w:vertAlign w:val="superscript"/>
          </w:rPr>
          <w:t>105</w:t>
        </w:r>
        <w:r w:rsidR="00512D09" w:rsidRPr="00BE75B4">
          <w:fldChar w:fldCharType="end"/>
        </w:r>
      </w:hyperlink>
      <w:r w:rsidRPr="00BE75B4">
        <w:t xml:space="preserve"> It was suggested that at low concentrations there is a net negative surface ion excess leading to a depletion of ions from the surface as the hydronium ions can no longer accumulate at the surface leading to a decrease in surface tension. At higher concentrations, HSO</w:t>
      </w:r>
      <w:r w:rsidRPr="00BE75B4">
        <w:rPr>
          <w:vertAlign w:val="subscript"/>
        </w:rPr>
        <w:t>4</w:t>
      </w:r>
      <w:r w:rsidRPr="00BE75B4">
        <w:rPr>
          <w:vertAlign w:val="superscript"/>
        </w:rPr>
        <w:t>-</w:t>
      </w:r>
      <w:r w:rsidRPr="00BE75B4">
        <w:t xml:space="preserve"> becomes the dominant anion being more polarisable allows a net accumulation of ions at the surface resulting in a decrease in surface tension. </w:t>
      </w:r>
    </w:p>
    <w:p w:rsidR="00BE75B4" w:rsidRPr="00BE75B4" w:rsidRDefault="00BE75B4" w:rsidP="00217116">
      <w:pPr>
        <w:spacing w:line="480" w:lineRule="auto"/>
        <w:jc w:val="both"/>
      </w:pPr>
      <w:r w:rsidRPr="00BE75B4">
        <w:t xml:space="preserve">Infrared </w:t>
      </w:r>
      <w:r w:rsidR="00CB3C2F" w:rsidRPr="00BE75B4">
        <w:t xml:space="preserve">Visible Sum Frequency </w:t>
      </w:r>
      <w:r w:rsidRPr="00BE75B4">
        <w:t xml:space="preserve">spectroscopy was used to probe hydrogen bond dynamics of </w:t>
      </w:r>
      <w:r w:rsidR="00FB09EF">
        <w:t>SCN</w:t>
      </w:r>
      <w:r w:rsidR="00FB09EF">
        <w:rPr>
          <w:vertAlign w:val="superscript"/>
        </w:rPr>
        <w:t>-</w:t>
      </w:r>
      <w:r w:rsidRPr="00BE75B4">
        <w:t xml:space="preserve"> in water finding a diminishing ice-like feature at 3200 cm</w:t>
      </w:r>
      <w:r w:rsidRPr="00BE75B4">
        <w:rPr>
          <w:vertAlign w:val="superscript"/>
        </w:rPr>
        <w:t>-1</w:t>
      </w:r>
      <w:r w:rsidRPr="00BE75B4">
        <w:t xml:space="preserve"> and an increase in the absorption at 3450 cm</w:t>
      </w:r>
      <w:r w:rsidRPr="00BE75B4">
        <w:rPr>
          <w:vertAlign w:val="superscript"/>
        </w:rPr>
        <w:t>-1</w:t>
      </w:r>
      <w:r w:rsidRPr="00BE75B4">
        <w:t xml:space="preserve"> that accounts for the disordering of interfacial water with increasing concentration from 1 to 7 M</w:t>
      </w:r>
      <w:r w:rsidR="00C82662">
        <w:t>.</w:t>
      </w:r>
      <w:r w:rsidRPr="00BE75B4">
        <w:t xml:space="preserve"> </w:t>
      </w:r>
      <w:hyperlink w:anchor="_ENREF_106" w:tooltip="Viswanath, 2008 #344" w:history="1">
        <w:r w:rsidR="00512D09" w:rsidRPr="00BE75B4">
          <w:fldChar w:fldCharType="begin"/>
        </w:r>
        <w:r w:rsidR="00512D09">
          <w:instrText xml:space="preserve"> ADDIN EN.CITE &lt;EndNote&gt;&lt;Cite&gt;&lt;Author&gt;Viswanath&lt;/Author&gt;&lt;Year&gt;2008&lt;/Year&gt;&lt;RecNum&gt;344&lt;/RecNum&gt;&lt;DisplayText&gt;&lt;style face="superscript"&gt;106&lt;/style&gt;&lt;/DisplayText&gt;&lt;record&gt;&lt;rec-number&gt;344&lt;/rec-number&gt;&lt;foreign-keys&gt;&lt;key app="EN" db-id="5trrespwzsdr07efd5tx2w96x22re9s0fsdt"&gt;344&lt;/key&gt;&lt;/foreign-keys&gt;&lt;ref-type name="Journal Article"&gt;17&lt;/ref-type&gt;&lt;contributors&gt;&lt;authors&gt;&lt;author&gt;Viswanath, P.&lt;/author&gt;&lt;author&gt;Motschmann, H.&lt;/author&gt;&lt;/authors&gt;&lt;/contributors&gt;&lt;titles&gt;&lt;title&gt;Effect of Interfacial Presence of Oriented Thiocyanate on Water Structure&lt;/title&gt;&lt;secondary-title&gt;The Journal of Physical Chemistry C&lt;/secondary-title&gt;&lt;/titles&gt;&lt;periodical&gt;&lt;full-title&gt;The Journal of Physical Chemistry C&lt;/full-title&gt;&lt;/periodical&gt;&lt;pages&gt;2099-2103&lt;/pages&gt;&lt;volume&gt;112&lt;/volume&gt;&lt;number&gt;6&lt;/number&gt;&lt;dates&gt;&lt;year&gt;2008&lt;/year&gt;&lt;pub-dates&gt;&lt;date&gt;2008/02/01&lt;/date&gt;&lt;/pub-dates&gt;&lt;/dates&gt;&lt;publisher&gt;American Chemical Society&lt;/publisher&gt;&lt;isbn&gt;1932-7447&lt;/isbn&gt;&lt;urls&gt;&lt;related-urls&gt;&lt;url&gt;http://dx.doi.org/10.1021/jp077229m&lt;/url&gt;&lt;/related-urls&gt;&lt;/urls&gt;&lt;electronic-resource-num&gt;10.1021/jp077229m&lt;/electronic-resource-num&gt;&lt;access-date&gt;2014/03/07&lt;/access-date&gt;&lt;/record&gt;&lt;/Cite&gt;&lt;/EndNote&gt;</w:instrText>
        </w:r>
        <w:r w:rsidR="00512D09" w:rsidRPr="00BE75B4">
          <w:fldChar w:fldCharType="separate"/>
        </w:r>
        <w:r w:rsidR="00512D09" w:rsidRPr="00F80CAD">
          <w:rPr>
            <w:noProof/>
            <w:vertAlign w:val="superscript"/>
          </w:rPr>
          <w:t>106</w:t>
        </w:r>
        <w:r w:rsidR="00512D09" w:rsidRPr="00BE75B4">
          <w:fldChar w:fldCharType="end"/>
        </w:r>
      </w:hyperlink>
      <w:r w:rsidRPr="00BE75B4">
        <w:t xml:space="preserve">  A minor change in the absorbance at 3700 cm</w:t>
      </w:r>
      <w:r w:rsidRPr="00BE75B4">
        <w:rPr>
          <w:vertAlign w:val="superscript"/>
        </w:rPr>
        <w:t xml:space="preserve">-1 </w:t>
      </w:r>
      <w:r w:rsidRPr="00BE75B4">
        <w:t>representing the top layer of water molecules showed little change at low SO</w:t>
      </w:r>
      <w:r w:rsidRPr="00BE75B4">
        <w:rPr>
          <w:vertAlign w:val="subscript"/>
        </w:rPr>
        <w:t>3</w:t>
      </w:r>
      <w:r w:rsidRPr="00BE75B4">
        <w:rPr>
          <w:vertAlign w:val="superscript"/>
        </w:rPr>
        <w:t>2-</w:t>
      </w:r>
      <w:r w:rsidRPr="00BE75B4">
        <w:t xml:space="preserve"> concentrations. Increasing concentration increased the signal between 3100−3400 cm</w:t>
      </w:r>
      <w:r w:rsidRPr="00BE75B4">
        <w:rPr>
          <w:vertAlign w:val="superscript"/>
        </w:rPr>
        <w:t>-1</w:t>
      </w:r>
      <w:r w:rsidRPr="00BE75B4">
        <w:t xml:space="preserve"> indicating possible water-ion interactions a couple of angstroms from the surface.  Similar findings were reported for NaHCO</w:t>
      </w:r>
      <w:r w:rsidRPr="00BE75B4">
        <w:rPr>
          <w:vertAlign w:val="subscript"/>
        </w:rPr>
        <w:t>3</w:t>
      </w:r>
      <w:r w:rsidRPr="00BE75B4">
        <w:t>, and Na</w:t>
      </w:r>
      <w:r w:rsidRPr="00BE75B4">
        <w:rPr>
          <w:vertAlign w:val="subscript"/>
        </w:rPr>
        <w:t>2</w:t>
      </w:r>
      <w:r w:rsidRPr="00BE75B4">
        <w:t>CO</w:t>
      </w:r>
      <w:r w:rsidRPr="00BE75B4">
        <w:rPr>
          <w:vertAlign w:val="subscript"/>
        </w:rPr>
        <w:t>3</w:t>
      </w:r>
      <w:r w:rsidR="00C82662">
        <w:t>.</w:t>
      </w:r>
      <w:hyperlink w:anchor="_ENREF_107" w:tooltip="Tarbuck, 2006 #345" w:history="1">
        <w:r w:rsidR="00512D09" w:rsidRPr="00BE75B4">
          <w:rPr>
            <w:vertAlign w:val="subscript"/>
          </w:rPr>
          <w:fldChar w:fldCharType="begin"/>
        </w:r>
        <w:r w:rsidR="00512D09">
          <w:rPr>
            <w:vertAlign w:val="subscript"/>
          </w:rPr>
          <w:instrText xml:space="preserve"> ADDIN EN.CITE &lt;EndNote&gt;&lt;Cite&gt;&lt;Author&gt;Tarbuck&lt;/Author&gt;&lt;Year&gt;2006&lt;/Year&gt;&lt;RecNum&gt;345&lt;/RecNum&gt;&lt;DisplayText&gt;&lt;style face="superscript"&gt;107&lt;/style&gt;&lt;/DisplayText&gt;&lt;record&gt;&lt;rec-number&gt;345&lt;/rec-number&gt;&lt;foreign-keys&gt;&lt;key app="EN" db-id="5trrespwzsdr07efd5tx2w96x22re9s0fsdt"&gt;345&lt;/key&gt;&lt;/foreign-keys&gt;&lt;ref-type name="Journal Article"&gt;17&lt;/ref-type&gt;&lt;contributors&gt;&lt;authors&gt;&lt;author&gt;Tarbuck, Teresa L.&lt;/author&gt;&lt;author&gt;Richmond, Geraldine L.&lt;/author&gt;&lt;/authors&gt;&lt;/contributors&gt;&lt;titles&gt;&lt;title&gt;Adsorption and Reaction of CO2 and SO2 at a Water Surface&lt;/title&gt;&lt;secondary-title&gt;J Am Chem Soc&lt;/secondary-title&gt;&lt;/titles&gt;&lt;periodical&gt;&lt;full-title&gt;J Am Chem Soc&lt;/full-title&gt;&lt;abbr-1&gt;Journal of the American Chemical Society&lt;/abbr-1&gt;&lt;/periodical&gt;&lt;pages&gt;3256-3267&lt;/pages&gt;&lt;volume&gt;128&lt;/volume&gt;&lt;number&gt;10&lt;/number&gt;&lt;dates&gt;&lt;year&gt;2006&lt;/year&gt;&lt;pub-dates&gt;&lt;date&gt;2006/03/01&lt;/date&gt;&lt;/pub-dates&gt;&lt;/dates&gt;&lt;publisher&gt;American Chemical Society&lt;/publisher&gt;&lt;isbn&gt;0002-7863&lt;/isbn&gt;&lt;urls&gt;&lt;related-urls&gt;&lt;url&gt;http://dx.doi.org/10.1021/ja057375a&lt;/url&gt;&lt;/related-urls&gt;&lt;/urls&gt;&lt;electronic-resource-num&gt;10.1021/ja057375a&lt;/electronic-resource-num&gt;&lt;access-date&gt;2014/03/07&lt;/access-date&gt;&lt;/record&gt;&lt;/Cite&gt;&lt;/EndNote&gt;</w:instrText>
        </w:r>
        <w:r w:rsidR="00512D09" w:rsidRPr="00BE75B4">
          <w:rPr>
            <w:vertAlign w:val="subscript"/>
          </w:rPr>
          <w:fldChar w:fldCharType="separate"/>
        </w:r>
        <w:r w:rsidR="00512D09" w:rsidRPr="00F80CAD">
          <w:rPr>
            <w:noProof/>
            <w:vertAlign w:val="superscript"/>
          </w:rPr>
          <w:t>107</w:t>
        </w:r>
        <w:r w:rsidR="00512D09" w:rsidRPr="00BE75B4">
          <w:fldChar w:fldCharType="end"/>
        </w:r>
      </w:hyperlink>
    </w:p>
    <w:p w:rsidR="00BE75B4" w:rsidRPr="00BE75B4" w:rsidRDefault="00BE75B4" w:rsidP="00217116">
      <w:pPr>
        <w:spacing w:line="480" w:lineRule="auto"/>
        <w:jc w:val="both"/>
      </w:pPr>
      <w:r w:rsidRPr="00BE75B4">
        <w:t xml:space="preserve">Heterodyne </w:t>
      </w:r>
      <w:r w:rsidR="00C959A1">
        <w:t>D</w:t>
      </w:r>
      <w:r w:rsidR="00FB09EF" w:rsidRPr="00BE75B4">
        <w:t xml:space="preserve">etected Phase-Sensitive Sum Frequency Generation </w:t>
      </w:r>
      <w:r w:rsidRPr="00BE75B4">
        <w:t>(PS-SFG) spectroscopy is more sensitive to dipole moments of water in the presence of solutes than VSFG</w:t>
      </w:r>
      <w:r w:rsidR="00C82662">
        <w:t>.</w:t>
      </w:r>
      <w:r w:rsidRPr="00BE75B4">
        <w:t xml:space="preserve"> </w:t>
      </w:r>
      <w:hyperlink w:anchor="_ENREF_104" w:tooltip="Jubb, 2011 #356" w:history="1">
        <w:r w:rsidR="00512D09" w:rsidRPr="00BE75B4">
          <w:fldChar w:fldCharType="begin"/>
        </w:r>
        <w:r w:rsidR="00512D09">
          <w:instrText xml:space="preserve"> ADDIN EN.CITE &lt;EndNote&gt;&lt;Cite&gt;&lt;Author&gt;Jubb&lt;/Author&gt;&lt;Year&gt;2011&lt;/Year&gt;&lt;RecNum&gt;356&lt;/RecNum&gt;&lt;DisplayText&gt;&lt;style face="superscript"&gt;104&lt;/style&gt;&lt;/DisplayText&gt;&lt;record&gt;&lt;rec-number&gt;356&lt;/rec-number&gt;&lt;foreign-keys&gt;&lt;key app="EN" db-id="5trrespwzsdr07efd5tx2w96x22re9s0fsdt"&gt;356&lt;/key&gt;&lt;/foreign-keys&gt;&lt;ref-type name="Journal Article"&gt;17&lt;/ref-type&gt;&lt;contributors&gt;&lt;authors&gt;&lt;author&gt;Jubb, Aaron M.&lt;/author&gt;&lt;author&gt;Hua, Wei&lt;/author&gt;&lt;author&gt;Allen, Heather C.&lt;/author&gt;&lt;/authors&gt;&lt;/contributors&gt;&lt;titles&gt;&lt;title&gt;Organization of Water and Atmospherically Relevant Ions and Solutes: Vibrational Sum Frequency Spectroscopy at the Vapor/Liquid and Liquid/Solid Interfaces&lt;/title&gt;&lt;secondary-title&gt;Accounts of Chemical Research&lt;/secondary-title&gt;&lt;/titles&gt;&lt;periodical&gt;&lt;full-title&gt;Accounts of Chemical Research&lt;/full-title&gt;&lt;/periodical&gt;&lt;pages&gt;110-119&lt;/pages&gt;&lt;volume&gt;45&lt;/volume&gt;&lt;number&gt;1&lt;/number&gt;&lt;dates&gt;&lt;year&gt;2011&lt;/year&gt;&lt;pub-dates&gt;&lt;date&gt;2012/01/17&lt;/date&gt;&lt;/pub-dates&gt;&lt;/dates&gt;&lt;publisher&gt;American Chemical Society&lt;/publisher&gt;&lt;isbn&gt;0001-4842&lt;/isbn&gt;&lt;urls&gt;&lt;related-urls&gt;&lt;url&gt;http://dx.doi.org/10.1021/ar200152v&lt;/url&gt;&lt;/related-urls&gt;&lt;/urls&gt;&lt;electronic-resource-num&gt;10.1021/ar200152v&lt;/electronic-resource-num&gt;&lt;access-date&gt;2014/03/11&lt;/access-date&gt;&lt;/record&gt;&lt;/Cite&gt;&lt;/EndNote&gt;</w:instrText>
        </w:r>
        <w:r w:rsidR="00512D09" w:rsidRPr="00BE75B4">
          <w:fldChar w:fldCharType="separate"/>
        </w:r>
        <w:r w:rsidR="00512D09" w:rsidRPr="00F80CAD">
          <w:rPr>
            <w:noProof/>
            <w:vertAlign w:val="superscript"/>
          </w:rPr>
          <w:t>104</w:t>
        </w:r>
        <w:r w:rsidR="00512D09" w:rsidRPr="00BE75B4">
          <w:fldChar w:fldCharType="end"/>
        </w:r>
      </w:hyperlink>
      <w:r w:rsidRPr="00BE75B4">
        <w:t xml:space="preserve"> Work done with PS-SFG spectroscopy on sodium carbonate solutions revealed that carbonate ions are at the bottom layer of the interfacial region whist </w:t>
      </w:r>
      <w:r w:rsidR="00FB09EF">
        <w:t>Na</w:t>
      </w:r>
      <w:r w:rsidR="00FB09EF" w:rsidRPr="00FB09EF">
        <w:rPr>
          <w:vertAlign w:val="superscript"/>
        </w:rPr>
        <w:t>+</w:t>
      </w:r>
      <w:r w:rsidRPr="00FB09EF">
        <w:rPr>
          <w:vertAlign w:val="superscript"/>
        </w:rPr>
        <w:t xml:space="preserve"> </w:t>
      </w:r>
      <w:r w:rsidRPr="00BE75B4">
        <w:t>ions are nearer the surface</w:t>
      </w:r>
      <w:r w:rsidR="00C82662">
        <w:t>.</w:t>
      </w:r>
      <w:r w:rsidRPr="00BE75B4">
        <w:t xml:space="preserve"> </w:t>
      </w:r>
      <w:hyperlink w:anchor="_ENREF_104" w:tooltip="Jubb, 2011 #356" w:history="1">
        <w:r w:rsidR="00512D09" w:rsidRPr="00BE75B4">
          <w:fldChar w:fldCharType="begin"/>
        </w:r>
        <w:r w:rsidR="00512D09">
          <w:instrText xml:space="preserve"> ADDIN EN.CITE &lt;EndNote&gt;&lt;Cite&gt;&lt;Author&gt;Jubb&lt;/Author&gt;&lt;Year&gt;2011&lt;/Year&gt;&lt;RecNum&gt;356&lt;/RecNum&gt;&lt;DisplayText&gt;&lt;style face="superscript"&gt;104&lt;/style&gt;&lt;/DisplayText&gt;&lt;record&gt;&lt;rec-number&gt;356&lt;/rec-number&gt;&lt;foreign-keys&gt;&lt;key app="EN" db-id="5trrespwzsdr07efd5tx2w96x22re9s0fsdt"&gt;356&lt;/key&gt;&lt;/foreign-keys&gt;&lt;ref-type name="Journal Article"&gt;17&lt;/ref-type&gt;&lt;contributors&gt;&lt;authors&gt;&lt;author&gt;Jubb, Aaron M.&lt;/author&gt;&lt;author&gt;Hua, Wei&lt;/author&gt;&lt;author&gt;Allen, Heather C.&lt;/author&gt;&lt;/authors&gt;&lt;/contributors&gt;&lt;titles&gt;&lt;title&gt;Organization of Water and Atmospherically Relevant Ions and Solutes: Vibrational Sum Frequency Spectroscopy at the Vapor/Liquid and Liquid/Solid Interfaces&lt;/title&gt;&lt;secondary-title&gt;Accounts of Chemical Research&lt;/secondary-title&gt;&lt;/titles&gt;&lt;periodical&gt;&lt;full-title&gt;Accounts of Chemical Research&lt;/full-title&gt;&lt;/periodical&gt;&lt;pages&gt;110-119&lt;/pages&gt;&lt;volume&gt;45&lt;/volume&gt;&lt;number&gt;1&lt;/number&gt;&lt;dates&gt;&lt;year&gt;2011&lt;/year&gt;&lt;pub-dates&gt;&lt;date&gt;2012/01/17&lt;/date&gt;&lt;/pub-dates&gt;&lt;/dates&gt;&lt;publisher&gt;American Chemical Society&lt;/publisher&gt;&lt;isbn&gt;0001-4842&lt;/isbn&gt;&lt;urls&gt;&lt;related-urls&gt;&lt;url&gt;http://dx.doi.org/10.1021/ar200152v&lt;/url&gt;&lt;/related-urls&gt;&lt;/urls&gt;&lt;electronic-resource-num&gt;10.1021/ar200152v&lt;/electronic-resource-num&gt;&lt;access-date&gt;2014/03/11&lt;/access-date&gt;&lt;/record&gt;&lt;/Cite&gt;&lt;/EndNote&gt;</w:instrText>
        </w:r>
        <w:r w:rsidR="00512D09" w:rsidRPr="00BE75B4">
          <w:fldChar w:fldCharType="separate"/>
        </w:r>
        <w:r w:rsidR="00512D09" w:rsidRPr="00F80CAD">
          <w:rPr>
            <w:noProof/>
            <w:vertAlign w:val="superscript"/>
          </w:rPr>
          <w:t>104</w:t>
        </w:r>
        <w:r w:rsidR="00512D09" w:rsidRPr="00BE75B4">
          <w:fldChar w:fldCharType="end"/>
        </w:r>
      </w:hyperlink>
      <w:r w:rsidRPr="00BE75B4">
        <w:t xml:space="preserve">  Since there was no change in the sodium bicarbonate spectra it was suggested these ions are accommodated within the hydrogen bond network at the interface.  </w:t>
      </w:r>
    </w:p>
    <w:p w:rsidR="00BE75B4" w:rsidRPr="00BE75B4" w:rsidRDefault="00BE75B4" w:rsidP="00217116">
      <w:pPr>
        <w:spacing w:line="480" w:lineRule="auto"/>
        <w:jc w:val="both"/>
      </w:pPr>
      <w:r w:rsidRPr="00BE75B4">
        <w:lastRenderedPageBreak/>
        <w:t>The excess interfacial tension for ions at the electrolyte-oil interface was calculated based on a modified Poisson</w:t>
      </w:r>
      <w:r w:rsidRPr="00BE75B4">
        <w:rPr>
          <w:rFonts w:hint="eastAsia"/>
        </w:rPr>
        <w:t>−</w:t>
      </w:r>
      <w:r w:rsidRPr="00BE75B4">
        <w:t>Boltzmann by Santos and Levin</w:t>
      </w:r>
      <w:r w:rsidR="00A37A62">
        <w:t>.</w:t>
      </w:r>
      <w:r w:rsidRPr="00BE75B4">
        <w:t xml:space="preserve"> </w:t>
      </w:r>
      <w:hyperlink w:anchor="_ENREF_96" w:tooltip="dos Santos, 2011 #357" w:history="1">
        <w:r w:rsidR="00512D09" w:rsidRPr="00BE75B4">
          <w:fldChar w:fldCharType="begin"/>
        </w:r>
        <w:r w:rsidR="00512D09">
          <w:instrText xml:space="preserve"> ADDIN EN.CITE &lt;EndNote&gt;&lt;Cite&gt;&lt;Author&gt;dos Santos&lt;/Author&gt;&lt;Year&gt;2011&lt;/Year&gt;&lt;RecNum&gt;357&lt;/RecNum&gt;&lt;DisplayText&gt;&lt;style face="superscript"&gt;96&lt;/style&gt;&lt;/DisplayText&gt;&lt;record&gt;&lt;rec-number&gt;357&lt;/rec-number&gt;&lt;foreign-keys&gt;&lt;key app="EN" db-id="5trrespwzsdr07efd5tx2w96x22re9s0fsdt"&gt;357&lt;/key&gt;&lt;/foreign-keys&gt;&lt;ref-type name="Journal Article"&gt;17&lt;/ref-type&gt;&lt;contributors&gt;&lt;authors&gt;&lt;author&gt;dos Santos, Alexandre P.&lt;/author&gt;&lt;author&gt;Levin, Yan&lt;/author&gt;&lt;/authors&gt;&lt;/contributors&gt;&lt;titles&gt;&lt;title&gt;Ions at the Water–oil Interface: Interfacial Tension of Electrolyte Solutions&lt;/title&gt;&lt;secondary-title&gt;Langmuir&lt;/secondary-title&gt;&lt;/titles&gt;&lt;periodical&gt;&lt;full-title&gt;Langmuir&lt;/full-title&gt;&lt;/periodical&gt;&lt;pages&gt;1304-1308&lt;/pages&gt;&lt;volume&gt;28&lt;/volume&gt;&lt;number&gt;2&lt;/number&gt;&lt;dates&gt;&lt;year&gt;2011&lt;/year&gt;&lt;pub-dates&gt;&lt;date&gt;2012/01/17&lt;/date&gt;&lt;/pub-dates&gt;&lt;/dates&gt;&lt;publisher&gt;American Chemical Society&lt;/publisher&gt;&lt;isbn&gt;0743-7463&lt;/isbn&gt;&lt;urls&gt;&lt;related-urls&gt;&lt;url&gt;http://dx.doi.org/10.1021/la204036e&lt;/url&gt;&lt;/related-urls&gt;&lt;/urls&gt;&lt;electronic-resource-num&gt;10.1021/la204036e&lt;/electronic-resource-num&gt;&lt;access-date&gt;2014/03/12&lt;/access-date&gt;&lt;/record&gt;&lt;/Cite&gt;&lt;/EndNote&gt;</w:instrText>
        </w:r>
        <w:r w:rsidR="00512D09" w:rsidRPr="00BE75B4">
          <w:fldChar w:fldCharType="separate"/>
        </w:r>
        <w:r w:rsidR="00512D09" w:rsidRPr="00F80CAD">
          <w:rPr>
            <w:noProof/>
            <w:vertAlign w:val="superscript"/>
          </w:rPr>
          <w:t>96</w:t>
        </w:r>
        <w:r w:rsidR="00512D09" w:rsidRPr="00BE75B4">
          <w:fldChar w:fldCharType="end"/>
        </w:r>
      </w:hyperlink>
      <w:r w:rsidRPr="00BE75B4">
        <w:t xml:space="preserve"> Large polarisable, weakly hydrated ions were found to absorb onto the interface lessening the surface tension. Small less polariable cations were found to be repelled from the interface. The theory predicted I</w:t>
      </w:r>
      <w:r w:rsidRPr="00BE75B4">
        <w:rPr>
          <w:rFonts w:hint="eastAsia"/>
          <w:vertAlign w:val="superscript"/>
        </w:rPr>
        <w:t>−</w:t>
      </w:r>
      <w:r w:rsidRPr="00BE75B4">
        <w:t xml:space="preserve"> and ClO</w:t>
      </w:r>
      <w:r w:rsidRPr="00BE75B4">
        <w:rPr>
          <w:vertAlign w:val="subscript"/>
        </w:rPr>
        <w:t>4</w:t>
      </w:r>
      <w:r w:rsidRPr="00BE75B4">
        <w:rPr>
          <w:vertAlign w:val="superscript"/>
        </w:rPr>
        <w:t xml:space="preserve">- </w:t>
      </w:r>
      <w:r w:rsidRPr="00BE75B4">
        <w:t xml:space="preserve"> was absorbed into the interfacial area which corresp</w:t>
      </w:r>
      <w:r w:rsidR="00C82662">
        <w:t>onds with the experimental data.</w:t>
      </w:r>
      <w:hyperlink w:anchor="_ENREF_96" w:tooltip="dos Santos, 2011 #357" w:history="1">
        <w:r w:rsidR="00512D09" w:rsidRPr="00BE75B4">
          <w:fldChar w:fldCharType="begin"/>
        </w:r>
        <w:r w:rsidR="00512D09">
          <w:instrText xml:space="preserve"> ADDIN EN.CITE &lt;EndNote&gt;&lt;Cite&gt;&lt;Author&gt;dos Santos&lt;/Author&gt;&lt;Year&gt;2011&lt;/Year&gt;&lt;RecNum&gt;357&lt;/RecNum&gt;&lt;DisplayText&gt;&lt;style face="superscript"&gt;96&lt;/style&gt;&lt;/DisplayText&gt;&lt;record&gt;&lt;rec-number&gt;357&lt;/rec-number&gt;&lt;foreign-keys&gt;&lt;key app="EN" db-id="5trrespwzsdr07efd5tx2w96x22re9s0fsdt"&gt;357&lt;/key&gt;&lt;/foreign-keys&gt;&lt;ref-type name="Journal Article"&gt;17&lt;/ref-type&gt;&lt;contributors&gt;&lt;authors&gt;&lt;author&gt;dos Santos, Alexandre P.&lt;/author&gt;&lt;author&gt;Levin, Yan&lt;/author&gt;&lt;/authors&gt;&lt;/contributors&gt;&lt;titles&gt;&lt;title&gt;Ions at the Water–oil Interface: Interfacial Tension of Electrolyte Solutions&lt;/title&gt;&lt;secondary-title&gt;Langmuir&lt;/secondary-title&gt;&lt;/titles&gt;&lt;periodical&gt;&lt;full-title&gt;Langmuir&lt;/full-title&gt;&lt;/periodical&gt;&lt;pages&gt;1304-1308&lt;/pages&gt;&lt;volume&gt;28&lt;/volume&gt;&lt;number&gt;2&lt;/number&gt;&lt;dates&gt;&lt;year&gt;2011&lt;/year&gt;&lt;pub-dates&gt;&lt;date&gt;2012/01/17&lt;/date&gt;&lt;/pub-dates&gt;&lt;/dates&gt;&lt;publisher&gt;American Chemical Society&lt;/publisher&gt;&lt;isbn&gt;0743-7463&lt;/isbn&gt;&lt;urls&gt;&lt;related-urls&gt;&lt;url&gt;http://dx.doi.org/10.1021/la204036e&lt;/url&gt;&lt;/related-urls&gt;&lt;/urls&gt;&lt;electronic-resource-num&gt;10.1021/la204036e&lt;/electronic-resource-num&gt;&lt;access-date&gt;2014/03/12&lt;/access-date&gt;&lt;/record&gt;&lt;/Cite&gt;&lt;/EndNote&gt;</w:instrText>
        </w:r>
        <w:r w:rsidR="00512D09" w:rsidRPr="00BE75B4">
          <w:fldChar w:fldCharType="separate"/>
        </w:r>
        <w:r w:rsidR="00512D09" w:rsidRPr="00F80CAD">
          <w:rPr>
            <w:noProof/>
            <w:vertAlign w:val="superscript"/>
          </w:rPr>
          <w:t>96</w:t>
        </w:r>
        <w:r w:rsidR="00512D09" w:rsidRPr="00BE75B4">
          <w:fldChar w:fldCharType="end"/>
        </w:r>
      </w:hyperlink>
      <w:r w:rsidR="00C82662">
        <w:t xml:space="preserve"> </w:t>
      </w:r>
    </w:p>
    <w:p w:rsidR="00BE75B4" w:rsidRPr="00BE75B4" w:rsidRDefault="00BE75B4" w:rsidP="00217116">
      <w:pPr>
        <w:spacing w:line="480" w:lineRule="auto"/>
        <w:jc w:val="both"/>
      </w:pPr>
      <w:r w:rsidRPr="00BE75B4">
        <w:t>The number of tightly bound water molecules around ions was calculated based upon the elution time from a Sephadex</w:t>
      </w:r>
      <w:r w:rsidRPr="00BE75B4">
        <w:rPr>
          <w:vertAlign w:val="superscript"/>
        </w:rPr>
        <w:t>®</w:t>
      </w:r>
      <w:r w:rsidRPr="00BE75B4">
        <w:t xml:space="preserve"> G-10 size exclusion column</w:t>
      </w:r>
      <w:r w:rsidR="00862B2D">
        <w:t>.</w:t>
      </w:r>
      <w:hyperlink w:anchor="_ENREF_108" w:tooltip="Kiriukhin, 2002 #362" w:history="1">
        <w:r w:rsidR="00512D09" w:rsidRPr="00BE75B4">
          <w:fldChar w:fldCharType="begin"/>
        </w:r>
        <w:r w:rsidR="00512D09">
          <w:instrText xml:space="preserve"> ADDIN EN.CITE &lt;EndNote&gt;&lt;Cite&gt;&lt;Author&gt;Kiriukhin&lt;/Author&gt;&lt;Year&gt;2002&lt;/Year&gt;&lt;RecNum&gt;362&lt;/RecNum&gt;&lt;DisplayText&gt;&lt;style face="superscript"&gt;108&lt;/style&gt;&lt;/DisplayText&gt;&lt;record&gt;&lt;rec-number&gt;362&lt;/rec-number&gt;&lt;foreign-keys&gt;&lt;key app="EN" db-id="5trrespwzsdr07efd5tx2w96x22re9s0fsdt"&gt;362&lt;/key&gt;&lt;/foreign-keys&gt;&lt;ref-type name="Journal Article"&gt;17&lt;/ref-type&gt;&lt;contributors&gt;&lt;authors&gt;&lt;author&gt;Kiriukhin, Michael Y.&lt;/author&gt;&lt;author&gt;Collins, Kim D.&lt;/author&gt;&lt;/authors&gt;&lt;/contributors&gt;&lt;titles&gt;&lt;title&gt;Dynamic hydration numbers for biologically important ions&lt;/title&gt;&lt;secondary-title&gt;Biophys Chem&lt;/secondary-title&gt;&lt;/titles&gt;&lt;periodical&gt;&lt;full-title&gt;Biophys Chem&lt;/full-title&gt;&lt;abbr-1&gt;Biophysical chemistry&lt;/abbr-1&gt;&lt;/periodical&gt;&lt;pages&gt;155-168&lt;/pages&gt;&lt;volume&gt;99&lt;/volume&gt;&lt;number&gt;2&lt;/number&gt;&lt;keywords&gt;&lt;keyword&gt;Hydroxide hydration&lt;/keyword&gt;&lt;keyword&gt;Ion hydration&lt;/keyword&gt;&lt;keyword&gt;Ionic strength&lt;/keyword&gt;&lt;keyword&gt;Magnesium hydration&lt;/keyword&gt;&lt;keyword&gt;Phosphate hydration&lt;/keyword&gt;&lt;keyword&gt;Hydrated proton&lt;/keyword&gt;&lt;/keywords&gt;&lt;dates&gt;&lt;year&gt;2002&lt;/year&gt;&lt;/dates&gt;&lt;isbn&gt;0301-4622&lt;/isbn&gt;&lt;urls&gt;&lt;related-urls&gt;&lt;url&gt;http://www.sciencedirect.com/science/article/pii/S0301462202001539&lt;/url&gt;&lt;/related-urls&gt;&lt;/urls&gt;&lt;electronic-resource-num&gt;http://dx.doi.org/10.1016/S0301-4622(02)00153-9&lt;/electronic-resource-num&gt;&lt;/record&gt;&lt;/Cite&gt;&lt;/EndNote&gt;</w:instrText>
        </w:r>
        <w:r w:rsidR="00512D09" w:rsidRPr="00BE75B4">
          <w:fldChar w:fldCharType="separate"/>
        </w:r>
        <w:r w:rsidR="00512D09" w:rsidRPr="00F80CAD">
          <w:rPr>
            <w:noProof/>
            <w:vertAlign w:val="superscript"/>
          </w:rPr>
          <w:t>108</w:t>
        </w:r>
        <w:r w:rsidR="00512D09" w:rsidRPr="00BE75B4">
          <w:fldChar w:fldCharType="end"/>
        </w:r>
      </w:hyperlink>
      <w:r w:rsidRPr="00BE75B4">
        <w:t xml:space="preserve">  The small non-polarisable ions such as F</w:t>
      </w:r>
      <w:r w:rsidRPr="00BE75B4">
        <w:rPr>
          <w:vertAlign w:val="superscript"/>
        </w:rPr>
        <w:t xml:space="preserve">- </w:t>
      </w:r>
      <w:r w:rsidRPr="00BE75B4">
        <w:t>and Na</w:t>
      </w:r>
      <w:r w:rsidRPr="00BE75B4">
        <w:rPr>
          <w:vertAlign w:val="superscript"/>
        </w:rPr>
        <w:t>+</w:t>
      </w:r>
      <w:r w:rsidRPr="00BE75B4">
        <w:t xml:space="preserve"> flow through the column with their hydration shells. The large more polarisable ions such as Rb</w:t>
      </w:r>
      <w:r w:rsidRPr="00BE75B4">
        <w:rPr>
          <w:vertAlign w:val="superscript"/>
        </w:rPr>
        <w:t>+</w:t>
      </w:r>
      <w:r w:rsidRPr="00BE75B4">
        <w:t xml:space="preserve"> and I</w:t>
      </w:r>
      <w:r w:rsidRPr="00BE75B4">
        <w:rPr>
          <w:vertAlign w:val="superscript"/>
        </w:rPr>
        <w:t xml:space="preserve">- </w:t>
      </w:r>
      <w:r w:rsidRPr="00BE75B4">
        <w:t xml:space="preserve">absorb onto the gel by losing thermodynamically unfavourable </w:t>
      </w:r>
      <w:r w:rsidR="00C65AD7" w:rsidRPr="00BE75B4">
        <w:t>water that</w:t>
      </w:r>
      <w:r w:rsidRPr="00BE75B4">
        <w:t xml:space="preserve"> can then return to the bulk</w:t>
      </w:r>
      <w:r w:rsidR="00862B2D">
        <w:t>.</w:t>
      </w:r>
      <w:r w:rsidRPr="00BE75B4">
        <w:t xml:space="preserve"> </w:t>
      </w:r>
      <w:hyperlink w:anchor="_ENREF_109" w:tooltip="Collins, 1995 #363" w:history="1">
        <w:r w:rsidR="00512D09" w:rsidRPr="00BE75B4">
          <w:fldChar w:fldCharType="begin"/>
        </w:r>
        <w:r w:rsidR="00512D09">
          <w:instrText xml:space="preserve"> ADDIN EN.CITE &lt;EndNote&gt;&lt;Cite&gt;&lt;Author&gt;Collins&lt;/Author&gt;&lt;Year&gt;1995&lt;/Year&gt;&lt;RecNum&gt;363&lt;/RecNum&gt;&lt;DisplayText&gt;&lt;style face="superscript"&gt;109&lt;/style&gt;&lt;/DisplayText&gt;&lt;record&gt;&lt;rec-number&gt;363&lt;/rec-number&gt;&lt;foreign-keys&gt;&lt;key app="EN" db-id="5trrespwzsdr07efd5tx2w96x22re9s0fsdt"&gt;363&lt;/key&gt;&lt;/foreign-keys&gt;&lt;ref-type name="Journal Article"&gt;17&lt;/ref-type&gt;&lt;contributors&gt;&lt;authors&gt;&lt;author&gt;Collins, K D&lt;/author&gt;&lt;/authors&gt;&lt;/contributors&gt;&lt;titles&gt;&lt;title&gt;Sticky ions in biological systems&lt;/title&gt;&lt;secondary-title&gt;Proceedings of the National Academy of Sciences&lt;/secondary-title&gt;&lt;/titles&gt;&lt;periodical&gt;&lt;full-title&gt;Proceedings of the National Academy of Sciences&lt;/full-title&gt;&lt;/periodical&gt;&lt;pages&gt;5553-5557&lt;/pages&gt;&lt;volume&gt;92&lt;/volume&gt;&lt;number&gt;12&lt;/number&gt;&lt;dates&gt;&lt;year&gt;1995&lt;/year&gt;&lt;pub-dates&gt;&lt;date&gt;June 6, 1995&lt;/date&gt;&lt;/pub-dates&gt;&lt;/dates&gt;&lt;urls&gt;&lt;related-urls&gt;&lt;url&gt;http://www.pnas.org/content/92/12/5553.abstract&lt;/url&gt;&lt;/related-urls&gt;&lt;/urls&gt;&lt;/record&gt;&lt;/Cite&gt;&lt;/EndNote&gt;</w:instrText>
        </w:r>
        <w:r w:rsidR="00512D09" w:rsidRPr="00BE75B4">
          <w:fldChar w:fldCharType="separate"/>
        </w:r>
        <w:r w:rsidR="00512D09" w:rsidRPr="00F80CAD">
          <w:rPr>
            <w:noProof/>
            <w:vertAlign w:val="superscript"/>
          </w:rPr>
          <w:t>109</w:t>
        </w:r>
        <w:r w:rsidR="00512D09" w:rsidRPr="00BE75B4">
          <w:fldChar w:fldCharType="end"/>
        </w:r>
      </w:hyperlink>
      <w:r w:rsidRPr="00BE75B4">
        <w:t xml:space="preserve"> The larger ions binding to the column also showed temperature </w:t>
      </w:r>
      <w:r w:rsidR="00C65AD7" w:rsidRPr="00BE75B4">
        <w:t>dependence, which</w:t>
      </w:r>
      <w:r w:rsidRPr="00BE75B4">
        <w:t xml:space="preserve"> along with the suggested mechanism of binding</w:t>
      </w:r>
      <w:r w:rsidR="00C65AD7">
        <w:t>,</w:t>
      </w:r>
      <w:r w:rsidRPr="00BE75B4">
        <w:t xml:space="preserve"> is evocative of the hydrophobic effect</w:t>
      </w:r>
      <w:r w:rsidR="00862B2D">
        <w:t>.</w:t>
      </w:r>
      <w:r w:rsidRPr="00BE75B4">
        <w:t xml:space="preserve"> </w:t>
      </w:r>
      <w:hyperlink w:anchor="_ENREF_110" w:tooltip="Washabaugh, 1986 #364" w:history="1">
        <w:r w:rsidR="00512D09" w:rsidRPr="00BE75B4">
          <w:fldChar w:fldCharType="begin"/>
        </w:r>
        <w:r w:rsidR="00512D09">
          <w:instrText xml:space="preserve"> ADDIN EN.CITE &lt;EndNote&gt;&lt;Cite&gt;&lt;Author&gt;Washabaugh&lt;/Author&gt;&lt;Year&gt;1986&lt;/Year&gt;&lt;RecNum&gt;364&lt;/RecNum&gt;&lt;DisplayText&gt;&lt;style face="superscript"&gt;110&lt;/style&gt;&lt;/DisplayText&gt;&lt;record&gt;&lt;rec-number&gt;364&lt;/rec-number&gt;&lt;foreign-keys&gt;&lt;key app="EN" db-id="5trrespwzsdr07efd5tx2w96x22re9s0fsdt"&gt;364&lt;/key&gt;&lt;/foreign-keys&gt;&lt;ref-type name="Journal Article"&gt;17&lt;/ref-type&gt;&lt;contributors&gt;&lt;authors&gt;&lt;author&gt;Washabaugh, M W&lt;/author&gt;&lt;author&gt;Collins, K D&lt;/author&gt;&lt;/authors&gt;&lt;/contributors&gt;&lt;titles&gt;&lt;title&gt;The systematic characterization by aqueous column chromatography of solutes which affect protein stability&lt;/title&gt;&lt;secondary-title&gt;Journal of Biological Chemistry&lt;/secondary-title&gt;&lt;/titles&gt;&lt;periodical&gt;&lt;full-title&gt;Journal of Biological Chemistry&lt;/full-title&gt;&lt;/periodical&gt;&lt;pages&gt;12477-12485&lt;/pages&gt;&lt;volume&gt;261&lt;/volume&gt;&lt;number&gt;27&lt;/number&gt;&lt;dates&gt;&lt;year&gt;1986&lt;/year&gt;&lt;pub-dates&gt;&lt;date&gt;September 25, 1986&lt;/date&gt;&lt;/pub-dates&gt;&lt;/dates&gt;&lt;urls&gt;&lt;related-urls&gt;&lt;url&gt;http://www.jbc.org/content/261/27/12477.abstract&lt;/url&gt;&lt;/related-urls&gt;&lt;/urls&gt;&lt;/record&gt;&lt;/Cite&gt;&lt;/EndNote&gt;</w:instrText>
        </w:r>
        <w:r w:rsidR="00512D09" w:rsidRPr="00BE75B4">
          <w:fldChar w:fldCharType="separate"/>
        </w:r>
        <w:r w:rsidR="00512D09" w:rsidRPr="00F80CAD">
          <w:rPr>
            <w:noProof/>
            <w:vertAlign w:val="superscript"/>
          </w:rPr>
          <w:t>110</w:t>
        </w:r>
        <w:r w:rsidR="00512D09" w:rsidRPr="00BE75B4">
          <w:fldChar w:fldCharType="end"/>
        </w:r>
      </w:hyperlink>
      <w:r w:rsidRPr="00BE75B4">
        <w:t xml:space="preserve"> Elution time followed the Hofmeister series with F</w:t>
      </w:r>
      <w:r w:rsidRPr="00BE75B4">
        <w:rPr>
          <w:vertAlign w:val="superscript"/>
        </w:rPr>
        <w:t>-</w:t>
      </w:r>
      <w:r w:rsidRPr="00BE75B4">
        <w:t xml:space="preserve"> fractionating first and I</w:t>
      </w:r>
      <w:r w:rsidRPr="00BE75B4">
        <w:rPr>
          <w:vertAlign w:val="superscript"/>
        </w:rPr>
        <w:t>-</w:t>
      </w:r>
      <w:r w:rsidRPr="00BE75B4">
        <w:t xml:space="preserve"> last</w:t>
      </w:r>
      <w:r w:rsidR="00862B2D">
        <w:t>.</w:t>
      </w:r>
      <w:r w:rsidRPr="00BE75B4">
        <w:t xml:space="preserve"> </w:t>
      </w:r>
      <w:hyperlink w:anchor="_ENREF_110" w:tooltip="Washabaugh, 1986 #364" w:history="1">
        <w:r w:rsidR="00512D09" w:rsidRPr="00BE75B4">
          <w:fldChar w:fldCharType="begin"/>
        </w:r>
        <w:r w:rsidR="00512D09">
          <w:instrText xml:space="preserve"> ADDIN EN.CITE &lt;EndNote&gt;&lt;Cite&gt;&lt;Author&gt;Washabaugh&lt;/Author&gt;&lt;Year&gt;1986&lt;/Year&gt;&lt;RecNum&gt;364&lt;/RecNum&gt;&lt;DisplayText&gt;&lt;style face="superscript"&gt;110&lt;/style&gt;&lt;/DisplayText&gt;&lt;record&gt;&lt;rec-number&gt;364&lt;/rec-number&gt;&lt;foreign-keys&gt;&lt;key app="EN" db-id="5trrespwzsdr07efd5tx2w96x22re9s0fsdt"&gt;364&lt;/key&gt;&lt;/foreign-keys&gt;&lt;ref-type name="Journal Article"&gt;17&lt;/ref-type&gt;&lt;contributors&gt;&lt;authors&gt;&lt;author&gt;Washabaugh, M W&lt;/author&gt;&lt;author&gt;Collins, K D&lt;/author&gt;&lt;/authors&gt;&lt;/contributors&gt;&lt;titles&gt;&lt;title&gt;The systematic characterization by aqueous column chromatography of solutes which affect protein stability&lt;/title&gt;&lt;secondary-title&gt;Journal of Biological Chemistry&lt;/secondary-title&gt;&lt;/titles&gt;&lt;periodical&gt;&lt;full-title&gt;Journal of Biological Chemistry&lt;/full-title&gt;&lt;/periodical&gt;&lt;pages&gt;12477-12485&lt;/pages&gt;&lt;volume&gt;261&lt;/volume&gt;&lt;number&gt;27&lt;/number&gt;&lt;dates&gt;&lt;year&gt;1986&lt;/year&gt;&lt;pub-dates&gt;&lt;date&gt;September 25, 1986&lt;/date&gt;&lt;/pub-dates&gt;&lt;/dates&gt;&lt;urls&gt;&lt;related-urls&gt;&lt;url&gt;http://www.jbc.org/content/261/27/12477.abstract&lt;/url&gt;&lt;/related-urls&gt;&lt;/urls&gt;&lt;/record&gt;&lt;/Cite&gt;&lt;/EndNote&gt;</w:instrText>
        </w:r>
        <w:r w:rsidR="00512D09" w:rsidRPr="00BE75B4">
          <w:fldChar w:fldCharType="separate"/>
        </w:r>
        <w:r w:rsidR="00512D09" w:rsidRPr="00F80CAD">
          <w:rPr>
            <w:noProof/>
            <w:vertAlign w:val="superscript"/>
          </w:rPr>
          <w:t>110</w:t>
        </w:r>
        <w:r w:rsidR="00512D09" w:rsidRPr="00BE75B4">
          <w:fldChar w:fldCharType="end"/>
        </w:r>
      </w:hyperlink>
      <w:r w:rsidRPr="00BE75B4">
        <w:t xml:space="preserve"> SO</w:t>
      </w:r>
      <w:r w:rsidRPr="00BE75B4">
        <w:rPr>
          <w:vertAlign w:val="subscript"/>
        </w:rPr>
        <w:t>4</w:t>
      </w:r>
      <w:r w:rsidRPr="00BE75B4">
        <w:rPr>
          <w:vertAlign w:val="superscript"/>
        </w:rPr>
        <w:t>2-</w:t>
      </w:r>
      <w:r w:rsidRPr="00BE75B4">
        <w:t xml:space="preserve"> was found to increase the hydrodynamic radii of isotopically labelled SO</w:t>
      </w:r>
      <w:r w:rsidRPr="00BE75B4">
        <w:rPr>
          <w:vertAlign w:val="subscript"/>
        </w:rPr>
        <w:t>4</w:t>
      </w:r>
      <w:r w:rsidRPr="00BE75B4">
        <w:rPr>
          <w:vertAlign w:val="superscript"/>
        </w:rPr>
        <w:t>2-</w:t>
      </w:r>
      <w:r w:rsidRPr="00BE75B4">
        <w:t xml:space="preserve"> .The authors presumed that SO</w:t>
      </w:r>
      <w:r w:rsidRPr="00BE75B4">
        <w:rPr>
          <w:vertAlign w:val="subscript"/>
        </w:rPr>
        <w:t>4</w:t>
      </w:r>
      <w:r w:rsidRPr="00BE75B4">
        <w:rPr>
          <w:vertAlign w:val="superscript"/>
        </w:rPr>
        <w:t>2-</w:t>
      </w:r>
      <w:r w:rsidRPr="00BE75B4">
        <w:t xml:space="preserve"> was salting in labelled SO</w:t>
      </w:r>
      <w:r w:rsidRPr="00BE75B4">
        <w:rPr>
          <w:vertAlign w:val="subscript"/>
        </w:rPr>
        <w:t>4</w:t>
      </w:r>
      <w:r w:rsidRPr="00BE75B4">
        <w:rPr>
          <w:vertAlign w:val="superscript"/>
        </w:rPr>
        <w:t>2-</w:t>
      </w:r>
      <w:r w:rsidRPr="00BE75B4">
        <w:t xml:space="preserve"> which had already bound to the column</w:t>
      </w:r>
      <w:r w:rsidR="00862B2D">
        <w:t>.</w:t>
      </w:r>
      <w:r w:rsidRPr="00BE75B4">
        <w:t xml:space="preserve"> </w:t>
      </w:r>
      <w:hyperlink w:anchor="_ENREF_110" w:tooltip="Washabaugh, 1986 #364" w:history="1">
        <w:r w:rsidR="00512D09" w:rsidRPr="00BE75B4">
          <w:fldChar w:fldCharType="begin"/>
        </w:r>
        <w:r w:rsidR="00512D09">
          <w:instrText xml:space="preserve"> ADDIN EN.CITE &lt;EndNote&gt;&lt;Cite&gt;&lt;Author&gt;Washabaugh&lt;/Author&gt;&lt;Year&gt;1986&lt;/Year&gt;&lt;RecNum&gt;364&lt;/RecNum&gt;&lt;DisplayText&gt;&lt;style face="superscript"&gt;110&lt;/style&gt;&lt;/DisplayText&gt;&lt;record&gt;&lt;rec-number&gt;364&lt;/rec-number&gt;&lt;foreign-keys&gt;&lt;key app="EN" db-id="5trrespwzsdr07efd5tx2w96x22re9s0fsdt"&gt;364&lt;/key&gt;&lt;/foreign-keys&gt;&lt;ref-type name="Journal Article"&gt;17&lt;/ref-type&gt;&lt;contributors&gt;&lt;authors&gt;&lt;author&gt;Washabaugh, M W&lt;/author&gt;&lt;author&gt;Collins, K D&lt;/author&gt;&lt;/authors&gt;&lt;/contributors&gt;&lt;titles&gt;&lt;title&gt;The systematic characterization by aqueous column chromatography of solutes which affect protein stability&lt;/title&gt;&lt;secondary-title&gt;Journal of Biological Chemistry&lt;/secondary-title&gt;&lt;/titles&gt;&lt;periodical&gt;&lt;full-title&gt;Journal of Biological Chemistry&lt;/full-title&gt;&lt;/periodical&gt;&lt;pages&gt;12477-12485&lt;/pages&gt;&lt;volume&gt;261&lt;/volume&gt;&lt;number&gt;27&lt;/number&gt;&lt;dates&gt;&lt;year&gt;1986&lt;/year&gt;&lt;pub-dates&gt;&lt;date&gt;September 25, 1986&lt;/date&gt;&lt;/pub-dates&gt;&lt;/dates&gt;&lt;urls&gt;&lt;related-urls&gt;&lt;url&gt;http://www.jbc.org/content/261/27/12477.abstract&lt;/url&gt;&lt;/related-urls&gt;&lt;/urls&gt;&lt;/record&gt;&lt;/Cite&gt;&lt;/EndNote&gt;</w:instrText>
        </w:r>
        <w:r w:rsidR="00512D09" w:rsidRPr="00BE75B4">
          <w:fldChar w:fldCharType="separate"/>
        </w:r>
        <w:r w:rsidR="00512D09" w:rsidRPr="00F80CAD">
          <w:rPr>
            <w:noProof/>
            <w:vertAlign w:val="superscript"/>
          </w:rPr>
          <w:t>110</w:t>
        </w:r>
        <w:r w:rsidR="00512D09" w:rsidRPr="00BE75B4">
          <w:fldChar w:fldCharType="end"/>
        </w:r>
      </w:hyperlink>
      <w:r w:rsidRPr="00BE75B4">
        <w:t xml:space="preserve"> </w:t>
      </w:r>
    </w:p>
    <w:p w:rsidR="00BE75B4" w:rsidRPr="00BE75B4" w:rsidRDefault="00BE75B4" w:rsidP="00217116">
      <w:pPr>
        <w:spacing w:line="480" w:lineRule="auto"/>
        <w:jc w:val="both"/>
      </w:pPr>
      <w:r w:rsidRPr="00BE75B4">
        <w:t xml:space="preserve">Collins </w:t>
      </w:r>
      <w:r w:rsidR="002D4FF8">
        <w:rPr>
          <w:i/>
        </w:rPr>
        <w:t xml:space="preserve">et al. </w:t>
      </w:r>
      <w:r w:rsidRPr="00BE75B4">
        <w:t>put forward the law of matching water affinities to explain the solubility of salts</w:t>
      </w:r>
      <w:r w:rsidR="00862B2D">
        <w:t>.</w:t>
      </w:r>
      <w:hyperlink w:anchor="_ENREF_111" w:tooltip="Collins, 2007 #355" w:history="1">
        <w:r w:rsidR="00512D09" w:rsidRPr="00BE75B4">
          <w:fldChar w:fldCharType="begin"/>
        </w:r>
        <w:r w:rsidR="00512D09">
          <w:instrText xml:space="preserve"> ADDIN EN.CITE &lt;EndNote&gt;&lt;Cite&gt;&lt;Author&gt;Collins&lt;/Author&gt;&lt;Year&gt;2007&lt;/Year&gt;&lt;RecNum&gt;355&lt;/RecNum&gt;&lt;DisplayText&gt;&lt;style face="superscript"&gt;111&lt;/style&gt;&lt;/DisplayText&gt;&lt;record&gt;&lt;rec-number&gt;355&lt;/rec-number&gt;&lt;foreign-keys&gt;&lt;key app="EN" db-id="5trrespwzsdr07efd5tx2w96x22re9s0fsdt"&gt;355&lt;/key&gt;&lt;/foreign-keys&gt;&lt;ref-type name="Journal Article"&gt;17&lt;/ref-type&gt;&lt;contributors&gt;&lt;authors&gt;&lt;author&gt;Collins, Kim D.&lt;/author&gt;&lt;author&gt;Neilson, George W.&lt;/author&gt;&lt;author&gt;Enderby, John E.&lt;/author&gt;&lt;/authors&gt;&lt;/contributors&gt;&lt;titles&gt;&lt;title&gt;Ions in water: Characterizing the forces that control chemical processes and biological structure&lt;/title&gt;&lt;secondary-title&gt;Biophys Chem&lt;/secondary-title&gt;&lt;/titles&gt;&lt;periodical&gt;&lt;full-title&gt;Biophys Chem&lt;/full-title&gt;&lt;abbr-1&gt;Biophysical chemistry&lt;/abbr-1&gt;&lt;/periodical&gt;&lt;pages&gt;95-104&lt;/pages&gt;&lt;volume&gt;128&lt;/volume&gt;&lt;number&gt;2–3&lt;/number&gt;&lt;keywords&gt;&lt;keyword&gt;Hofmeister series&lt;/keyword&gt;&lt;keyword&gt;Water (hydration)&lt;/keyword&gt;&lt;keyword&gt;Specific ion effects&lt;/keyword&gt;&lt;keyword&gt;Solution neutron diffraction&lt;/keyword&gt;&lt;keyword&gt;Ions&lt;/keyword&gt;&lt;keyword&gt;Dielectric constant&lt;/keyword&gt;&lt;keyword&gt;Chaotrope&lt;/keyword&gt;&lt;keyword&gt;Kosmotrope&lt;/keyword&gt;&lt;/keywords&gt;&lt;dates&gt;&lt;year&gt;2007&lt;/year&gt;&lt;/dates&gt;&lt;isbn&gt;0301-4622&lt;/isbn&gt;&lt;urls&gt;&lt;related-urls&gt;&lt;url&gt;http://www.sciencedirect.com/science/article/pii/S0301462207000786&lt;/url&gt;&lt;/related-urls&gt;&lt;/urls&gt;&lt;electronic-resource-num&gt;http://dx.doi.org/10.1016/j.bpc.2007.03.009&lt;/electronic-resource-num&gt;&lt;/record&gt;&lt;/Cite&gt;&lt;/EndNote&gt;</w:instrText>
        </w:r>
        <w:r w:rsidR="00512D09" w:rsidRPr="00BE75B4">
          <w:fldChar w:fldCharType="separate"/>
        </w:r>
        <w:r w:rsidR="00512D09" w:rsidRPr="00F80CAD">
          <w:rPr>
            <w:noProof/>
            <w:vertAlign w:val="superscript"/>
          </w:rPr>
          <w:t>111</w:t>
        </w:r>
        <w:r w:rsidR="00512D09" w:rsidRPr="00BE75B4">
          <w:fldChar w:fldCharType="end"/>
        </w:r>
      </w:hyperlink>
      <w:r w:rsidRPr="00BE75B4">
        <w:t xml:space="preserve">  This theory explains that ions with matching water affinities will form contact ion pairs in solution whilst those with differing water affinities will be soluble. However, the examples put forward by Collins </w:t>
      </w:r>
      <w:r w:rsidR="002D4FF8">
        <w:rPr>
          <w:i/>
        </w:rPr>
        <w:t xml:space="preserve">et al. </w:t>
      </w:r>
      <w:r w:rsidRPr="00BE75B4">
        <w:rPr>
          <w:i/>
        </w:rPr>
        <w:t xml:space="preserve"> </w:t>
      </w:r>
      <w:r w:rsidRPr="00BE75B4">
        <w:t xml:space="preserve">can be explained using the mismatch rule which offers an alternate explanation for solubility. Ions with a similar </w:t>
      </w:r>
      <w:r w:rsidRPr="00BE75B4">
        <w:rPr>
          <w:iCs/>
        </w:rPr>
        <w:t xml:space="preserve">polarisabilities form strong ionic bonds meaning they are less soluble than ions with differing polarisabilities.  </w:t>
      </w:r>
      <w:r w:rsidR="00F1582B">
        <w:rPr>
          <w:iCs/>
        </w:rPr>
        <w:t xml:space="preserve">In addition to this, </w:t>
      </w:r>
      <w:r w:rsidRPr="00BE75B4">
        <w:t xml:space="preserve">Collins </w:t>
      </w:r>
      <w:r w:rsidR="002D4FF8">
        <w:rPr>
          <w:i/>
        </w:rPr>
        <w:t xml:space="preserve">et al. </w:t>
      </w:r>
      <w:r w:rsidRPr="00BE75B4">
        <w:t>suggested from a range of gel chromatography experiments that the hydration size of simple ions was no larger than 5 Å</w:t>
      </w:r>
      <w:r w:rsidR="00862B2D">
        <w:t>.</w:t>
      </w:r>
      <w:r w:rsidRPr="00BE75B4">
        <w:t xml:space="preserve"> </w:t>
      </w:r>
      <w:hyperlink w:anchor="_ENREF_111" w:tooltip="Collins, 2007 #355" w:history="1">
        <w:r w:rsidR="00512D09" w:rsidRPr="00BE75B4">
          <w:fldChar w:fldCharType="begin"/>
        </w:r>
        <w:r w:rsidR="00512D09">
          <w:instrText xml:space="preserve"> ADDIN EN.CITE &lt;EndNote&gt;&lt;Cite&gt;&lt;Author&gt;Collins&lt;/Author&gt;&lt;Year&gt;2007&lt;/Year&gt;&lt;RecNum&gt;355&lt;/RecNum&gt;&lt;DisplayText&gt;&lt;style face="superscript"&gt;111&lt;/style&gt;&lt;/DisplayText&gt;&lt;record&gt;&lt;rec-number&gt;355&lt;/rec-number&gt;&lt;foreign-keys&gt;&lt;key app="EN" db-id="5trrespwzsdr07efd5tx2w96x22re9s0fsdt"&gt;355&lt;/key&gt;&lt;/foreign-keys&gt;&lt;ref-type name="Journal Article"&gt;17&lt;/ref-type&gt;&lt;contributors&gt;&lt;authors&gt;&lt;author&gt;Collins, Kim D.&lt;/author&gt;&lt;author&gt;Neilson, George W.&lt;/author&gt;&lt;author&gt;Enderby, John E.&lt;/author&gt;&lt;/authors&gt;&lt;/contributors&gt;&lt;titles&gt;&lt;title&gt;Ions in water: Characterizing the forces that control chemical processes and biological structure&lt;/title&gt;&lt;secondary-title&gt;Biophys Chem&lt;/secondary-title&gt;&lt;/titles&gt;&lt;periodical&gt;&lt;full-title&gt;Biophys Chem&lt;/full-title&gt;&lt;abbr-1&gt;Biophysical chemistry&lt;/abbr-1&gt;&lt;/periodical&gt;&lt;pages&gt;95-104&lt;/pages&gt;&lt;volume&gt;128&lt;/volume&gt;&lt;number&gt;2–3&lt;/number&gt;&lt;keywords&gt;&lt;keyword&gt;Hofmeister series&lt;/keyword&gt;&lt;keyword&gt;Water (hydration)&lt;/keyword&gt;&lt;keyword&gt;Specific ion effects&lt;/keyword&gt;&lt;keyword&gt;Solution neutron diffraction&lt;/keyword&gt;&lt;keyword&gt;Ions&lt;/keyword&gt;&lt;keyword&gt;Dielectric constant&lt;/keyword&gt;&lt;keyword&gt;Chaotrope&lt;/keyword&gt;&lt;keyword&gt;Kosmotrope&lt;/keyword&gt;&lt;/keywords&gt;&lt;dates&gt;&lt;year&gt;2007&lt;/year&gt;&lt;/dates&gt;&lt;isbn&gt;0301-4622&lt;/isbn&gt;&lt;urls&gt;&lt;related-urls&gt;&lt;url&gt;http://www.sciencedirect.com/science/article/pii/S0301462207000786&lt;/url&gt;&lt;/related-urls&gt;&lt;/urls&gt;&lt;electronic-resource-num&gt;http://dx.doi.org/10.1016/j.bpc.2007.03.009&lt;/electronic-resource-num&gt;&lt;/record&gt;&lt;/Cite&gt;&lt;/EndNote&gt;</w:instrText>
        </w:r>
        <w:r w:rsidR="00512D09" w:rsidRPr="00BE75B4">
          <w:fldChar w:fldCharType="separate"/>
        </w:r>
        <w:r w:rsidR="00512D09" w:rsidRPr="00F80CAD">
          <w:rPr>
            <w:noProof/>
            <w:vertAlign w:val="superscript"/>
          </w:rPr>
          <w:t>111</w:t>
        </w:r>
        <w:r w:rsidR="00512D09" w:rsidRPr="00BE75B4">
          <w:fldChar w:fldCharType="end"/>
        </w:r>
      </w:hyperlink>
      <w:r w:rsidRPr="00BE75B4">
        <w:t xml:space="preserve"> </w:t>
      </w:r>
    </w:p>
    <w:p w:rsidR="00BE75B4" w:rsidRPr="00BE75B4" w:rsidRDefault="00BE75B4" w:rsidP="00217116">
      <w:pPr>
        <w:spacing w:line="480" w:lineRule="auto"/>
        <w:jc w:val="both"/>
      </w:pPr>
      <w:r w:rsidRPr="00BE75B4">
        <w:lastRenderedPageBreak/>
        <w:t>Poly(N-isopropylacrylamide) (PNIPAM) has been used to study the Hofmeister effects. At its lower critical solution temperature (LCST), the polymer precipitates meaning this can be quantified by any techniques which measure light scattering.  This polymer mimics the cold denaturation of proteins, an unfolding process due to enthalpically more favourable bonds being made between the unfolded protein and the solvent</w:t>
      </w:r>
      <w:r w:rsidR="00862B2D">
        <w:t>.</w:t>
      </w:r>
      <w:r w:rsidRPr="00BE75B4">
        <w:t xml:space="preserve"> </w:t>
      </w:r>
      <w:hyperlink w:anchor="_ENREF_112" w:tooltip="Zhang, 2010 #365" w:history="1">
        <w:r w:rsidR="00512D09" w:rsidRPr="00BE75B4">
          <w:fldChar w:fldCharType="begin"/>
        </w:r>
        <w:r w:rsidR="00512D09">
          <w:instrText xml:space="preserve"> ADDIN EN.CITE &lt;EndNote&gt;&lt;Cite&gt;&lt;Author&gt;Zhang&lt;/Author&gt;&lt;Year&gt;2010&lt;/Year&gt;&lt;RecNum&gt;365&lt;/RecNum&gt;&lt;DisplayText&gt;&lt;style face="superscript"&gt;112&lt;/style&gt;&lt;/DisplayText&gt;&lt;record&gt;&lt;rec-number&gt;365&lt;/rec-number&gt;&lt;foreign-keys&gt;&lt;key app="EN" db-id="5trrespwzsdr07efd5tx2w96x22re9s0fsdt"&gt;365&lt;/key&gt;&lt;/foreign-keys&gt;&lt;ref-type name="Journal Article"&gt;17&lt;/ref-type&gt;&lt;contributors&gt;&lt;authors&gt;&lt;author&gt;Zhang, Yanjie&lt;/author&gt;&lt;author&gt;Cremer, Paul S&lt;/author&gt;&lt;/authors&gt;&lt;/contributors&gt;&lt;titles&gt;&lt;title&gt;Chemistry of Hofmeister anions and osmolytes&lt;/title&gt;&lt;secondary-title&gt;Annual Review of Physical Chemistry&lt;/secondary-title&gt;&lt;/titles&gt;&lt;periodical&gt;&lt;full-title&gt;Annual Review of Physical Chemistry&lt;/full-title&gt;&lt;/periodical&gt;&lt;pages&gt;63-83&lt;/pages&gt;&lt;volume&gt;61&lt;/volume&gt;&lt;dates&gt;&lt;year&gt;2010&lt;/year&gt;&lt;/dates&gt;&lt;isbn&gt;0066-426X&lt;/isbn&gt;&lt;urls&gt;&lt;/urls&gt;&lt;/record&gt;&lt;/Cite&gt;&lt;/EndNote&gt;</w:instrText>
        </w:r>
        <w:r w:rsidR="00512D09" w:rsidRPr="00BE75B4">
          <w:fldChar w:fldCharType="separate"/>
        </w:r>
        <w:r w:rsidR="00512D09" w:rsidRPr="00F80CAD">
          <w:rPr>
            <w:noProof/>
            <w:vertAlign w:val="superscript"/>
          </w:rPr>
          <w:t>112</w:t>
        </w:r>
        <w:r w:rsidR="00512D09" w:rsidRPr="00BE75B4">
          <w:fldChar w:fldCharType="end"/>
        </w:r>
      </w:hyperlink>
      <w:r w:rsidRPr="00BE75B4">
        <w:t xml:space="preserve"> Compared with proteins, the cold denaturation would correspond to the globule to coil transition occurring at the LCST, at temperatures above the LCST the polymer mimics a globular folded protein, but as it is cooled the polymer unfolds</w:t>
      </w:r>
      <w:r w:rsidR="00862B2D">
        <w:t>.</w:t>
      </w:r>
      <w:r w:rsidRPr="00BE75B4">
        <w:t xml:space="preserve"> </w:t>
      </w:r>
      <w:hyperlink w:anchor="_ENREF_113" w:tooltip="Bischofberger, 2014 #371" w:history="1">
        <w:r w:rsidR="00512D09" w:rsidRPr="00BE75B4">
          <w:fldChar w:fldCharType="begin"/>
        </w:r>
        <w:r w:rsidR="00512D09">
          <w:instrText xml:space="preserve"> ADDIN EN.CITE &lt;EndNote&gt;&lt;Cite&gt;&lt;Author&gt;Bischofberger&lt;/Author&gt;&lt;Year&gt;2014&lt;/Year&gt;&lt;RecNum&gt;371&lt;/RecNum&gt;&lt;DisplayText&gt;&lt;style face="superscript"&gt;113&lt;/style&gt;&lt;/DisplayText&gt;&lt;record&gt;&lt;rec-number&gt;371&lt;/rec-number&gt;&lt;foreign-keys&gt;&lt;key app="EN" db-id="5trrespwzsdr07efd5tx2w96x22re9s0fsdt"&gt;371&lt;/key&gt;&lt;/foreign-keys&gt;&lt;ref-type name="Journal Article"&gt;17&lt;/ref-type&gt;&lt;contributors&gt;&lt;authors&gt;&lt;author&gt;Bischofberger, I.&lt;/author&gt;&lt;author&gt;Calzolari, D. C. E.&lt;/author&gt;&lt;author&gt;De Los Rios, P.&lt;/author&gt;&lt;author&gt;Jelezarov, I.&lt;/author&gt;&lt;author&gt;Trappe, V.&lt;/author&gt;&lt;/authors&gt;&lt;/contributors&gt;&lt;titles&gt;&lt;title&gt;Hydrophobic hydration of poly-N-isopropyl acrylamide: a matter of the mean energetic state of water&lt;/title&gt;&lt;secondary-title&gt;Sci. Rep.&lt;/secondary-title&gt;&lt;/titles&gt;&lt;periodical&gt;&lt;full-title&gt;Sci. Rep.&lt;/full-title&gt;&lt;/periodical&gt;&lt;volume&gt;4&lt;/volume&gt;&lt;dates&gt;&lt;year&gt;2014&lt;/year&gt;&lt;/dates&gt;&lt;publisher&gt;Macmillan Publishers Limited. All rights reserved&lt;/publisher&gt;&lt;work-type&gt;Article&lt;/work-type&gt;&lt;urls&gt;&lt;related-urls&gt;&lt;url&gt;http://dx.doi.org/10.1038/srep04377&lt;/url&gt;&lt;/related-urls&gt;&lt;/urls&gt;&lt;electronic-resource-num&gt;10.1038/srep04377&lt;/electronic-resource-num&gt;&lt;/record&gt;&lt;/Cite&gt;&lt;/EndNote&gt;</w:instrText>
        </w:r>
        <w:r w:rsidR="00512D09" w:rsidRPr="00BE75B4">
          <w:fldChar w:fldCharType="separate"/>
        </w:r>
        <w:r w:rsidR="00512D09" w:rsidRPr="00F80CAD">
          <w:rPr>
            <w:noProof/>
            <w:vertAlign w:val="superscript"/>
          </w:rPr>
          <w:t>113</w:t>
        </w:r>
        <w:r w:rsidR="00512D09" w:rsidRPr="00BE75B4">
          <w:fldChar w:fldCharType="end"/>
        </w:r>
      </w:hyperlink>
      <w:r w:rsidRPr="00BE75B4">
        <w:t xml:space="preserve"> The molecule has hydrophobic isopropyl and hydrophilic amide groups.  Zhang </w:t>
      </w:r>
      <w:r w:rsidR="002D4FF8">
        <w:rPr>
          <w:i/>
        </w:rPr>
        <w:t xml:space="preserve">et al. </w:t>
      </w:r>
      <w:r w:rsidRPr="00BE75B4">
        <w:t xml:space="preserve"> investigated the effects of Hofmeister salts with PNIPAM finding that chaotropic behaviour could be modelled by two distinct mechanisms</w:t>
      </w:r>
      <w:r w:rsidR="00862B2D">
        <w:t>.</w:t>
      </w:r>
      <w:hyperlink w:anchor="_ENREF_114" w:tooltip="Zhang, 2005 #342" w:history="1">
        <w:r w:rsidR="00512D09" w:rsidRPr="00BE75B4">
          <w:fldChar w:fldCharType="begin"/>
        </w:r>
        <w:r w:rsidR="00512D09">
          <w:instrText xml:space="preserve"> ADDIN EN.CITE &lt;EndNote&gt;&lt;Cite&gt;&lt;Author&gt;Zhang&lt;/Author&gt;&lt;Year&gt;2005&lt;/Year&gt;&lt;RecNum&gt;342&lt;/RecNum&gt;&lt;DisplayText&gt;&lt;style face="superscript"&gt;114&lt;/style&gt;&lt;/DisplayText&gt;&lt;record&gt;&lt;rec-number&gt;342&lt;/rec-number&gt;&lt;foreign-keys&gt;&lt;key app="EN" db-id="5trrespwzsdr07efd5tx2w96x22re9s0fsdt"&gt;342&lt;/key&gt;&lt;/foreign-keys&gt;&lt;ref-type name="Journal Article"&gt;17&lt;/ref-type&gt;&lt;contributors&gt;&lt;authors&gt;&lt;author&gt;Zhang, Yanjie&lt;/author&gt;&lt;author&gt;Furyk, Steven&lt;/author&gt;&lt;author&gt;Bergbreiter, David E.&lt;/author&gt;&lt;author&gt;Cremer, Paul S.&lt;/author&gt;&lt;/authors&gt;&lt;/contributors&gt;&lt;titles&gt;&lt;title&gt;Specific Ion Effects on the Water Solubility of Macromolecules:  PNIPAM and the Hofmeister Series&lt;/title&gt;&lt;secondary-title&gt;J Am Chem Soc&lt;/secondary-title&gt;&lt;/titles&gt;&lt;periodical&gt;&lt;full-title&gt;J Am Chem Soc&lt;/full-title&gt;&lt;abbr-1&gt;Journal of the American Chemical Society&lt;/abbr-1&gt;&lt;/periodical&gt;&lt;pages&gt;14505-14510&lt;/pages&gt;&lt;volume&gt;127&lt;/volume&gt;&lt;number&gt;41&lt;/number&gt;&lt;dates&gt;&lt;year&gt;2005&lt;/year&gt;&lt;pub-dates&gt;&lt;date&gt;2005/10/01&lt;/date&gt;&lt;/pub-dates&gt;&lt;/dates&gt;&lt;publisher&gt;American Chemical Society&lt;/publisher&gt;&lt;isbn&gt;0002-7863&lt;/isbn&gt;&lt;urls&gt;&lt;related-urls&gt;&lt;url&gt;http://dx.doi.org/10.1021/ja0546424&lt;/url&gt;&lt;/related-urls&gt;&lt;/urls&gt;&lt;electronic-resource-num&gt;10.1021/ja0546424&lt;/electronic-resource-num&gt;&lt;access-date&gt;2014/03/05&lt;/access-date&gt;&lt;/record&gt;&lt;/Cite&gt;&lt;/EndNote&gt;</w:instrText>
        </w:r>
        <w:r w:rsidR="00512D09" w:rsidRPr="00BE75B4">
          <w:fldChar w:fldCharType="separate"/>
        </w:r>
        <w:r w:rsidR="00512D09" w:rsidRPr="00F80CAD">
          <w:rPr>
            <w:noProof/>
            <w:vertAlign w:val="superscript"/>
          </w:rPr>
          <w:t>114</w:t>
        </w:r>
        <w:r w:rsidR="00512D09" w:rsidRPr="00BE75B4">
          <w:fldChar w:fldCharType="end"/>
        </w:r>
      </w:hyperlink>
      <w:r w:rsidRPr="00BE75B4">
        <w:t xml:space="preserve">  At low concentrations, the salts could be fitted to a binding isotherm with binding constants in the order of ClO</w:t>
      </w:r>
      <w:r w:rsidRPr="00BE75B4">
        <w:rPr>
          <w:vertAlign w:val="subscript"/>
        </w:rPr>
        <w:t>4</w:t>
      </w:r>
      <w:r w:rsidRPr="00BE75B4">
        <w:rPr>
          <w:vertAlign w:val="superscript"/>
        </w:rPr>
        <w:t>-</w:t>
      </w:r>
      <w:r w:rsidRPr="00BE75B4">
        <w:t xml:space="preserve"> &gt; SCN</w:t>
      </w:r>
      <w:r w:rsidRPr="00BE75B4">
        <w:rPr>
          <w:vertAlign w:val="superscript"/>
        </w:rPr>
        <w:t>-</w:t>
      </w:r>
      <w:r w:rsidRPr="00BE75B4">
        <w:t xml:space="preserve"> &gt; Br</w:t>
      </w:r>
      <w:r w:rsidRPr="00BE75B4">
        <w:rPr>
          <w:vertAlign w:val="superscript"/>
        </w:rPr>
        <w:t>-</w:t>
      </w:r>
      <w:r w:rsidRPr="00BE75B4">
        <w:t xml:space="preserve"> &gt; NO</w:t>
      </w:r>
      <w:r w:rsidRPr="00BE75B4">
        <w:rPr>
          <w:vertAlign w:val="subscript"/>
        </w:rPr>
        <w:t>3</w:t>
      </w:r>
      <w:r w:rsidRPr="00BE75B4">
        <w:rPr>
          <w:vertAlign w:val="superscript"/>
        </w:rPr>
        <w:t>-</w:t>
      </w:r>
      <w:r w:rsidRPr="00BE75B4">
        <w:t xml:space="preserve"> &gt; Cl</w:t>
      </w:r>
      <w:r w:rsidRPr="00BE75B4">
        <w:rPr>
          <w:vertAlign w:val="superscript"/>
        </w:rPr>
        <w:t xml:space="preserve">- </w:t>
      </w:r>
      <w:r w:rsidRPr="00BE75B4">
        <w:t xml:space="preserve">leading to Zhang </w:t>
      </w:r>
      <w:r w:rsidR="002D4FF8">
        <w:rPr>
          <w:i/>
        </w:rPr>
        <w:t xml:space="preserve">et al. </w:t>
      </w:r>
      <w:r w:rsidRPr="00BE75B4">
        <w:t xml:space="preserve"> to suggest direct binding leading to decreased LCST with increased surface tension</w:t>
      </w:r>
      <w:r w:rsidR="00862B2D">
        <w:t>.</w:t>
      </w:r>
      <w:hyperlink w:anchor="_ENREF_114" w:tooltip="Zhang, 2005 #342" w:history="1">
        <w:r w:rsidR="00512D09" w:rsidRPr="00BE75B4">
          <w:fldChar w:fldCharType="begin"/>
        </w:r>
        <w:r w:rsidR="00512D09">
          <w:instrText xml:space="preserve"> ADDIN EN.CITE &lt;EndNote&gt;&lt;Cite&gt;&lt;Author&gt;Zhang&lt;/Author&gt;&lt;Year&gt;2005&lt;/Year&gt;&lt;RecNum&gt;342&lt;/RecNum&gt;&lt;DisplayText&gt;&lt;style face="superscript"&gt;114&lt;/style&gt;&lt;/DisplayText&gt;&lt;record&gt;&lt;rec-number&gt;342&lt;/rec-number&gt;&lt;foreign-keys&gt;&lt;key app="EN" db-id="5trrespwzsdr07efd5tx2w96x22re9s0fsdt"&gt;342&lt;/key&gt;&lt;/foreign-keys&gt;&lt;ref-type name="Journal Article"&gt;17&lt;/ref-type&gt;&lt;contributors&gt;&lt;authors&gt;&lt;author&gt;Zhang, Yanjie&lt;/author&gt;&lt;author&gt;Furyk, Steven&lt;/author&gt;&lt;author&gt;Bergbreiter, David E.&lt;/author&gt;&lt;author&gt;Cremer, Paul S.&lt;/author&gt;&lt;/authors&gt;&lt;/contributors&gt;&lt;titles&gt;&lt;title&gt;Specific Ion Effects on the Water Solubility of Macromolecules:  PNIPAM and the Hofmeister Series&lt;/title&gt;&lt;secondary-title&gt;J Am Chem Soc&lt;/secondary-title&gt;&lt;/titles&gt;&lt;periodical&gt;&lt;full-title&gt;J Am Chem Soc&lt;/full-title&gt;&lt;abbr-1&gt;Journal of the American Chemical Society&lt;/abbr-1&gt;&lt;/periodical&gt;&lt;pages&gt;14505-14510&lt;/pages&gt;&lt;volume&gt;127&lt;/volume&gt;&lt;number&gt;41&lt;/number&gt;&lt;dates&gt;&lt;year&gt;2005&lt;/year&gt;&lt;pub-dates&gt;&lt;date&gt;2005/10/01&lt;/date&gt;&lt;/pub-dates&gt;&lt;/dates&gt;&lt;publisher&gt;American Chemical Society&lt;/publisher&gt;&lt;isbn&gt;0002-7863&lt;/isbn&gt;&lt;urls&gt;&lt;related-urls&gt;&lt;url&gt;http://dx.doi.org/10.1021/ja0546424&lt;/url&gt;&lt;/related-urls&gt;&lt;/urls&gt;&lt;electronic-resource-num&gt;10.1021/ja0546424&lt;/electronic-resource-num&gt;&lt;access-date&gt;2014/03/05&lt;/access-date&gt;&lt;/record&gt;&lt;/Cite&gt;&lt;/EndNote&gt;</w:instrText>
        </w:r>
        <w:r w:rsidR="00512D09" w:rsidRPr="00BE75B4">
          <w:fldChar w:fldCharType="separate"/>
        </w:r>
        <w:r w:rsidR="00512D09" w:rsidRPr="00F80CAD">
          <w:rPr>
            <w:noProof/>
            <w:vertAlign w:val="superscript"/>
          </w:rPr>
          <w:t>114</w:t>
        </w:r>
        <w:r w:rsidR="00512D09" w:rsidRPr="00BE75B4">
          <w:fldChar w:fldCharType="end"/>
        </w:r>
      </w:hyperlink>
      <w:r w:rsidRPr="00BE75B4">
        <w:t xml:space="preserve"> At higher concentrations the change in LCST correlated with the ions’ surface tension effect. With kosmotropes, there was a correlation with the entropy of hydration and the LCST in the order of F</w:t>
      </w:r>
      <w:r w:rsidRPr="00BE75B4">
        <w:rPr>
          <w:vertAlign w:val="superscript"/>
        </w:rPr>
        <w:t>-</w:t>
      </w:r>
      <w:r w:rsidRPr="00BE75B4">
        <w:t xml:space="preserve"> &lt; &lt;</w:t>
      </w:r>
      <w:r w:rsidRPr="00BE75B4">
        <w:rPr>
          <w:vertAlign w:val="superscript"/>
        </w:rPr>
        <w:t xml:space="preserve"> </w:t>
      </w:r>
      <w:r w:rsidRPr="00BE75B4">
        <w:t>H</w:t>
      </w:r>
      <w:r w:rsidRPr="00BE75B4">
        <w:rPr>
          <w:vertAlign w:val="subscript"/>
        </w:rPr>
        <w:t>2</w:t>
      </w:r>
      <w:r w:rsidRPr="00BE75B4">
        <w:t>PO</w:t>
      </w:r>
      <w:r w:rsidRPr="00BE75B4">
        <w:rPr>
          <w:vertAlign w:val="subscript"/>
        </w:rPr>
        <w:t>4</w:t>
      </w:r>
      <w:r w:rsidRPr="00BE75B4">
        <w:rPr>
          <w:vertAlign w:val="superscript"/>
        </w:rPr>
        <w:t xml:space="preserve">- </w:t>
      </w:r>
      <w:r w:rsidRPr="00BE75B4">
        <w:t>, &lt; S</w:t>
      </w:r>
      <w:r w:rsidRPr="00BE75B4">
        <w:rPr>
          <w:vertAlign w:val="subscript"/>
        </w:rPr>
        <w:t>2</w:t>
      </w:r>
      <w:r w:rsidRPr="00BE75B4">
        <w:t>O</w:t>
      </w:r>
      <w:r w:rsidRPr="00BE75B4">
        <w:rPr>
          <w:vertAlign w:val="subscript"/>
        </w:rPr>
        <w:t>3</w:t>
      </w:r>
      <w:r w:rsidRPr="00BE75B4">
        <w:rPr>
          <w:vertAlign w:val="superscript"/>
        </w:rPr>
        <w:t>2-</w:t>
      </w:r>
      <w:r w:rsidRPr="00BE75B4">
        <w:t>, &lt; SO</w:t>
      </w:r>
      <w:r w:rsidRPr="00BE75B4">
        <w:rPr>
          <w:vertAlign w:val="subscript"/>
        </w:rPr>
        <w:t>4</w:t>
      </w:r>
      <w:r w:rsidRPr="00BE75B4">
        <w:rPr>
          <w:vertAlign w:val="superscript"/>
        </w:rPr>
        <w:t xml:space="preserve">2- </w:t>
      </w:r>
      <w:r w:rsidRPr="00BE75B4">
        <w:t>, &lt; CO</w:t>
      </w:r>
      <w:r w:rsidRPr="00BE75B4">
        <w:rPr>
          <w:vertAlign w:val="subscript"/>
        </w:rPr>
        <w:t>3</w:t>
      </w:r>
      <w:r w:rsidRPr="00BE75B4">
        <w:rPr>
          <w:vertAlign w:val="superscript"/>
        </w:rPr>
        <w:t xml:space="preserve">2- </w:t>
      </w:r>
      <w:r w:rsidRPr="00BE75B4">
        <w:t>with CO</w:t>
      </w:r>
      <w:r w:rsidRPr="00BE75B4">
        <w:rPr>
          <w:vertAlign w:val="subscript"/>
        </w:rPr>
        <w:t>3</w:t>
      </w:r>
      <w:r w:rsidRPr="00BE75B4">
        <w:rPr>
          <w:vertAlign w:val="superscript"/>
        </w:rPr>
        <w:t xml:space="preserve">2- </w:t>
      </w:r>
      <w:r w:rsidRPr="00BE75B4">
        <w:t>having the most negative entropy of hydration and decreasing the phase transition temperature by the most  at the low concentrations studied</w:t>
      </w:r>
      <w:r w:rsidR="00862B2D">
        <w:t>.</w:t>
      </w:r>
      <w:hyperlink w:anchor="_ENREF_114" w:tooltip="Zhang, 2005 #342" w:history="1">
        <w:r w:rsidR="00512D09" w:rsidRPr="00BE75B4">
          <w:fldChar w:fldCharType="begin"/>
        </w:r>
        <w:r w:rsidR="00512D09">
          <w:instrText xml:space="preserve"> ADDIN EN.CITE &lt;EndNote&gt;&lt;Cite&gt;&lt;Author&gt;Zhang&lt;/Author&gt;&lt;Year&gt;2005&lt;/Year&gt;&lt;RecNum&gt;342&lt;/RecNum&gt;&lt;DisplayText&gt;&lt;style face="superscript"&gt;114&lt;/style&gt;&lt;/DisplayText&gt;&lt;record&gt;&lt;rec-number&gt;342&lt;/rec-number&gt;&lt;foreign-keys&gt;&lt;key app="EN" db-id="5trrespwzsdr07efd5tx2w96x22re9s0fsdt"&gt;342&lt;/key&gt;&lt;/foreign-keys&gt;&lt;ref-type name="Journal Article"&gt;17&lt;/ref-type&gt;&lt;contributors&gt;&lt;authors&gt;&lt;author&gt;Zhang, Yanjie&lt;/author&gt;&lt;author&gt;Furyk, Steven&lt;/author&gt;&lt;author&gt;Bergbreiter, David E.&lt;/author&gt;&lt;author&gt;Cremer, Paul S.&lt;/author&gt;&lt;/authors&gt;&lt;/contributors&gt;&lt;titles&gt;&lt;title&gt;Specific Ion Effects on the Water Solubility of Macromolecules:  PNIPAM and the Hofmeister Series&lt;/title&gt;&lt;secondary-title&gt;J Am Chem Soc&lt;/secondary-title&gt;&lt;/titles&gt;&lt;periodical&gt;&lt;full-title&gt;J Am Chem Soc&lt;/full-title&gt;&lt;abbr-1&gt;Journal of the American Chemical Society&lt;/abbr-1&gt;&lt;/periodical&gt;&lt;pages&gt;14505-14510&lt;/pages&gt;&lt;volume&gt;127&lt;/volume&gt;&lt;number&gt;41&lt;/number&gt;&lt;dates&gt;&lt;year&gt;2005&lt;/year&gt;&lt;pub-dates&gt;&lt;date&gt;2005/10/01&lt;/date&gt;&lt;/pub-dates&gt;&lt;/dates&gt;&lt;publisher&gt;American Chemical Society&lt;/publisher&gt;&lt;isbn&gt;0002-7863&lt;/isbn&gt;&lt;urls&gt;&lt;related-urls&gt;&lt;url&gt;http://dx.doi.org/10.1021/ja0546424&lt;/url&gt;&lt;/related-urls&gt;&lt;/urls&gt;&lt;electronic-resource-num&gt;10.1021/ja0546424&lt;/electronic-resource-num&gt;&lt;access-date&gt;2014/03/05&lt;/access-date&gt;&lt;/record&gt;&lt;/Cite&gt;&lt;/EndNote&gt;</w:instrText>
        </w:r>
        <w:r w:rsidR="00512D09" w:rsidRPr="00BE75B4">
          <w:fldChar w:fldCharType="separate"/>
        </w:r>
        <w:r w:rsidR="00512D09" w:rsidRPr="00F80CAD">
          <w:rPr>
            <w:noProof/>
            <w:vertAlign w:val="superscript"/>
          </w:rPr>
          <w:t>114</w:t>
        </w:r>
        <w:r w:rsidR="00512D09" w:rsidRPr="00BE75B4">
          <w:fldChar w:fldCharType="end"/>
        </w:r>
      </w:hyperlink>
      <w:r w:rsidRPr="00BE75B4">
        <w:t xml:space="preserve"> At higher concentrations, the change in LCST was best correlated with the change in surface tension increment. Zhang </w:t>
      </w:r>
      <w:r w:rsidR="002D4FF8">
        <w:rPr>
          <w:i/>
        </w:rPr>
        <w:t xml:space="preserve">et al. </w:t>
      </w:r>
      <w:r w:rsidRPr="00BE75B4">
        <w:rPr>
          <w:i/>
        </w:rPr>
        <w:t xml:space="preserve"> </w:t>
      </w:r>
      <w:r w:rsidRPr="00BE75B4">
        <w:t>suggested that the kosmotropic anions lower the LCST by polarising solvation water around the amide on PNIPAM and at higher concentrations remove the water around hydrophobic groups</w:t>
      </w:r>
      <w:r w:rsidR="00862B2D">
        <w:t>.</w:t>
      </w:r>
      <w:r w:rsidRPr="00BE75B4">
        <w:t xml:space="preserve"> </w:t>
      </w:r>
      <w:hyperlink w:anchor="_ENREF_112" w:tooltip="Zhang, 2010 #365" w:history="1">
        <w:r w:rsidR="00512D09" w:rsidRPr="00BE75B4">
          <w:fldChar w:fldCharType="begin"/>
        </w:r>
        <w:r w:rsidR="00512D09">
          <w:instrText xml:space="preserve"> ADDIN EN.CITE &lt;EndNote&gt;&lt;Cite&gt;&lt;Author&gt;Zhang&lt;/Author&gt;&lt;Year&gt;2010&lt;/Year&gt;&lt;RecNum&gt;365&lt;/RecNum&gt;&lt;DisplayText&gt;&lt;style face="superscript"&gt;112&lt;/style&gt;&lt;/DisplayText&gt;&lt;record&gt;&lt;rec-number&gt;365&lt;/rec-number&gt;&lt;foreign-keys&gt;&lt;key app="EN" db-id="5trrespwzsdr07efd5tx2w96x22re9s0fsdt"&gt;365&lt;/key&gt;&lt;/foreign-keys&gt;&lt;ref-type name="Journal Article"&gt;17&lt;/ref-type&gt;&lt;contributors&gt;&lt;authors&gt;&lt;author&gt;Zhang, Yanjie&lt;/author&gt;&lt;author&gt;Cremer, Paul S&lt;/author&gt;&lt;/authors&gt;&lt;/contributors&gt;&lt;titles&gt;&lt;title&gt;Chemistry of Hofmeister anions and osmolytes&lt;/title&gt;&lt;secondary-title&gt;Annual Review of Physical Chemistry&lt;/secondary-title&gt;&lt;/titles&gt;&lt;periodical&gt;&lt;full-title&gt;Annual Review of Physical Chemistry&lt;/full-title&gt;&lt;/periodical&gt;&lt;pages&gt;63-83&lt;/pages&gt;&lt;volume&gt;61&lt;/volume&gt;&lt;dates&gt;&lt;year&gt;2010&lt;/year&gt;&lt;/dates&gt;&lt;isbn&gt;0066-426X&lt;/isbn&gt;&lt;urls&gt;&lt;/urls&gt;&lt;/record&gt;&lt;/Cite&gt;&lt;/EndNote&gt;</w:instrText>
        </w:r>
        <w:r w:rsidR="00512D09" w:rsidRPr="00BE75B4">
          <w:fldChar w:fldCharType="separate"/>
        </w:r>
        <w:r w:rsidR="00512D09" w:rsidRPr="00F80CAD">
          <w:rPr>
            <w:noProof/>
            <w:vertAlign w:val="superscript"/>
          </w:rPr>
          <w:t>112</w:t>
        </w:r>
        <w:r w:rsidR="00512D09" w:rsidRPr="00BE75B4">
          <w:fldChar w:fldCharType="end"/>
        </w:r>
      </w:hyperlink>
      <w:r w:rsidRPr="00BE75B4">
        <w:t xml:space="preserve"> </w:t>
      </w:r>
    </w:p>
    <w:p w:rsidR="00BE75B4" w:rsidRPr="00BE75B4" w:rsidRDefault="00BE75B4" w:rsidP="00217116">
      <w:pPr>
        <w:spacing w:line="480" w:lineRule="auto"/>
        <w:jc w:val="both"/>
      </w:pPr>
      <w:r w:rsidRPr="00BE75B4">
        <w:t xml:space="preserve">Chen </w:t>
      </w:r>
      <w:r w:rsidR="002D4FF8">
        <w:rPr>
          <w:i/>
        </w:rPr>
        <w:t>et al.</w:t>
      </w:r>
      <w:r w:rsidR="00CD173D">
        <w:t xml:space="preserve"> adsorbed PNIPAM onto the air-</w:t>
      </w:r>
      <w:r w:rsidRPr="00BE75B4">
        <w:t>water interface and used VSFS to measure the change in interfacial water structure in the presence of salts</w:t>
      </w:r>
      <w:r w:rsidR="00862B2D">
        <w:t>.</w:t>
      </w:r>
      <w:r w:rsidRPr="00BE75B4">
        <w:t xml:space="preserve"> </w:t>
      </w:r>
      <w:hyperlink w:anchor="_ENREF_115" w:tooltip="Chen, 2007 #369" w:history="1">
        <w:r w:rsidR="00512D09" w:rsidRPr="00BE75B4">
          <w:fldChar w:fldCharType="begin"/>
        </w:r>
        <w:r w:rsidR="00512D09">
          <w:instrText xml:space="preserve"> ADDIN EN.CITE &lt;EndNote&gt;&lt;Cite&gt;&lt;Author&gt;Chen&lt;/Author&gt;&lt;Year&gt;2007&lt;/Year&gt;&lt;RecNum&gt;369&lt;/RecNum&gt;&lt;DisplayText&gt;&lt;style face="superscript"&gt;115&lt;/style&gt;&lt;/DisplayText&gt;&lt;record&gt;&lt;rec-number&gt;369&lt;/rec-number&gt;&lt;foreign-keys&gt;&lt;key app="EN" db-id="5trrespwzsdr07efd5tx2w96x22re9s0fsdt"&gt;369&lt;/key&gt;&lt;/foreign-keys&gt;&lt;ref-type name="Journal Article"&gt;17&lt;/ref-type&gt;&lt;contributors&gt;&lt;authors&gt;&lt;author&gt;Chen, Xin&lt;/author&gt;&lt;author&gt;Yang, Tinglu&lt;/author&gt;&lt;author&gt;Kataoka, Sho&lt;/author&gt;&lt;author&gt;Cremer, Paul S.&lt;/author&gt;&lt;/authors&gt;&lt;/contributors&gt;&lt;titles&gt;&lt;title&gt;Specific Ion Effects on Interfacial Water Structure near Macromolecules&lt;/title&gt;&lt;secondary-title&gt;J Am Chem Soc&lt;/secondary-title&gt;&lt;/titles&gt;&lt;periodical&gt;&lt;full-title&gt;J Am Chem Soc&lt;/full-title&gt;&lt;abbr-1&gt;Journal of the American Chemical Society&lt;/abbr-1&gt;&lt;/periodical&gt;&lt;pages&gt;12272-12279&lt;/pages&gt;&lt;volume&gt;129&lt;/volume&gt;&lt;number&gt;40&lt;/number&gt;&lt;dates&gt;&lt;year&gt;2007&lt;/year&gt;&lt;pub-dates&gt;&lt;date&gt;2007/10/01&lt;/date&gt;&lt;/pub-dates&gt;&lt;/dates&gt;&lt;publisher&gt;American Chemical Society&lt;/publisher&gt;&lt;isbn&gt;0002-7863&lt;/isbn&gt;&lt;urls&gt;&lt;related-urls&gt;&lt;url&gt;http://dx.doi.org/10.1021/ja073869r&lt;/url&gt;&lt;/related-urls&gt;&lt;/urls&gt;&lt;electronic-resource-num&gt;10.1021/ja073869r&lt;/electronic-resource-num&gt;&lt;access-date&gt;2014/05/15&lt;/access-date&gt;&lt;/record&gt;&lt;/Cite&gt;&lt;/EndNote&gt;</w:instrText>
        </w:r>
        <w:r w:rsidR="00512D09" w:rsidRPr="00BE75B4">
          <w:fldChar w:fldCharType="separate"/>
        </w:r>
        <w:r w:rsidR="00512D09" w:rsidRPr="00F80CAD">
          <w:rPr>
            <w:noProof/>
            <w:vertAlign w:val="superscript"/>
          </w:rPr>
          <w:t>115</w:t>
        </w:r>
        <w:r w:rsidR="00512D09" w:rsidRPr="00BE75B4">
          <w:fldChar w:fldCharType="end"/>
        </w:r>
      </w:hyperlink>
      <w:r w:rsidRPr="00BE75B4">
        <w:t xml:space="preserve"> It was reported that the change in interfacial region was both dependent of the identity and concentration of the salt. Furthermore, the changes followed the Hofmeister series with NaSCN &gt; NaClO</w:t>
      </w:r>
      <w:r w:rsidRPr="00BE75B4">
        <w:rPr>
          <w:vertAlign w:val="subscript"/>
        </w:rPr>
        <w:t>4</w:t>
      </w:r>
      <w:r w:rsidRPr="00BE75B4">
        <w:t xml:space="preserve"> &gt; NaI &gt; NaNO</w:t>
      </w:r>
      <w:r w:rsidRPr="00BE75B4">
        <w:rPr>
          <w:vertAlign w:val="subscript"/>
        </w:rPr>
        <w:t>3</w:t>
      </w:r>
      <w:r w:rsidRPr="00BE75B4">
        <w:t xml:space="preserve"> ≈NaBr &gt; NaCl &gt; pure water ≈ NaF ≈Na</w:t>
      </w:r>
      <w:r w:rsidRPr="00BE75B4">
        <w:rPr>
          <w:vertAlign w:val="subscript"/>
        </w:rPr>
        <w:t>2</w:t>
      </w:r>
      <w:r w:rsidRPr="00BE75B4">
        <w:t>SO</w:t>
      </w:r>
      <w:r w:rsidRPr="00BE75B4">
        <w:rPr>
          <w:vertAlign w:val="subscript"/>
        </w:rPr>
        <w:t>4</w:t>
      </w:r>
      <w:r w:rsidRPr="00BE75B4">
        <w:t>.</w:t>
      </w:r>
    </w:p>
    <w:p w:rsidR="00BE75B4" w:rsidRPr="00BE75B4" w:rsidRDefault="00BE75B4" w:rsidP="00217116">
      <w:pPr>
        <w:spacing w:line="480" w:lineRule="auto"/>
        <w:jc w:val="both"/>
      </w:pPr>
      <w:r w:rsidRPr="00BE75B4">
        <w:lastRenderedPageBreak/>
        <w:t xml:space="preserve">To better model the effect of the Hofmeister salts on anions on polypeptides, the adjustment of the LCST of two elastin-like polypeptides (ELPs) which serve as better models of the polypeptide backbone than PNIPAM was investigated.  Unlike </w:t>
      </w:r>
      <w:r w:rsidR="00CD173D">
        <w:t>PNIPAM</w:t>
      </w:r>
      <w:r w:rsidRPr="00BE75B4">
        <w:t>, these polypeptides undergo hot denaturation and form secondary structures not hydrophobic collapse.  LCST in the presence of kosmotropic salts did not show two stages. The authors suggested the decrease in the LCST was due to the polarisation of water molecules in the polypeptide solvation shell</w:t>
      </w:r>
      <w:r w:rsidR="00862B2D">
        <w:t>.</w:t>
      </w:r>
      <w:r w:rsidRPr="00BE75B4">
        <w:t xml:space="preserve"> </w:t>
      </w:r>
      <w:hyperlink w:anchor="_ENREF_116" w:tooltip="Cho, 2008 #343" w:history="1">
        <w:r w:rsidR="00512D09" w:rsidRPr="00BE75B4">
          <w:fldChar w:fldCharType="begin"/>
        </w:r>
        <w:r w:rsidR="00512D09">
          <w:instrText xml:space="preserve"> ADDIN EN.CITE &lt;EndNote&gt;&lt;Cite&gt;&lt;Author&gt;Cho&lt;/Author&gt;&lt;Year&gt;2008&lt;/Year&gt;&lt;RecNum&gt;343&lt;/RecNum&gt;&lt;DisplayText&gt;&lt;style face="superscript"&gt;116&lt;/style&gt;&lt;/DisplayText&gt;&lt;record&gt;&lt;rec-number&gt;343&lt;/rec-number&gt;&lt;foreign-keys&gt;&lt;key app="EN" db-id="5trrespwzsdr07efd5tx2w96x22re9s0fsdt"&gt;343&lt;/key&gt;&lt;/foreign-keys&gt;&lt;ref-type name="Journal Article"&gt;17&lt;/ref-type&gt;&lt;contributors&gt;&lt;authors&gt;&lt;author&gt;Cho, Younhee&lt;/author&gt;&lt;author&gt;Zhang, Yanjie&lt;/author&gt;&lt;author&gt;Christensen, Trine&lt;/author&gt;&lt;author&gt;Sagle, Laura B.&lt;/author&gt;&lt;author&gt;Chilkoti, Ashutosh&lt;/author&gt;&lt;author&gt;Cremer, Paul S.&lt;/author&gt;&lt;/authors&gt;&lt;/contributors&gt;&lt;titles&gt;&lt;title&gt;Effects of Hofmeister Anions on the Phase Transition Temperature of Elastin-like Polypeptides&lt;/title&gt;&lt;secondary-title&gt;The Journal of Physical Chemistry B&lt;/secondary-title&gt;&lt;/titles&gt;&lt;periodical&gt;&lt;full-title&gt;The Journal of Physical Chemistry B&lt;/full-title&gt;&lt;/periodical&gt;&lt;pages&gt;13765-13771&lt;/pages&gt;&lt;volume&gt;112&lt;/volume&gt;&lt;number&gt;44&lt;/number&gt;&lt;dates&gt;&lt;year&gt;2008&lt;/year&gt;&lt;pub-dates&gt;&lt;date&gt;2008/11/06&lt;/date&gt;&lt;/pub-dates&gt;&lt;/dates&gt;&lt;publisher&gt;American Chemical Society&lt;/publisher&gt;&lt;isbn&gt;1520-6106&lt;/isbn&gt;&lt;urls&gt;&lt;related-urls&gt;&lt;url&gt;http://dx.doi.org/10.1021/jp8062977&lt;/url&gt;&lt;/related-urls&gt;&lt;/urls&gt;&lt;electronic-resource-num&gt;10.1021/jp8062977&lt;/electronic-resource-num&gt;&lt;access-date&gt;2014/03/05&lt;/access-date&gt;&lt;/record&gt;&lt;/Cite&gt;&lt;/EndNote&gt;</w:instrText>
        </w:r>
        <w:r w:rsidR="00512D09" w:rsidRPr="00BE75B4">
          <w:fldChar w:fldCharType="separate"/>
        </w:r>
        <w:r w:rsidR="00512D09" w:rsidRPr="00F80CAD">
          <w:rPr>
            <w:noProof/>
            <w:vertAlign w:val="superscript"/>
          </w:rPr>
          <w:t>116</w:t>
        </w:r>
        <w:r w:rsidR="00512D09" w:rsidRPr="00BE75B4">
          <w:fldChar w:fldCharType="end"/>
        </w:r>
      </w:hyperlink>
      <w:r w:rsidRPr="00BE75B4">
        <w:t xml:space="preserve">  </w:t>
      </w:r>
    </w:p>
    <w:p w:rsidR="00BE75B4" w:rsidRPr="00BE75B4" w:rsidRDefault="00BE75B4" w:rsidP="00217116">
      <w:pPr>
        <w:spacing w:line="480" w:lineRule="auto"/>
        <w:jc w:val="both"/>
      </w:pPr>
      <w:r w:rsidRPr="00BE75B4">
        <w:t>The work done with PNIPAM and the ELPs led Xie to conclude that kosmostropes strengthen protein hydrophobic interactions by affecting water dynamics.  Whereas chaotropic anions denature proteins by direct binding</w:t>
      </w:r>
      <w:r w:rsidR="00862B2D">
        <w:t>.</w:t>
      </w:r>
      <w:r w:rsidRPr="00BE75B4">
        <w:t xml:space="preserve"> </w:t>
      </w:r>
      <w:hyperlink w:anchor="_ENREF_117" w:tooltip="Xie, 2014 #328" w:history="1">
        <w:r w:rsidR="00512D09" w:rsidRPr="00BE75B4">
          <w:fldChar w:fldCharType="begin"/>
        </w:r>
        <w:r w:rsidR="00512D09">
          <w:instrText xml:space="preserve"> ADDIN EN.CITE &lt;EndNote&gt;&lt;Cite&gt;&lt;Author&gt;Xie&lt;/Author&gt;&lt;Year&gt;2014&lt;/Year&gt;&lt;RecNum&gt;328&lt;/RecNum&gt;&lt;DisplayText&gt;&lt;style face="superscript"&gt;117&lt;/style&gt;&lt;/DisplayText&gt;&lt;record&gt;&lt;rec-number&gt;328&lt;/rec-number&gt;&lt;foreign-keys&gt;&lt;key app="EN" db-id="5trrespwzsdr07efd5tx2w96x22re9s0fsdt"&gt;328&lt;/key&gt;&lt;/foreign-keys&gt;&lt;ref-type name="Journal Article"&gt;17&lt;/ref-type&gt;&lt;contributors&gt;&lt;authors&gt;&lt;author&gt;Xie, WenJun&lt;/author&gt;&lt;author&gt;Liu, ChengWen&lt;/author&gt;&lt;author&gt;Yang, LiJiang&lt;/author&gt;&lt;author&gt;Gao, YiQin&lt;/author&gt;&lt;/authors&gt;&lt;/contributors&gt;&lt;titles&gt;&lt;title&gt;On the molecular mechanism of ion specific Hofmeister series&lt;/title&gt;&lt;secondary-title&gt;Science China Chemistry&lt;/secondary-title&gt;&lt;alt-title&gt;Science China Chemistry&lt;/alt-title&gt;&lt;/titles&gt;&lt;periodical&gt;&lt;full-title&gt;Science China Chemistry&lt;/full-title&gt;&lt;abbr-1&gt;Science China Chemistry&lt;/abbr-1&gt;&lt;/periodical&gt;&lt;alt-periodical&gt;&lt;full-title&gt;Science China Chemistry&lt;/full-title&gt;&lt;abbr-1&gt;Science China Chemistry&lt;/abbr-1&gt;&lt;/alt-periodical&gt;&lt;pages&gt;36-47&lt;/pages&gt;&lt;volume&gt;57&lt;/volume&gt;&lt;number&gt;1&lt;/number&gt;&lt;keywords&gt;&lt;keyword&gt;Hofmeister series&lt;/keyword&gt;&lt;keyword&gt;salt effects&lt;/keyword&gt;&lt;keyword&gt;ion cooperativity&lt;/keyword&gt;&lt;keyword&gt;hydrogen donor/acceptor equilibrium&lt;/keyword&gt;&lt;keyword&gt;surface tension&lt;/keyword&gt;&lt;keyword&gt;protein denaturant&lt;/keyword&gt;&lt;keyword&gt;protein protectant&lt;/keyword&gt;&lt;/keywords&gt;&lt;dates&gt;&lt;year&gt;2014&lt;/year&gt;&lt;pub-dates&gt;&lt;date&gt;2014/01/01&lt;/date&gt;&lt;/pub-dates&gt;&lt;/dates&gt;&lt;publisher&gt;Springer Berlin Heidelberg&lt;/publisher&gt;&lt;isbn&gt;1674-7291&lt;/isbn&gt;&lt;urls&gt;&lt;related-urls&gt;&lt;url&gt;http://dx.doi.org/10.1007/s11426-013-5019-1&lt;/url&gt;&lt;/related-urls&gt;&lt;/urls&gt;&lt;electronic-resource-num&gt;10.1007/s11426-013-5019-1&lt;/electronic-resource-num&gt;&lt;language&gt;English&lt;/language&gt;&lt;/record&gt;&lt;/Cite&gt;&lt;/EndNote&gt;</w:instrText>
        </w:r>
        <w:r w:rsidR="00512D09" w:rsidRPr="00BE75B4">
          <w:fldChar w:fldCharType="separate"/>
        </w:r>
        <w:r w:rsidR="00512D09" w:rsidRPr="00F80CAD">
          <w:rPr>
            <w:noProof/>
            <w:vertAlign w:val="superscript"/>
          </w:rPr>
          <w:t>117</w:t>
        </w:r>
        <w:r w:rsidR="00512D09" w:rsidRPr="00BE75B4">
          <w:fldChar w:fldCharType="end"/>
        </w:r>
      </w:hyperlink>
      <w:r w:rsidRPr="00BE75B4">
        <w:t xml:space="preserve">   </w:t>
      </w:r>
    </w:p>
    <w:p w:rsidR="00BE75B4" w:rsidRPr="00BE75B4" w:rsidRDefault="00BE75B4" w:rsidP="00217116">
      <w:pPr>
        <w:spacing w:line="480" w:lineRule="auto"/>
        <w:jc w:val="both"/>
      </w:pPr>
      <w:r w:rsidRPr="00BE75B4">
        <w:t>The specific binding of Hofmeister ions with an uncharged 600 residue ELP was discerned using NMR and MDS</w:t>
      </w:r>
      <w:r w:rsidR="00862B2D">
        <w:t>.</w:t>
      </w:r>
      <w:r w:rsidRPr="00BE75B4">
        <w:t xml:space="preserve"> </w:t>
      </w:r>
      <w:hyperlink w:anchor="_ENREF_118" w:tooltip="Rembert, 2012 #327" w:history="1">
        <w:r w:rsidR="00512D09" w:rsidRPr="00BE75B4">
          <w:fldChar w:fldCharType="begin"/>
        </w:r>
        <w:r w:rsidR="00512D09">
          <w:instrText xml:space="preserve"> ADDIN EN.CITE &lt;EndNote&gt;&lt;Cite&gt;&lt;Author&gt;Rembert&lt;/Author&gt;&lt;Year&gt;2012&lt;/Year&gt;&lt;RecNum&gt;327&lt;/RecNum&gt;&lt;DisplayText&gt;&lt;style face="superscript"&gt;118&lt;/style&gt;&lt;/DisplayText&gt;&lt;record&gt;&lt;rec-number&gt;327&lt;/rec-number&gt;&lt;foreign-keys&gt;&lt;key app="EN" db-id="5trrespwzsdr07efd5tx2w96x22re9s0fsdt"&gt;327&lt;/key&gt;&lt;/foreign-keys&gt;&lt;ref-type name="Journal Article"&gt;17&lt;/ref-type&gt;&lt;contributors&gt;&lt;authors&gt;&lt;author&gt;Rembert, Kelvin B.&lt;/author&gt;&lt;author&gt;Paterová, Jana&lt;/author&gt;&lt;author&gt;Heyda, Jan&lt;/author&gt;&lt;author&gt;Hilty, Christian&lt;/author&gt;&lt;author&gt;Jungwirth, Pavel&lt;/author&gt;&lt;author&gt;Cremer, Paul S.&lt;/author&gt;&lt;/authors&gt;&lt;/contributors&gt;&lt;titles&gt;&lt;title&gt;Molecular Mechanisms of Ion-Specific Effects on Proteins&lt;/title&gt;&lt;secondary-title&gt;J Am Chem Soc&lt;/secondary-title&gt;&lt;/titles&gt;&lt;periodical&gt;&lt;full-title&gt;J Am Chem Soc&lt;/full-title&gt;&lt;abbr-1&gt;Journal of the American Chemical Society&lt;/abbr-1&gt;&lt;/periodical&gt;&lt;pages&gt;10039-10046&lt;/pages&gt;&lt;volume&gt;134&lt;/volume&gt;&lt;number&gt;24&lt;/number&gt;&lt;dates&gt;&lt;year&gt;2012&lt;/year&gt;&lt;pub-dates&gt;&lt;date&gt;2012/06/20&lt;/date&gt;&lt;/pub-dates&gt;&lt;/dates&gt;&lt;publisher&gt;American Chemical Society&lt;/publisher&gt;&lt;isbn&gt;0002-7863&lt;/isbn&gt;&lt;urls&gt;&lt;related-urls&gt;&lt;url&gt;http://dx.doi.org/10.1021/ja301297g&lt;/url&gt;&lt;/related-urls&gt;&lt;/urls&gt;&lt;electronic-resource-num&gt;10.1021/ja301297g&lt;/electronic-resource-num&gt;&lt;access-date&gt;2014/02/27&lt;/access-date&gt;&lt;/record&gt;&lt;/Cite&gt;&lt;/EndNote&gt;</w:instrText>
        </w:r>
        <w:r w:rsidR="00512D09" w:rsidRPr="00BE75B4">
          <w:fldChar w:fldCharType="separate"/>
        </w:r>
        <w:r w:rsidR="00512D09" w:rsidRPr="00F80CAD">
          <w:rPr>
            <w:noProof/>
            <w:vertAlign w:val="superscript"/>
          </w:rPr>
          <w:t>118</w:t>
        </w:r>
        <w:r w:rsidR="00512D09" w:rsidRPr="00BE75B4">
          <w:fldChar w:fldCharType="end"/>
        </w:r>
      </w:hyperlink>
      <w:r w:rsidRPr="00BE75B4">
        <w:t xml:space="preserve"> NaSCN, and to a lesser extent NaCl was find to associate with the methylene units of the polymer. Additional</w:t>
      </w:r>
      <w:r w:rsidR="003915D1">
        <w:t xml:space="preserve">ly, </w:t>
      </w:r>
      <w:r w:rsidRPr="00BE75B4">
        <w:t xml:space="preserve">NaSCN was found to associate to some extent with the amine group.  Methylation of the amine increased the electron pull felt by the methyl groups leading to tighter binding of NaSCN. This is in good agreement with the work done by Cho </w:t>
      </w:r>
      <w:r w:rsidR="002D4FF8">
        <w:rPr>
          <w:i/>
        </w:rPr>
        <w:t xml:space="preserve">et al. </w:t>
      </w:r>
      <w:r w:rsidRPr="00BE75B4">
        <w:t>that found weakly hydrated ions lead to salting out of generic alkyl chains</w:t>
      </w:r>
      <w:r w:rsidR="00862B2D">
        <w:t>.</w:t>
      </w:r>
      <w:r w:rsidRPr="00BE75B4">
        <w:t xml:space="preserve"> </w:t>
      </w:r>
      <w:hyperlink w:anchor="_ENREF_116" w:tooltip="Cho, 2008 #343" w:history="1">
        <w:r w:rsidR="00512D09" w:rsidRPr="00BE75B4">
          <w:fldChar w:fldCharType="begin"/>
        </w:r>
        <w:r w:rsidR="00512D09">
          <w:instrText xml:space="preserve"> ADDIN EN.CITE &lt;EndNote&gt;&lt;Cite&gt;&lt;Author&gt;Cho&lt;/Author&gt;&lt;Year&gt;2008&lt;/Year&gt;&lt;RecNum&gt;343&lt;/RecNum&gt;&lt;DisplayText&gt;&lt;style face="superscript"&gt;116&lt;/style&gt;&lt;/DisplayText&gt;&lt;record&gt;&lt;rec-number&gt;343&lt;/rec-number&gt;&lt;foreign-keys&gt;&lt;key app="EN" db-id="5trrespwzsdr07efd5tx2w96x22re9s0fsdt"&gt;343&lt;/key&gt;&lt;/foreign-keys&gt;&lt;ref-type name="Journal Article"&gt;17&lt;/ref-type&gt;&lt;contributors&gt;&lt;authors&gt;&lt;author&gt;Cho, Younhee&lt;/author&gt;&lt;author&gt;Zhang, Yanjie&lt;/author&gt;&lt;author&gt;Christensen, Trine&lt;/author&gt;&lt;author&gt;Sagle, Laura B.&lt;/author&gt;&lt;author&gt;Chilkoti, Ashutosh&lt;/author&gt;&lt;author&gt;Cremer, Paul S.&lt;/author&gt;&lt;/authors&gt;&lt;/contributors&gt;&lt;titles&gt;&lt;title&gt;Effects of Hofmeister Anions on the Phase Transition Temperature of Elastin-like Polypeptides&lt;/title&gt;&lt;secondary-title&gt;The Journal of Physical Chemistry B&lt;/secondary-title&gt;&lt;/titles&gt;&lt;periodical&gt;&lt;full-title&gt;The Journal of Physical Chemistry B&lt;/full-title&gt;&lt;/periodical&gt;&lt;pages&gt;13765-13771&lt;/pages&gt;&lt;volume&gt;112&lt;/volume&gt;&lt;number&gt;44&lt;/number&gt;&lt;dates&gt;&lt;year&gt;2008&lt;/year&gt;&lt;pub-dates&gt;&lt;date&gt;2008/11/06&lt;/date&gt;&lt;/pub-dates&gt;&lt;/dates&gt;&lt;publisher&gt;American Chemical Society&lt;/publisher&gt;&lt;isbn&gt;1520-6106&lt;/isbn&gt;&lt;urls&gt;&lt;related-urls&gt;&lt;url&gt;http://dx.doi.org/10.1021/jp8062977&lt;/url&gt;&lt;/related-urls&gt;&lt;/urls&gt;&lt;electronic-resource-num&gt;10.1021/jp8062977&lt;/electronic-resource-num&gt;&lt;access-date&gt;2014/03/05&lt;/access-date&gt;&lt;/record&gt;&lt;/Cite&gt;&lt;/EndNote&gt;</w:instrText>
        </w:r>
        <w:r w:rsidR="00512D09" w:rsidRPr="00BE75B4">
          <w:fldChar w:fldCharType="separate"/>
        </w:r>
        <w:r w:rsidR="00512D09" w:rsidRPr="00F80CAD">
          <w:rPr>
            <w:noProof/>
            <w:vertAlign w:val="superscript"/>
          </w:rPr>
          <w:t>116</w:t>
        </w:r>
        <w:r w:rsidR="00512D09" w:rsidRPr="00BE75B4">
          <w:fldChar w:fldCharType="end"/>
        </w:r>
      </w:hyperlink>
      <w:r w:rsidRPr="00BE75B4">
        <w:t xml:space="preserve"> Additionally</w:t>
      </w:r>
      <w:r w:rsidR="003915D1">
        <w:t>,</w:t>
      </w:r>
      <w:r w:rsidRPr="00BE75B4">
        <w:t xml:space="preserve"> this shows that hydrogen bonding capability of the amine is not required to bind soft polarisable ions</w:t>
      </w:r>
      <w:r w:rsidR="00862B2D">
        <w:t>.</w:t>
      </w:r>
      <w:hyperlink w:anchor="_ENREF_118" w:tooltip="Rembert, 2012 #327" w:history="1">
        <w:r w:rsidR="00512D09" w:rsidRPr="00BE75B4">
          <w:fldChar w:fldCharType="begin"/>
        </w:r>
        <w:r w:rsidR="00512D09">
          <w:instrText xml:space="preserve"> ADDIN EN.CITE &lt;EndNote&gt;&lt;Cite&gt;&lt;Author&gt;Rembert&lt;/Author&gt;&lt;Year&gt;2012&lt;/Year&gt;&lt;RecNum&gt;327&lt;/RecNum&gt;&lt;DisplayText&gt;&lt;style face="superscript"&gt;118&lt;/style&gt;&lt;/DisplayText&gt;&lt;record&gt;&lt;rec-number&gt;327&lt;/rec-number&gt;&lt;foreign-keys&gt;&lt;key app="EN" db-id="5trrespwzsdr07efd5tx2w96x22re9s0fsdt"&gt;327&lt;/key&gt;&lt;/foreign-keys&gt;&lt;ref-type name="Journal Article"&gt;17&lt;/ref-type&gt;&lt;contributors&gt;&lt;authors&gt;&lt;author&gt;Rembert, Kelvin B.&lt;/author&gt;&lt;author&gt;Paterová, Jana&lt;/author&gt;&lt;author&gt;Heyda, Jan&lt;/author&gt;&lt;author&gt;Hilty, Christian&lt;/author&gt;&lt;author&gt;Jungwirth, Pavel&lt;/author&gt;&lt;author&gt;Cremer, Paul S.&lt;/author&gt;&lt;/authors&gt;&lt;/contributors&gt;&lt;titles&gt;&lt;title&gt;Molecular Mechanisms of Ion-Specific Effects on Proteins&lt;/title&gt;&lt;secondary-title&gt;J Am Chem Soc&lt;/secondary-title&gt;&lt;/titles&gt;&lt;periodical&gt;&lt;full-title&gt;J Am Chem Soc&lt;/full-title&gt;&lt;abbr-1&gt;Journal of the American Chemical Society&lt;/abbr-1&gt;&lt;/periodical&gt;&lt;pages&gt;10039-10046&lt;/pages&gt;&lt;volume&gt;134&lt;/volume&gt;&lt;number&gt;24&lt;/number&gt;&lt;dates&gt;&lt;year&gt;2012&lt;/year&gt;&lt;pub-dates&gt;&lt;date&gt;2012/06/20&lt;/date&gt;&lt;/pub-dates&gt;&lt;/dates&gt;&lt;publisher&gt;American Chemical Society&lt;/publisher&gt;&lt;isbn&gt;0002-7863&lt;/isbn&gt;&lt;urls&gt;&lt;related-urls&gt;&lt;url&gt;http://dx.doi.org/10.1021/ja301297g&lt;/url&gt;&lt;/related-urls&gt;&lt;/urls&gt;&lt;electronic-resource-num&gt;10.1021/ja301297g&lt;/electronic-resource-num&gt;&lt;access-date&gt;2014/02/27&lt;/access-date&gt;&lt;/record&gt;&lt;/Cite&gt;&lt;/EndNote&gt;</w:instrText>
        </w:r>
        <w:r w:rsidR="00512D09" w:rsidRPr="00BE75B4">
          <w:fldChar w:fldCharType="separate"/>
        </w:r>
        <w:r w:rsidR="00512D09" w:rsidRPr="00F80CAD">
          <w:rPr>
            <w:noProof/>
            <w:vertAlign w:val="superscript"/>
          </w:rPr>
          <w:t>118</w:t>
        </w:r>
        <w:r w:rsidR="00512D09" w:rsidRPr="00BE75B4">
          <w:fldChar w:fldCharType="end"/>
        </w:r>
      </w:hyperlink>
      <w:r w:rsidRPr="00BE75B4">
        <w:t xml:space="preserve">  Rembert argued this mechanism on thermodynamic grounds that binding to the amide group would break hydrogen bonds with </w:t>
      </w:r>
      <w:r w:rsidR="004B3926" w:rsidRPr="00BE75B4">
        <w:t>water, which</w:t>
      </w:r>
      <w:r w:rsidRPr="00BE75B4">
        <w:t xml:space="preserve"> would be enthalpically unfavourable. It was argued that binding to the methylene units would be enthalpically more favourable. </w:t>
      </w:r>
    </w:p>
    <w:p w:rsidR="00BE75B4" w:rsidRPr="00BE75B4" w:rsidRDefault="00BE75B4" w:rsidP="00217116">
      <w:pPr>
        <w:spacing w:line="480" w:lineRule="auto"/>
        <w:jc w:val="both"/>
      </w:pPr>
      <w:r w:rsidRPr="00BE75B4">
        <w:t>MDS showed that the affinities for terminated triglycine followed a direct Hofmeister series, SO</w:t>
      </w:r>
      <w:r w:rsidRPr="00BE75B4">
        <w:rPr>
          <w:vertAlign w:val="subscript"/>
        </w:rPr>
        <w:t>4</w:t>
      </w:r>
      <w:r w:rsidRPr="00BE75B4">
        <w:rPr>
          <w:vertAlign w:val="superscript"/>
        </w:rPr>
        <w:t>2-</w:t>
      </w:r>
      <w:r w:rsidRPr="00BE75B4">
        <w:t>&lt; Cl</w:t>
      </w:r>
      <w:r w:rsidRPr="00BE75B4">
        <w:rPr>
          <w:vertAlign w:val="superscript"/>
        </w:rPr>
        <w:t xml:space="preserve">- </w:t>
      </w:r>
      <w:r w:rsidRPr="00BE75B4">
        <w:t>&lt; Br</w:t>
      </w:r>
      <w:r w:rsidRPr="00BE75B4">
        <w:rPr>
          <w:vertAlign w:val="superscript"/>
        </w:rPr>
        <w:t xml:space="preserve">- </w:t>
      </w:r>
      <w:r w:rsidRPr="00BE75B4">
        <w:t>&lt; I</w:t>
      </w:r>
      <w:r w:rsidRPr="00BE75B4">
        <w:rPr>
          <w:vertAlign w:val="superscript"/>
        </w:rPr>
        <w:t>-</w:t>
      </w:r>
      <w:r w:rsidRPr="00BE75B4">
        <w:t xml:space="preserve"> &lt; SCN</w:t>
      </w:r>
      <w:r w:rsidRPr="00BE75B4">
        <w:rPr>
          <w:vertAlign w:val="superscript"/>
        </w:rPr>
        <w:t>-</w:t>
      </w:r>
      <w:r w:rsidRPr="00BE75B4">
        <w:t xml:space="preserve"> at 1 M salt concentration</w:t>
      </w:r>
      <w:r w:rsidR="00862B2D">
        <w:t>.</w:t>
      </w:r>
      <w:hyperlink w:anchor="_ENREF_119" w:tooltip="Paterová, 2013 #380" w:history="1">
        <w:r w:rsidR="00512D09" w:rsidRPr="00BE75B4">
          <w:fldChar w:fldCharType="begin"/>
        </w:r>
        <w:r w:rsidR="00512D09">
          <w:instrText xml:space="preserve"> ADDIN EN.CITE &lt;EndNote&gt;&lt;Cite&gt;&lt;Author&gt;Paterová&lt;/Author&gt;&lt;Year&gt;2013&lt;/Year&gt;&lt;RecNum&gt;380&lt;/RecNum&gt;&lt;DisplayText&gt;&lt;style face="superscript"&gt;119&lt;/style&gt;&lt;/DisplayText&gt;&lt;record&gt;&lt;rec-number&gt;380&lt;/rec-number&gt;&lt;foreign-keys&gt;&lt;key app="EN" db-id="5trrespwzsdr07efd5tx2w96x22re9s0fsdt"&gt;380&lt;/key&gt;&lt;/foreign-keys&gt;&lt;ref-type name="Journal Article"&gt;17&lt;/ref-type&gt;&lt;contributors&gt;&lt;authors&gt;&lt;author&gt;Paterová, Jana&lt;/author&gt;&lt;author&gt;Rembert, Kelvin B.&lt;/author&gt;&lt;author&gt;Heyda, Jan&lt;/author&gt;&lt;author&gt;Kurra, Yadagiri&lt;/author&gt;&lt;author&gt;Okur, Halil I.&lt;/author&gt;&lt;author&gt;Liu, Wenshe R.&lt;/author&gt;&lt;author&gt;Hilty, Christian&lt;/author&gt;&lt;author&gt;Cremer, Paul S.&lt;/author&gt;&lt;author&gt;Jungwirth, Pavel&lt;/author&gt;&lt;/authors&gt;&lt;/contributors&gt;&lt;titles&gt;&lt;title&gt;Reversal of the Hofmeister Series: Specific Ion Effects on Peptides&lt;/title&gt;&lt;secondary-title&gt;The Journal of Physical Chemistry B&lt;/secondary-title&gt;&lt;/titles&gt;&lt;periodical&gt;&lt;full-title&gt;The Journal of Physical Chemistry B&lt;/full-title&gt;&lt;/periodical&gt;&lt;pages&gt;8150-8158&lt;/pages&gt;&lt;volume&gt;117&lt;/volume&gt;&lt;number&gt;27&lt;/number&gt;&lt;dates&gt;&lt;year&gt;2013&lt;/year&gt;&lt;pub-dates&gt;&lt;date&gt;2013/07/11&lt;/date&gt;&lt;/pub-dates&gt;&lt;/dates&gt;&lt;publisher&gt;American Chemical Society&lt;/publisher&gt;&lt;isbn&gt;1520-6106&lt;/isbn&gt;&lt;urls&gt;&lt;related-urls&gt;&lt;url&gt;http://dx.doi.org/10.1021/jp405683s&lt;/url&gt;&lt;/related-urls&gt;&lt;/urls&gt;&lt;electronic-resource-num&gt;10.1021/jp405683s&lt;/electronic-resource-num&gt;&lt;access-date&gt;2014/05/26&lt;/access-date&gt;&lt;/record&gt;&lt;/Cite&gt;&lt;/EndNote&gt;</w:instrText>
        </w:r>
        <w:r w:rsidR="00512D09" w:rsidRPr="00BE75B4">
          <w:fldChar w:fldCharType="separate"/>
        </w:r>
        <w:r w:rsidR="00512D09" w:rsidRPr="00F80CAD">
          <w:rPr>
            <w:noProof/>
            <w:vertAlign w:val="superscript"/>
          </w:rPr>
          <w:t>119</w:t>
        </w:r>
        <w:r w:rsidR="00512D09" w:rsidRPr="00BE75B4">
          <w:fldChar w:fldCharType="end"/>
        </w:r>
      </w:hyperlink>
      <w:r w:rsidRPr="00BE75B4">
        <w:t xml:space="preserve"> This is agrees with standard salting out behaviour. Using a preferential interaction model, SO</w:t>
      </w:r>
      <w:r w:rsidRPr="00BE75B4">
        <w:rPr>
          <w:vertAlign w:val="subscript"/>
        </w:rPr>
        <w:t>4</w:t>
      </w:r>
      <w:r w:rsidRPr="00BE75B4">
        <w:rPr>
          <w:vertAlign w:val="superscript"/>
        </w:rPr>
        <w:t>2-</w:t>
      </w:r>
      <w:r w:rsidRPr="00BE75B4">
        <w:t xml:space="preserve"> shows very little affinity for the amide or methylene units. Cl</w:t>
      </w:r>
      <w:r w:rsidRPr="00BE75B4">
        <w:rPr>
          <w:vertAlign w:val="superscript"/>
        </w:rPr>
        <w:t>-</w:t>
      </w:r>
      <w:r w:rsidRPr="00BE75B4">
        <w:t>and Br</w:t>
      </w:r>
      <w:r w:rsidRPr="00BE75B4">
        <w:rPr>
          <w:vertAlign w:val="superscript"/>
        </w:rPr>
        <w:t>-</w:t>
      </w:r>
      <w:r w:rsidRPr="00BE75B4">
        <w:t xml:space="preserve"> showed no binding, whilst I</w:t>
      </w:r>
      <w:r w:rsidRPr="00D57C7F">
        <w:rPr>
          <w:vertAlign w:val="superscript"/>
        </w:rPr>
        <w:t>-</w:t>
      </w:r>
      <w:r w:rsidRPr="00BE75B4">
        <w:t xml:space="preserve"> showed some </w:t>
      </w:r>
      <w:r w:rsidRPr="00BE75B4">
        <w:lastRenderedPageBreak/>
        <w:t>affinity and SCN</w:t>
      </w:r>
      <w:r w:rsidRPr="00BE75B4">
        <w:rPr>
          <w:vertAlign w:val="superscript"/>
        </w:rPr>
        <w:t>-</w:t>
      </w:r>
      <w:r w:rsidRPr="00BE75B4">
        <w:t xml:space="preserve"> had the greatest affinity for the methylene units and the amide. With the uncapped triglycine, SO</w:t>
      </w:r>
      <w:r w:rsidRPr="00BE75B4">
        <w:rPr>
          <w:vertAlign w:val="subscript"/>
        </w:rPr>
        <w:t>4</w:t>
      </w:r>
      <w:r w:rsidRPr="00BE75B4">
        <w:rPr>
          <w:vertAlign w:val="superscript"/>
        </w:rPr>
        <w:t>2-</w:t>
      </w:r>
      <w:r w:rsidRPr="00BE75B4">
        <w:t xml:space="preserve"> binds strongly to the charged </w:t>
      </w:r>
      <w:r w:rsidRPr="00D57C7F">
        <w:rPr>
          <w:i/>
        </w:rPr>
        <w:t>N</w:t>
      </w:r>
      <w:r w:rsidRPr="00BE75B4">
        <w:t xml:space="preserve"> terminus. The halides also demonstrated some affinity for the polypeptide, whilst SCN showed more affinity for the charged </w:t>
      </w:r>
      <w:r w:rsidRPr="00D57C7F">
        <w:rPr>
          <w:i/>
        </w:rPr>
        <w:t>N</w:t>
      </w:r>
      <w:r w:rsidRPr="00BE75B4">
        <w:t>-terminus. Fitting chemical shift data to a binding equation showed that I</w:t>
      </w:r>
      <w:r w:rsidRPr="00BE75B4">
        <w:rPr>
          <w:vertAlign w:val="superscript"/>
        </w:rPr>
        <w:t>-</w:t>
      </w:r>
      <w:r w:rsidRPr="00BE75B4">
        <w:t xml:space="preserve"> and SCN</w:t>
      </w:r>
      <w:r w:rsidRPr="00BE75B4">
        <w:rPr>
          <w:vertAlign w:val="superscript"/>
        </w:rPr>
        <w:t xml:space="preserve">- </w:t>
      </w:r>
      <w:r w:rsidRPr="00BE75B4">
        <w:t xml:space="preserve">had affinity for the methylene group nearer the </w:t>
      </w:r>
      <w:r w:rsidRPr="00D57C7F">
        <w:rPr>
          <w:i/>
        </w:rPr>
        <w:t>N</w:t>
      </w:r>
      <w:r w:rsidRPr="00BE75B4">
        <w:t>-terminus, whilst Cl</w:t>
      </w:r>
      <w:r w:rsidRPr="00BE75B4">
        <w:rPr>
          <w:vertAlign w:val="superscript"/>
        </w:rPr>
        <w:t>-</w:t>
      </w:r>
      <w:r w:rsidRPr="00BE75B4">
        <w:t xml:space="preserve"> and Br</w:t>
      </w:r>
      <w:r w:rsidRPr="00BE75B4">
        <w:rPr>
          <w:vertAlign w:val="superscript"/>
        </w:rPr>
        <w:t>-</w:t>
      </w:r>
      <w:r w:rsidRPr="00BE75B4">
        <w:t xml:space="preserve"> showed no detectable affinity for any group. However, the K</w:t>
      </w:r>
      <w:r w:rsidRPr="00BE75B4">
        <w:rPr>
          <w:vertAlign w:val="subscript"/>
        </w:rPr>
        <w:t xml:space="preserve">D </w:t>
      </w:r>
      <w:r w:rsidRPr="00BE75B4">
        <w:t>values were greater than 1000 mM precluding true association. The negative binding curvature SO</w:t>
      </w:r>
      <w:r w:rsidRPr="00BE75B4">
        <w:rPr>
          <w:vertAlign w:val="subscript"/>
        </w:rPr>
        <w:t>4</w:t>
      </w:r>
      <w:r w:rsidRPr="00BE75B4">
        <w:rPr>
          <w:vertAlign w:val="superscript"/>
        </w:rPr>
        <w:t xml:space="preserve">2- </w:t>
      </w:r>
      <w:r w:rsidRPr="00BE75B4">
        <w:t>revealing by the fitting led the authors to preclude binding and suggest solvation of the peptide was being perturbed. Fitting the chemical shift data for the uncapped triglycine in the presence of the five salts demonstrated a reversed Hofmeister series in the order of SO</w:t>
      </w:r>
      <w:r w:rsidRPr="00BE75B4">
        <w:rPr>
          <w:vertAlign w:val="subscript"/>
        </w:rPr>
        <w:t>4</w:t>
      </w:r>
      <w:r w:rsidRPr="00BE75B4">
        <w:rPr>
          <w:vertAlign w:val="superscript"/>
        </w:rPr>
        <w:t>2-</w:t>
      </w:r>
      <w:r w:rsidRPr="00BE75B4">
        <w:t xml:space="preserve"> ˃Cl</w:t>
      </w:r>
      <w:r w:rsidRPr="00BE75B4">
        <w:rPr>
          <w:vertAlign w:val="superscript"/>
        </w:rPr>
        <w:t xml:space="preserve">- </w:t>
      </w:r>
      <w:r w:rsidRPr="00BE75B4">
        <w:t>˃Br</w:t>
      </w:r>
      <w:r w:rsidRPr="00BE75B4">
        <w:rPr>
          <w:vertAlign w:val="superscript"/>
        </w:rPr>
        <w:t xml:space="preserve">- </w:t>
      </w:r>
      <w:r w:rsidRPr="00BE75B4">
        <w:t>˃SCN</w:t>
      </w:r>
      <w:r w:rsidRPr="00BE75B4">
        <w:rPr>
          <w:vertAlign w:val="superscript"/>
        </w:rPr>
        <w:t>-</w:t>
      </w:r>
      <w:r w:rsidRPr="00BE75B4">
        <w:t xml:space="preserve"> ≈I</w:t>
      </w:r>
      <w:r w:rsidRPr="00BE75B4">
        <w:rPr>
          <w:vertAlign w:val="superscript"/>
        </w:rPr>
        <w:t>-</w:t>
      </w:r>
      <w:r w:rsidRPr="00BE75B4">
        <w:t xml:space="preserve"> which is in disagreement with the MDS conducted</w:t>
      </w:r>
      <w:r w:rsidR="00862B2D">
        <w:t>.</w:t>
      </w:r>
      <w:r w:rsidRPr="00BE75B4">
        <w:t xml:space="preserve"> </w:t>
      </w:r>
      <w:hyperlink w:anchor="_ENREF_119" w:tooltip="Paterová, 2013 #380" w:history="1">
        <w:r w:rsidR="00512D09" w:rsidRPr="00BE75B4">
          <w:fldChar w:fldCharType="begin"/>
        </w:r>
        <w:r w:rsidR="00512D09">
          <w:instrText xml:space="preserve"> ADDIN EN.CITE &lt;EndNote&gt;&lt;Cite&gt;&lt;Author&gt;Paterová&lt;/Author&gt;&lt;Year&gt;2013&lt;/Year&gt;&lt;RecNum&gt;380&lt;/RecNum&gt;&lt;DisplayText&gt;&lt;style face="superscript"&gt;119&lt;/style&gt;&lt;/DisplayText&gt;&lt;record&gt;&lt;rec-number&gt;380&lt;/rec-number&gt;&lt;foreign-keys&gt;&lt;key app="EN" db-id="5trrespwzsdr07efd5tx2w96x22re9s0fsdt"&gt;380&lt;/key&gt;&lt;/foreign-keys&gt;&lt;ref-type name="Journal Article"&gt;17&lt;/ref-type&gt;&lt;contributors&gt;&lt;authors&gt;&lt;author&gt;Paterová, Jana&lt;/author&gt;&lt;author&gt;Rembert, Kelvin B.&lt;/author&gt;&lt;author&gt;Heyda, Jan&lt;/author&gt;&lt;author&gt;Kurra, Yadagiri&lt;/author&gt;&lt;author&gt;Okur, Halil I.&lt;/author&gt;&lt;author&gt;Liu, Wenshe R.&lt;/author&gt;&lt;author&gt;Hilty, Christian&lt;/author&gt;&lt;author&gt;Cremer, Paul S.&lt;/author&gt;&lt;author&gt;Jungwirth, Pavel&lt;/author&gt;&lt;/authors&gt;&lt;/contributors&gt;&lt;titles&gt;&lt;title&gt;Reversal of the Hofmeister Series: Specific Ion Effects on Peptides&lt;/title&gt;&lt;secondary-title&gt;The Journal of Physical Chemistry B&lt;/secondary-title&gt;&lt;/titles&gt;&lt;periodical&gt;&lt;full-title&gt;The Journal of Physical Chemistry B&lt;/full-title&gt;&lt;/periodical&gt;&lt;pages&gt;8150-8158&lt;/pages&gt;&lt;volume&gt;117&lt;/volume&gt;&lt;number&gt;27&lt;/number&gt;&lt;dates&gt;&lt;year&gt;2013&lt;/year&gt;&lt;pub-dates&gt;&lt;date&gt;2013/07/11&lt;/date&gt;&lt;/pub-dates&gt;&lt;/dates&gt;&lt;publisher&gt;American Chemical Society&lt;/publisher&gt;&lt;isbn&gt;1520-6106&lt;/isbn&gt;&lt;urls&gt;&lt;related-urls&gt;&lt;url&gt;http://dx.doi.org/10.1021/jp405683s&lt;/url&gt;&lt;/related-urls&gt;&lt;/urls&gt;&lt;electronic-resource-num&gt;10.1021/jp405683s&lt;/electronic-resource-num&gt;&lt;access-date&gt;2014/05/26&lt;/access-date&gt;&lt;/record&gt;&lt;/Cite&gt;&lt;/EndNote&gt;</w:instrText>
        </w:r>
        <w:r w:rsidR="00512D09" w:rsidRPr="00BE75B4">
          <w:fldChar w:fldCharType="separate"/>
        </w:r>
        <w:r w:rsidR="00512D09" w:rsidRPr="00F80CAD">
          <w:rPr>
            <w:noProof/>
            <w:vertAlign w:val="superscript"/>
          </w:rPr>
          <w:t>119</w:t>
        </w:r>
        <w:r w:rsidR="00512D09" w:rsidRPr="00BE75B4">
          <w:fldChar w:fldCharType="end"/>
        </w:r>
      </w:hyperlink>
      <w:r w:rsidRPr="00BE75B4">
        <w:t xml:space="preserve">  </w:t>
      </w:r>
    </w:p>
    <w:p w:rsidR="00BE75B4" w:rsidRPr="00BE75B4" w:rsidRDefault="00BE75B4" w:rsidP="00217116">
      <w:pPr>
        <w:spacing w:line="480" w:lineRule="auto"/>
        <w:jc w:val="both"/>
      </w:pPr>
      <w:r w:rsidRPr="00BE75B4">
        <w:t>Zhang and Cremer found the Hofmeister series followed two distinct changes using cloud-point temperature for lysozyme solutions at around pH 9</w:t>
      </w:r>
      <w:r w:rsidR="00862B2D">
        <w:t>.</w:t>
      </w:r>
      <w:r w:rsidRPr="00BE75B4">
        <w:t xml:space="preserve"> </w:t>
      </w:r>
      <w:hyperlink w:anchor="_ENREF_120" w:tooltip="Zhang, 2009 #316" w:history="1">
        <w:r w:rsidR="00512D09" w:rsidRPr="00BE75B4">
          <w:fldChar w:fldCharType="begin"/>
        </w:r>
        <w:r w:rsidR="00512D09">
          <w:instrText xml:space="preserve"> ADDIN EN.CITE &lt;EndNote&gt;&lt;Cite&gt;&lt;Author&gt;Zhang&lt;/Author&gt;&lt;Year&gt;2009&lt;/Year&gt;&lt;RecNum&gt;316&lt;/RecNum&gt;&lt;DisplayText&gt;&lt;style face="superscript"&gt;120&lt;/style&gt;&lt;/DisplayText&gt;&lt;record&gt;&lt;rec-number&gt;316&lt;/rec-number&gt;&lt;foreign-keys&gt;&lt;key app="EN" db-id="5trrespwzsdr07efd5tx2w96x22re9s0fsdt"&gt;316&lt;/key&gt;&lt;/foreign-keys&gt;&lt;ref-type name="Journal Article"&gt;17&lt;/ref-type&gt;&lt;contributors&gt;&lt;authors&gt;&lt;author&gt;Zhang, Yanjie&lt;/author&gt;&lt;author&gt;Cremer, Paul S.&lt;/author&gt;&lt;/authors&gt;&lt;/contributors&gt;&lt;titles&gt;&lt;title&gt;The inverse and direct Hofmeister series for lysozyme&lt;/title&gt;&lt;secondary-title&gt;Proceedings of the National Academy of Sciences&lt;/secondary-title&gt;&lt;/titles&gt;&lt;periodical&gt;&lt;full-title&gt;Proceedings of the National Academy of Sciences&lt;/full-title&gt;&lt;/periodical&gt;&lt;dates&gt;&lt;year&gt;2009&lt;/year&gt;&lt;pub-dates&gt;&lt;date&gt;August 21, 2009&lt;/date&gt;&lt;/pub-dates&gt;&lt;/dates&gt;&lt;urls&gt;&lt;related-urls&gt;&lt;url&gt;http://www.pnas.org/content/early/2009/08/20/0907616106.abstract&lt;/url&gt;&lt;/related-urls&gt;&lt;/urls&gt;&lt;electronic-resource-num&gt;10.1073/pnas.0907616106&lt;/electronic-resource-num&gt;&lt;/record&gt;&lt;/Cite&gt;&lt;/EndNote&gt;</w:instrText>
        </w:r>
        <w:r w:rsidR="00512D09" w:rsidRPr="00BE75B4">
          <w:fldChar w:fldCharType="separate"/>
        </w:r>
        <w:r w:rsidR="00512D09" w:rsidRPr="00F80CAD">
          <w:rPr>
            <w:noProof/>
            <w:vertAlign w:val="superscript"/>
          </w:rPr>
          <w:t>120</w:t>
        </w:r>
        <w:r w:rsidR="00512D09" w:rsidRPr="00BE75B4">
          <w:fldChar w:fldCharType="end"/>
        </w:r>
      </w:hyperlink>
      <w:r w:rsidRPr="00BE75B4">
        <w:t xml:space="preserve"> Protein molecules aggregate below the cloud point temperature whilst above this temperature the molecules disperse into solution. The higher the temperature at which the cloud point occurs, the better able the salt to neutralise the charges on the protein. Zhang and Cremer found an inverse Hofmeister series at low concentrations (&lt; 300 mM) NaClO</w:t>
      </w:r>
      <w:r w:rsidRPr="00BE75B4">
        <w:rPr>
          <w:vertAlign w:val="subscript"/>
        </w:rPr>
        <w:t>4</w:t>
      </w:r>
      <w:r w:rsidRPr="00BE75B4">
        <w:t xml:space="preserve"> &gt; NaSCN &gt; NaI &gt; NaNO</w:t>
      </w:r>
      <w:r w:rsidRPr="00BE75B4">
        <w:rPr>
          <w:vertAlign w:val="subscript"/>
        </w:rPr>
        <w:t xml:space="preserve">3 </w:t>
      </w:r>
      <w:r w:rsidRPr="00BE75B4">
        <w:t>&gt; NaBr &gt; NaCl</w:t>
      </w:r>
      <w:r w:rsidR="00862B2D">
        <w:t>.</w:t>
      </w:r>
      <w:r w:rsidRPr="00BE75B4">
        <w:t xml:space="preserve"> </w:t>
      </w:r>
      <w:hyperlink w:anchor="_ENREF_120" w:tooltip="Zhang, 2009 #316" w:history="1">
        <w:r w:rsidR="00512D09" w:rsidRPr="00BE75B4">
          <w:fldChar w:fldCharType="begin"/>
        </w:r>
        <w:r w:rsidR="00512D09">
          <w:instrText xml:space="preserve"> ADDIN EN.CITE &lt;EndNote&gt;&lt;Cite&gt;&lt;Author&gt;Zhang&lt;/Author&gt;&lt;Year&gt;2009&lt;/Year&gt;&lt;RecNum&gt;316&lt;/RecNum&gt;&lt;DisplayText&gt;&lt;style face="superscript"&gt;120&lt;/style&gt;&lt;/DisplayText&gt;&lt;record&gt;&lt;rec-number&gt;316&lt;/rec-number&gt;&lt;foreign-keys&gt;&lt;key app="EN" db-id="5trrespwzsdr07efd5tx2w96x22re9s0fsdt"&gt;316&lt;/key&gt;&lt;/foreign-keys&gt;&lt;ref-type name="Journal Article"&gt;17&lt;/ref-type&gt;&lt;contributors&gt;&lt;authors&gt;&lt;author&gt;Zhang, Yanjie&lt;/author&gt;&lt;author&gt;Cremer, Paul S.&lt;/author&gt;&lt;/authors&gt;&lt;/contributors&gt;&lt;titles&gt;&lt;title&gt;The inverse and direct Hofmeister series for lysozyme&lt;/title&gt;&lt;secondary-title&gt;Proceedings of the National Academy of Sciences&lt;/secondary-title&gt;&lt;/titles&gt;&lt;periodical&gt;&lt;full-title&gt;Proceedings of the National Academy of Sciences&lt;/full-title&gt;&lt;/periodical&gt;&lt;dates&gt;&lt;year&gt;2009&lt;/year&gt;&lt;pub-dates&gt;&lt;date&gt;August 21, 2009&lt;/date&gt;&lt;/pub-dates&gt;&lt;/dates&gt;&lt;urls&gt;&lt;related-urls&gt;&lt;url&gt;http://www.pnas.org/content/early/2009/08/20/0907616106.abstract&lt;/url&gt;&lt;/related-urls&gt;&lt;/urls&gt;&lt;electronic-resource-num&gt;10.1073/pnas.0907616106&lt;/electronic-resource-num&gt;&lt;/record&gt;&lt;/Cite&gt;&lt;/EndNote&gt;</w:instrText>
        </w:r>
        <w:r w:rsidR="00512D09" w:rsidRPr="00BE75B4">
          <w:fldChar w:fldCharType="separate"/>
        </w:r>
        <w:r w:rsidR="00512D09" w:rsidRPr="00F80CAD">
          <w:rPr>
            <w:noProof/>
            <w:vertAlign w:val="superscript"/>
          </w:rPr>
          <w:t>120</w:t>
        </w:r>
        <w:r w:rsidR="00512D09" w:rsidRPr="00BE75B4">
          <w:fldChar w:fldCharType="end"/>
        </w:r>
      </w:hyperlink>
      <w:r w:rsidRPr="00BE75B4">
        <w:t xml:space="preserve"> By solving the modified Poisson-Boltzmann equation using non-electrostatic potentials gave a possible explanation for the reversal of the Hofmeister series at low and high salt concentrations. More polarisable anions bind to lysozyme via non-electrostatic interactions more strongly quenching the positive charge on the protein resulting in less repulsive forces causing aggregation.  As the concentration of the sodium salts increases, sodium begins to accumulate near the protein-iodide complex giving rise to the direct Hofmeister series. </w:t>
      </w:r>
    </w:p>
    <w:p w:rsidR="00BE75B4" w:rsidRPr="00BE75B4" w:rsidRDefault="00BE75B4" w:rsidP="00217116">
      <w:pPr>
        <w:spacing w:line="480" w:lineRule="auto"/>
        <w:jc w:val="both"/>
      </w:pPr>
      <w:r w:rsidRPr="00BE75B4">
        <w:lastRenderedPageBreak/>
        <w:t xml:space="preserve">In all cases the binding between the elastin-like polypeptides and the chaotropes is very weak.  This is reinforced by the work done by Flores </w:t>
      </w:r>
      <w:r w:rsidR="002D4FF8">
        <w:rPr>
          <w:i/>
        </w:rPr>
        <w:t xml:space="preserve">et al. </w:t>
      </w:r>
      <w:r w:rsidRPr="00BE75B4">
        <w:t xml:space="preserve"> who looked at interfacial water populations around octadecyltrichlorosilane (OTS) covered quartz, which is representative of a hydrophobic surface using </w:t>
      </w:r>
      <w:r w:rsidR="00CB3C2F" w:rsidRPr="00BE75B4">
        <w:t xml:space="preserve">Vibrational Sum Frequency </w:t>
      </w:r>
      <w:r w:rsidRPr="00BE75B4">
        <w:t>spectroscopy. The results were used to suggest that SCN</w:t>
      </w:r>
      <w:r w:rsidRPr="00BE75B4">
        <w:rPr>
          <w:vertAlign w:val="superscript"/>
        </w:rPr>
        <w:t xml:space="preserve">- </w:t>
      </w:r>
      <w:r w:rsidRPr="00BE75B4">
        <w:t>and ClO</w:t>
      </w:r>
      <w:r w:rsidRPr="00BE75B4">
        <w:rPr>
          <w:vertAlign w:val="subscript"/>
        </w:rPr>
        <w:t>4</w:t>
      </w:r>
      <w:r w:rsidRPr="00BE75B4">
        <w:rPr>
          <w:vertAlign w:val="superscript"/>
        </w:rPr>
        <w:t>-</w:t>
      </w:r>
      <w:r w:rsidRPr="00BE75B4">
        <w:t xml:space="preserve"> were less excluded by the hydrophobic surface than Cl</w:t>
      </w:r>
      <w:r w:rsidRPr="00BE75B4">
        <w:rPr>
          <w:vertAlign w:val="superscript"/>
        </w:rPr>
        <w:t xml:space="preserve">- </w:t>
      </w:r>
      <w:r w:rsidRPr="00BE75B4">
        <w:t>which could be indicative of binding</w:t>
      </w:r>
      <w:r w:rsidR="00862B2D">
        <w:t>.</w:t>
      </w:r>
      <w:r w:rsidRPr="00BE75B4">
        <w:t xml:space="preserve"> </w:t>
      </w:r>
      <w:hyperlink w:anchor="_ENREF_121" w:tooltip="Flores, 2012 #313" w:history="1">
        <w:r w:rsidR="00512D09" w:rsidRPr="00BE75B4">
          <w:fldChar w:fldCharType="begin"/>
        </w:r>
        <w:r w:rsidR="00512D09">
          <w:instrText xml:space="preserve"> ADDIN EN.CITE &lt;EndNote&gt;&lt;Cite&gt;&lt;Author&gt;Flores&lt;/Author&gt;&lt;Year&gt;2012&lt;/Year&gt;&lt;RecNum&gt;313&lt;/RecNum&gt;&lt;DisplayText&gt;&lt;style face="superscript"&gt;121&lt;/style&gt;&lt;/DisplayText&gt;&lt;record&gt;&lt;rec-number&gt;313&lt;/rec-number&gt;&lt;foreign-keys&gt;&lt;key app="EN" db-id="5trrespwzsdr07efd5tx2w96x22re9s0fsdt"&gt;313&lt;/key&gt;&lt;/foreign-keys&gt;&lt;ref-type name="Journal Article"&gt;17&lt;/ref-type&gt;&lt;contributors&gt;&lt;authors&gt;&lt;author&gt;Flores, Sarah C.&lt;/author&gt;&lt;author&gt;Kherb, Jaibir&lt;/author&gt;&lt;author&gt;Cremer, Paul S.&lt;/author&gt;&lt;/authors&gt;&lt;/contributors&gt;&lt;titles&gt;&lt;title&gt;Direct and Reverse Hofmeister Effects on Interfacial Water Structure&lt;/title&gt;&lt;secondary-title&gt;The Journal of Physical Chemistry C&lt;/secondary-title&gt;&lt;/titles&gt;&lt;periodical&gt;&lt;full-title&gt;The Journal of Physical Chemistry C&lt;/full-title&gt;&lt;/periodical&gt;&lt;pages&gt;14408-14413&lt;/pages&gt;&lt;volume&gt;116&lt;/volume&gt;&lt;number&gt;27&lt;/number&gt;&lt;dates&gt;&lt;year&gt;2012&lt;/year&gt;&lt;pub-dates&gt;&lt;date&gt;2012/07/12&lt;/date&gt;&lt;/pub-dates&gt;&lt;/dates&gt;&lt;publisher&gt;American Chemical Society&lt;/publisher&gt;&lt;isbn&gt;1932-7447&lt;/isbn&gt;&lt;urls&gt;&lt;related-urls&gt;&lt;url&gt;http://dx.doi.org/10.1021/jp3029352&lt;/url&gt;&lt;/related-urls&gt;&lt;/urls&gt;&lt;electronic-resource-num&gt;10.1021/jp3029352&lt;/electronic-resource-num&gt;&lt;access-date&gt;2014/02/10&lt;/access-date&gt;&lt;/record&gt;&lt;/Cite&gt;&lt;/EndNote&gt;</w:instrText>
        </w:r>
        <w:r w:rsidR="00512D09" w:rsidRPr="00BE75B4">
          <w:fldChar w:fldCharType="separate"/>
        </w:r>
        <w:r w:rsidR="00512D09" w:rsidRPr="00F80CAD">
          <w:rPr>
            <w:noProof/>
            <w:vertAlign w:val="superscript"/>
          </w:rPr>
          <w:t>121</w:t>
        </w:r>
        <w:r w:rsidR="00512D09" w:rsidRPr="00BE75B4">
          <w:fldChar w:fldCharType="end"/>
        </w:r>
      </w:hyperlink>
      <w:r w:rsidRPr="00BE75B4">
        <w:t xml:space="preserve">  Gib</w:t>
      </w:r>
      <w:r w:rsidR="00C36350">
        <w:t>b and Gibb demonstrated that NO</w:t>
      </w:r>
      <w:r w:rsidR="00C36350" w:rsidRPr="00C36350">
        <w:rPr>
          <w:vertAlign w:val="superscript"/>
        </w:rPr>
        <w:t>-</w:t>
      </w:r>
      <w:r w:rsidRPr="00BE75B4">
        <w:rPr>
          <w:vertAlign w:val="subscript"/>
        </w:rPr>
        <w:t>3</w:t>
      </w:r>
      <w:r w:rsidRPr="00BE75B4">
        <w:t>, ClO</w:t>
      </w:r>
      <w:r w:rsidRPr="00BE75B4">
        <w:rPr>
          <w:vertAlign w:val="subscript"/>
        </w:rPr>
        <w:t>3</w:t>
      </w:r>
      <w:r w:rsidRPr="00BE75B4">
        <w:rPr>
          <w:vertAlign w:val="superscript"/>
        </w:rPr>
        <w:t>−</w:t>
      </w:r>
      <w:r w:rsidRPr="00BE75B4">
        <w:t>, I</w:t>
      </w:r>
      <w:r w:rsidRPr="00BE75B4">
        <w:rPr>
          <w:vertAlign w:val="superscript"/>
        </w:rPr>
        <w:t>-</w:t>
      </w:r>
      <w:r w:rsidRPr="00BE75B4">
        <w:t>, SCN</w:t>
      </w:r>
      <w:r w:rsidRPr="00BE75B4">
        <w:rPr>
          <w:vertAlign w:val="superscript"/>
        </w:rPr>
        <w:t>-</w:t>
      </w:r>
      <w:r w:rsidRPr="00BE75B4">
        <w:t>, and ClO</w:t>
      </w:r>
      <w:r w:rsidRPr="00BE75B4">
        <w:rPr>
          <w:vertAlign w:val="subscript"/>
        </w:rPr>
        <w:t>4</w:t>
      </w:r>
      <w:r w:rsidRPr="00BE75B4">
        <w:rPr>
          <w:vertAlign w:val="superscript"/>
        </w:rPr>
        <w:t>-</w:t>
      </w:r>
      <w:r w:rsidRPr="00BE75B4">
        <w:rPr>
          <w:vertAlign w:val="subscript"/>
        </w:rPr>
        <w:t xml:space="preserve"> </w:t>
      </w:r>
      <w:r w:rsidRPr="00BE75B4">
        <w:t>compete against adamantane carboxylic acid for binding to a hydrophobic concavity</w:t>
      </w:r>
      <w:r w:rsidR="00C36350">
        <w:t>.</w:t>
      </w:r>
      <w:r w:rsidRPr="00BE75B4">
        <w:t xml:space="preserve"> </w:t>
      </w:r>
      <w:hyperlink w:anchor="_ENREF_122" w:tooltip="Gibb, 2011 #307" w:history="1">
        <w:r w:rsidR="00512D09" w:rsidRPr="00BE75B4">
          <w:rPr>
            <w:vertAlign w:val="superscript"/>
          </w:rPr>
          <w:fldChar w:fldCharType="begin"/>
        </w:r>
        <w:r w:rsidR="00512D09">
          <w:rPr>
            <w:vertAlign w:val="superscript"/>
          </w:rPr>
          <w:instrText xml:space="preserve"> ADDIN EN.CITE &lt;EndNote&gt;&lt;Cite&gt;&lt;Author&gt;Gibb&lt;/Author&gt;&lt;Year&gt;2011&lt;/Year&gt;&lt;RecNum&gt;307&lt;/RecNum&gt;&lt;DisplayText&gt;&lt;style face="superscript"&gt;122&lt;/style&gt;&lt;/DisplayText&gt;&lt;record&gt;&lt;rec-number&gt;307&lt;/rec-number&gt;&lt;foreign-keys&gt;&lt;key app="EN" db-id="5trrespwzsdr07efd5tx2w96x22re9s0fsdt"&gt;307&lt;/key&gt;&lt;/foreign-keys&gt;&lt;ref-type name="Journal Article"&gt;17&lt;/ref-type&gt;&lt;contributors&gt;&lt;authors&gt;&lt;author&gt;Gibb, Corinne L. D.&lt;/author&gt;&lt;author&gt;Gibb, Bruce C.&lt;/author&gt;&lt;/authors&gt;&lt;/contributors&gt;&lt;titles&gt;&lt;title&gt;Anion Binding to Hydrophobic Concavity Is Central to the Salting-in Effects of Hofmeister Chaotropes&lt;/title&gt;&lt;secondary-title&gt;J Am Chem Soc&lt;/secondary-title&gt;&lt;/titles&gt;&lt;periodical&gt;&lt;full-title&gt;J Am Chem Soc&lt;/full-title&gt;&lt;abbr-1&gt;Journal of the American Chemical Society&lt;/abbr-1&gt;&lt;/periodical&gt;&lt;pages&gt;7344-7347&lt;/pages&gt;&lt;volume&gt;133&lt;/volume&gt;&lt;number&gt;19&lt;/number&gt;&lt;dates&gt;&lt;year&gt;2011&lt;/year&gt;&lt;pub-dates&gt;&lt;date&gt;2011/05/18&lt;/date&gt;&lt;/pub-dates&gt;&lt;/dates&gt;&lt;publisher&gt;American Chemical Society&lt;/publisher&gt;&lt;isbn&gt;0002-7863&lt;/isbn&gt;&lt;urls&gt;&lt;related-urls&gt;&lt;url&gt;http://dx.doi.org/10.1021/ja202308n&lt;/url&gt;&lt;/related-urls&gt;&lt;/urls&gt;&lt;electronic-resource-num&gt;10.1021/ja202308n&lt;/electronic-resource-num&gt;&lt;access-date&gt;2014/01/28&lt;/access-date&gt;&lt;/record&gt;&lt;/Cite&gt;&lt;/EndNote&gt;</w:instrText>
        </w:r>
        <w:r w:rsidR="00512D09" w:rsidRPr="00BE75B4">
          <w:rPr>
            <w:vertAlign w:val="superscript"/>
          </w:rPr>
          <w:fldChar w:fldCharType="separate"/>
        </w:r>
        <w:r w:rsidR="00512D09">
          <w:rPr>
            <w:noProof/>
            <w:vertAlign w:val="superscript"/>
          </w:rPr>
          <w:t>122</w:t>
        </w:r>
        <w:r w:rsidR="00512D09" w:rsidRPr="00BE75B4">
          <w:fldChar w:fldCharType="end"/>
        </w:r>
      </w:hyperlink>
      <w:r w:rsidRPr="00BE75B4">
        <w:t xml:space="preserve">  Gokarn </w:t>
      </w:r>
      <w:r w:rsidR="002D4FF8">
        <w:rPr>
          <w:i/>
        </w:rPr>
        <w:t xml:space="preserve">et al. </w:t>
      </w:r>
      <w:r w:rsidRPr="00BE75B4">
        <w:t xml:space="preserve"> using capillary zone electrophoresis and sedimentation velocity analytical ultracentrifugation demonstrating that the effective charge of hen-egg white lysozyme decreased in the order of F</w:t>
      </w:r>
      <w:r w:rsidRPr="00BE75B4">
        <w:rPr>
          <w:vertAlign w:val="superscript"/>
        </w:rPr>
        <w:t xml:space="preserve">- </w:t>
      </w:r>
      <w:r w:rsidRPr="00BE75B4">
        <w:t>˃ Cl</w:t>
      </w:r>
      <w:r w:rsidRPr="00BE75B4">
        <w:rPr>
          <w:vertAlign w:val="superscript"/>
        </w:rPr>
        <w:t xml:space="preserve">- </w:t>
      </w:r>
      <w:r w:rsidRPr="00BE75B4">
        <w:t>˃ Br</w:t>
      </w:r>
      <w:r w:rsidRPr="00BE75B4">
        <w:rPr>
          <w:vertAlign w:val="superscript"/>
        </w:rPr>
        <w:t xml:space="preserve">- </w:t>
      </w:r>
      <w:r w:rsidRPr="00BE75B4">
        <w:t>˃</w:t>
      </w:r>
      <w:r w:rsidR="00C36350">
        <w:t xml:space="preserve"> NO</w:t>
      </w:r>
      <w:r w:rsidR="00C36350" w:rsidRPr="00C36350">
        <w:rPr>
          <w:vertAlign w:val="superscript"/>
        </w:rPr>
        <w:t>-</w:t>
      </w:r>
      <w:r w:rsidRPr="00BE75B4">
        <w:rPr>
          <w:vertAlign w:val="subscript"/>
        </w:rPr>
        <w:t xml:space="preserve">3 </w:t>
      </w:r>
      <w:r w:rsidRPr="00BE75B4">
        <w:t>˃ I</w:t>
      </w:r>
      <w:r w:rsidRPr="00BE75B4">
        <w:rPr>
          <w:vertAlign w:val="superscript"/>
        </w:rPr>
        <w:t xml:space="preserve">- </w:t>
      </w:r>
      <w:r w:rsidRPr="00BE75B4">
        <w:t>˃ SCN</w:t>
      </w:r>
      <w:r w:rsidRPr="00BE75B4">
        <w:rPr>
          <w:vertAlign w:val="superscript"/>
        </w:rPr>
        <w:t xml:space="preserve">- </w:t>
      </w:r>
      <w:r w:rsidRPr="00BE75B4">
        <w:t>˃ ClO</w:t>
      </w:r>
      <w:r w:rsidRPr="00BE75B4">
        <w:rPr>
          <w:vertAlign w:val="subscript"/>
        </w:rPr>
        <w:t>4</w:t>
      </w:r>
      <w:r w:rsidRPr="00BE75B4">
        <w:rPr>
          <w:vertAlign w:val="superscript"/>
        </w:rPr>
        <w:t>-</w:t>
      </w:r>
      <w:r w:rsidRPr="00BE75B4">
        <w:rPr>
          <w:vertAlign w:val="subscript"/>
        </w:rPr>
        <w:t xml:space="preserve"> </w:t>
      </w:r>
      <w:r w:rsidRPr="00BE75B4">
        <w:t>˃˃ SO</w:t>
      </w:r>
      <w:r w:rsidRPr="00BE75B4">
        <w:rPr>
          <w:vertAlign w:val="subscript"/>
        </w:rPr>
        <w:t>4</w:t>
      </w:r>
      <w:r w:rsidRPr="00BE75B4">
        <w:rPr>
          <w:vertAlign w:val="superscript"/>
        </w:rPr>
        <w:t>2-</w:t>
      </w:r>
      <w:r w:rsidRPr="00BE75B4">
        <w:t xml:space="preserve"> which led the authors to suggest that binding was taking place</w:t>
      </w:r>
      <w:r w:rsidR="00862B2D">
        <w:t>.</w:t>
      </w:r>
      <w:r w:rsidRPr="00BE75B4">
        <w:t xml:space="preserve"> </w:t>
      </w:r>
      <w:hyperlink w:anchor="_ENREF_123" w:tooltip="Gokarn, 2011 #314" w:history="1">
        <w:r w:rsidR="00512D09" w:rsidRPr="00BE75B4">
          <w:fldChar w:fldCharType="begin"/>
        </w:r>
        <w:r w:rsidR="00512D09">
          <w:instrText xml:space="preserve"> ADDIN EN.CITE &lt;EndNote&gt;&lt;Cite&gt;&lt;Author&gt;Gokarn&lt;/Author&gt;&lt;Year&gt;2011&lt;/Year&gt;&lt;RecNum&gt;314&lt;/RecNum&gt;&lt;DisplayText&gt;&lt;style face="superscript"&gt;123&lt;/style&gt;&lt;/DisplayText&gt;&lt;record&gt;&lt;rec-number&gt;314&lt;/rec-number&gt;&lt;foreign-keys&gt;&lt;key app="EN" db-id="5trrespwzsdr07efd5tx2w96x22re9s0fsdt"&gt;314&lt;/key&gt;&lt;/foreign-keys&gt;&lt;ref-type name="Journal Article"&gt;17&lt;/ref-type&gt;&lt;contributors&gt;&lt;authors&gt;&lt;author&gt;Gokarn, Yatin R.&lt;/author&gt;&lt;author&gt;Fesinmeyer, R. Matthew&lt;/author&gt;&lt;author&gt;Saluja, Atul&lt;/author&gt;&lt;author&gt;Razinkov, Vladimir&lt;/author&gt;&lt;author&gt;Chase, Susan F.&lt;/author&gt;&lt;author&gt;Laue, Thomas M.&lt;/author&gt;&lt;author&gt;Brems, David N.&lt;/author&gt;&lt;/authors&gt;&lt;/contributors&gt;&lt;titles&gt;&lt;title&gt;Effective charge measurements reveal selective and preferential accumulation of anions, but not cations, at the protein surface in dilute salt solutions&lt;/title&gt;&lt;secondary-title&gt;Protein Science&lt;/secondary-title&gt;&lt;/titles&gt;&lt;periodical&gt;&lt;full-title&gt;Protein Science&lt;/full-title&gt;&lt;/periodical&gt;&lt;pages&gt;580-587&lt;/pages&gt;&lt;volume&gt;20&lt;/volume&gt;&lt;number&gt;3&lt;/number&gt;&lt;keywords&gt;&lt;keyword&gt;ion–protein interactions&lt;/keyword&gt;&lt;keyword&gt;protein charge&lt;/keyword&gt;&lt;keyword&gt;Hofmeister series&lt;/keyword&gt;&lt;keyword&gt;electroselectivity series&lt;/keyword&gt;&lt;keyword&gt;specific-ion effects&lt;/keyword&gt;&lt;/keywords&gt;&lt;dates&gt;&lt;year&gt;2011&lt;/year&gt;&lt;/dates&gt;&lt;publisher&gt;Wiley Subscription Services, Inc., A Wiley Company&lt;/publisher&gt;&lt;isbn&gt;1469-896X&lt;/isbn&gt;&lt;urls&gt;&lt;related-urls&gt;&lt;url&gt;http://dx.doi.org/10.1002/pro.591&lt;/url&gt;&lt;/related-urls&gt;&lt;/urls&gt;&lt;electronic-resource-num&gt;10.1002/pro.591&lt;/electronic-resource-num&gt;&lt;/record&gt;&lt;/Cite&gt;&lt;/EndNote&gt;</w:instrText>
        </w:r>
        <w:r w:rsidR="00512D09" w:rsidRPr="00BE75B4">
          <w:fldChar w:fldCharType="separate"/>
        </w:r>
        <w:r w:rsidR="00512D09" w:rsidRPr="00F80CAD">
          <w:rPr>
            <w:noProof/>
            <w:vertAlign w:val="superscript"/>
          </w:rPr>
          <w:t>123</w:t>
        </w:r>
        <w:r w:rsidR="00512D09" w:rsidRPr="00BE75B4">
          <w:fldChar w:fldCharType="end"/>
        </w:r>
      </w:hyperlink>
      <w:r w:rsidRPr="00BE75B4">
        <w:t xml:space="preserve"> Rankin and Amotz revealed that I</w:t>
      </w:r>
      <w:r w:rsidRPr="00BE75B4">
        <w:rPr>
          <w:vertAlign w:val="superscript"/>
        </w:rPr>
        <w:t>-</w:t>
      </w:r>
      <w:r w:rsidRPr="00BE75B4">
        <w:t>, unlike F</w:t>
      </w:r>
      <w:r w:rsidRPr="00BE75B4">
        <w:rPr>
          <w:vertAlign w:val="superscript"/>
        </w:rPr>
        <w:t xml:space="preserve">- </w:t>
      </w:r>
      <w:r w:rsidRPr="00BE75B4">
        <w:t>and Na</w:t>
      </w:r>
      <w:r w:rsidRPr="00BE75B4">
        <w:rPr>
          <w:vertAlign w:val="superscript"/>
        </w:rPr>
        <w:t>+</w:t>
      </w:r>
      <w:r w:rsidRPr="00BE75B4">
        <w:t xml:space="preserve"> could disrupt the hydration layer around tetramethylammonium using Raman multivariate curve resolution (MCR) hydration shell spectroscopy. The association</w:t>
      </w:r>
      <w:r w:rsidR="00B6081B">
        <w:t xml:space="preserve"> constant was found to be weak </w:t>
      </w:r>
      <w:r w:rsidRPr="00BE75B4">
        <w:t>and so it was suggested that I</w:t>
      </w:r>
      <w:r w:rsidRPr="00BE75B4">
        <w:rPr>
          <w:vertAlign w:val="superscript"/>
        </w:rPr>
        <w:t>-</w:t>
      </w:r>
      <w:r w:rsidRPr="00BE75B4">
        <w:t xml:space="preserve"> rather than having affinity for tetramethylammonium was less excluded by the hydration layer in comparison to other ions</w:t>
      </w:r>
      <w:r w:rsidR="00C36350">
        <w:t>.</w:t>
      </w:r>
      <w:r w:rsidRPr="00BE75B4">
        <w:t xml:space="preserve"> </w:t>
      </w:r>
      <w:hyperlink w:anchor="_ENREF_124" w:tooltip="Rankin, 2013 #265" w:history="1">
        <w:r w:rsidR="00512D09" w:rsidRPr="00BE75B4">
          <w:fldChar w:fldCharType="begin"/>
        </w:r>
        <w:r w:rsidR="00512D09">
          <w:instrText xml:space="preserve"> ADDIN EN.CITE &lt;EndNote&gt;&lt;Cite&gt;&lt;Author&gt;Rankin&lt;/Author&gt;&lt;Year&gt;2013&lt;/Year&gt;&lt;RecNum&gt;265&lt;/RecNum&gt;&lt;DisplayText&gt;&lt;style face="superscript"&gt;124&lt;/style&gt;&lt;/DisplayText&gt;&lt;record&gt;&lt;rec-number&gt;265&lt;/rec-number&gt;&lt;foreign-keys&gt;&lt;key app="EN" db-id="5trrespwzsdr07efd5tx2w96x22re9s0fsdt"&gt;265&lt;/key&gt;&lt;/foreign-keys&gt;&lt;ref-type name="Journal Article"&gt;17&lt;/ref-type&gt;&lt;contributors&gt;&lt;authors&gt;&lt;author&gt;Rankin, Blake M.&lt;/author&gt;&lt;author&gt;Ben-Amotz, Dor&lt;/author&gt;&lt;/authors&gt;&lt;/contributors&gt;&lt;titles&gt;&lt;title&gt;Expulsion of Ions from Hydrophobic Hydration Shells&lt;/title&gt;&lt;secondary-title&gt;J Am Chem Soc&lt;/secondary-title&gt;&lt;/titles&gt;&lt;periodical&gt;&lt;full-title&gt;J Am Chem Soc&lt;/full-title&gt;&lt;abbr-1&gt;Journal of the American Chemical Society&lt;/abbr-1&gt;&lt;/periodical&gt;&lt;pages&gt;8818-8821&lt;/pages&gt;&lt;volume&gt;135&lt;/volume&gt;&lt;number&gt;24&lt;/number&gt;&lt;dates&gt;&lt;year&gt;2013&lt;/year&gt;&lt;pub-dates&gt;&lt;date&gt;2013/06/19&lt;/date&gt;&lt;/pub-dates&gt;&lt;/dates&gt;&lt;publisher&gt;American Chemical Society&lt;/publisher&gt;&lt;isbn&gt;0002-7863&lt;/isbn&gt;&lt;urls&gt;&lt;related-urls&gt;&lt;url&gt;http://dx.doi.org/10.1021/ja4036303&lt;/url&gt;&lt;/related-urls&gt;&lt;/urls&gt;&lt;electronic-resource-num&gt;10.1021/ja4036303&lt;/electronic-resource-num&gt;&lt;access-date&gt;2013/11/19&lt;/access-date&gt;&lt;/record&gt;&lt;/Cite&gt;&lt;/EndNote&gt;</w:instrText>
        </w:r>
        <w:r w:rsidR="00512D09" w:rsidRPr="00BE75B4">
          <w:fldChar w:fldCharType="separate"/>
        </w:r>
        <w:r w:rsidR="00512D09" w:rsidRPr="00F80CAD">
          <w:rPr>
            <w:noProof/>
            <w:vertAlign w:val="superscript"/>
          </w:rPr>
          <w:t>124</w:t>
        </w:r>
        <w:r w:rsidR="00512D09" w:rsidRPr="00BE75B4">
          <w:fldChar w:fldCharType="end"/>
        </w:r>
      </w:hyperlink>
      <w:r w:rsidRPr="00BE75B4">
        <w:t xml:space="preserve">  This cut-off was proposed to be </w:t>
      </w:r>
      <w:r w:rsidRPr="00BE75B4">
        <w:rPr>
          <w:i/>
          <w:iCs/>
        </w:rPr>
        <w:t>K</w:t>
      </w:r>
      <w:r w:rsidRPr="00BE75B4">
        <w:rPr>
          <w:vertAlign w:val="subscript"/>
        </w:rPr>
        <w:t>A</w:t>
      </w:r>
      <w:r w:rsidRPr="00BE75B4">
        <w:t xml:space="preserve"> &lt; 1 M</w:t>
      </w:r>
      <w:r w:rsidRPr="00BE75B4">
        <w:rPr>
          <w:vertAlign w:val="superscript"/>
        </w:rPr>
        <w:t>–1</w:t>
      </w:r>
      <w:r w:rsidRPr="00BE75B4">
        <w:t>. The basis for this being that for genuine affinity association constants should be higher than 1 M</w:t>
      </w:r>
      <w:r w:rsidRPr="00BE75B4">
        <w:rPr>
          <w:vertAlign w:val="superscript"/>
        </w:rPr>
        <w:t>–1</w:t>
      </w:r>
      <w:r w:rsidRPr="00BE75B4">
        <w:t>. This would mean that only ClO</w:t>
      </w:r>
      <w:r w:rsidRPr="00BE75B4">
        <w:rPr>
          <w:vertAlign w:val="subscript"/>
        </w:rPr>
        <w:t>4</w:t>
      </w:r>
      <w:r w:rsidRPr="00BE75B4">
        <w:rPr>
          <w:vertAlign w:val="superscript"/>
        </w:rPr>
        <w:t xml:space="preserve">- </w:t>
      </w:r>
      <w:r w:rsidRPr="00BE75B4">
        <w:t>with an association constant of 1.3 and 1.5 M</w:t>
      </w:r>
      <w:r w:rsidRPr="00BE75B4">
        <w:rPr>
          <w:vertAlign w:val="superscript"/>
        </w:rPr>
        <w:t xml:space="preserve">–1 </w:t>
      </w:r>
      <w:r w:rsidRPr="00BE75B4">
        <w:t xml:space="preserve">for the more hydrophobic and hydrophilic ELPs would be considered to have true affinity. </w:t>
      </w:r>
    </w:p>
    <w:p w:rsidR="00BE75B4" w:rsidRPr="00BE75B4" w:rsidRDefault="00BE75B4" w:rsidP="00217116">
      <w:pPr>
        <w:spacing w:line="480" w:lineRule="auto"/>
        <w:jc w:val="both"/>
      </w:pPr>
      <w:r w:rsidRPr="00BE75B4">
        <w:t>10 mM KCl saturated the Poly(N-isopropylacrylamide) binding sites with an endothermic component to binding identified by ITC</w:t>
      </w:r>
      <w:r w:rsidR="00862B2D">
        <w:t>.</w:t>
      </w:r>
      <w:r w:rsidRPr="00BE75B4">
        <w:t xml:space="preserve"> </w:t>
      </w:r>
      <w:hyperlink w:anchor="_ENREF_125" w:tooltip="Sinn, 2006 #366" w:history="1">
        <w:r w:rsidR="00512D09" w:rsidRPr="00BE75B4">
          <w:fldChar w:fldCharType="begin"/>
        </w:r>
        <w:r w:rsidR="00512D09">
          <w:instrText xml:space="preserve"> ADDIN EN.CITE &lt;EndNote&gt;&lt;Cite&gt;&lt;Author&gt;Sinn&lt;/Author&gt;&lt;Year&gt;2006&lt;/Year&gt;&lt;RecNum&gt;366&lt;/RecNum&gt;&lt;DisplayText&gt;&lt;style face="superscript"&gt;125&lt;/style&gt;&lt;/DisplayText&gt;&lt;record&gt;&lt;rec-number&gt;366&lt;/rec-number&gt;&lt;foreign-keys&gt;&lt;key app="EN" db-id="5trrespwzsdr07efd5tx2w96x22re9s0fsdt"&gt;366&lt;/key&gt;&lt;/foreign-keys&gt;&lt;ref-type name="Journal Article"&gt;17&lt;/ref-type&gt;&lt;contributors&gt;&lt;authors&gt;&lt;author&gt;Sinn, Cornelia G.&lt;/author&gt;&lt;author&gt;Dimova, Rumiana&lt;/author&gt;&lt;author&gt;Huin, Cecile&lt;/author&gt;&lt;author&gt;Sel, Özlem&lt;/author&gt;&lt;author&gt;Antonietti, Markus&lt;/author&gt;&lt;/authors&gt;&lt;/contributors&gt;&lt;titles&gt;&lt;title&gt;Correction to “Binding of Ion Pairs onto Polymer Gels via Dehydration Entropy:  A New Mechanism for Ion Exchange”. Volume 39, Number 18, pp 6310−6312&lt;/title&gt;&lt;secondary-title&gt;Macromolecules&lt;/secondary-title&gt;&lt;/titles&gt;&lt;periodical&gt;&lt;full-title&gt;Macromolecules&lt;/full-title&gt;&lt;/periodical&gt;&lt;pages&gt;9668-9668&lt;/pages&gt;&lt;volume&gt;39&lt;/volume&gt;&lt;number&gt;26&lt;/number&gt;&lt;dates&gt;&lt;year&gt;2006&lt;/year&gt;&lt;pub-dates&gt;&lt;date&gt;2006/12/01&lt;/date&gt;&lt;/pub-dates&gt;&lt;/dates&gt;&lt;publisher&gt;American Chemical Society&lt;/publisher&gt;&lt;isbn&gt;0024-9297&lt;/isbn&gt;&lt;urls&gt;&lt;related-urls&gt;&lt;url&gt;http://dx.doi.org/10.1021/ma062628l&lt;/url&gt;&lt;/related-urls&gt;&lt;/urls&gt;&lt;electronic-resource-num&gt;10.1021/ma062628l&lt;/electronic-resource-num&gt;&lt;access-date&gt;2014/03/18&lt;/access-date&gt;&lt;/record&gt;&lt;/Cite&gt;&lt;/EndNote&gt;</w:instrText>
        </w:r>
        <w:r w:rsidR="00512D09" w:rsidRPr="00BE75B4">
          <w:fldChar w:fldCharType="separate"/>
        </w:r>
        <w:r w:rsidR="00512D09" w:rsidRPr="00F80CAD">
          <w:rPr>
            <w:noProof/>
            <w:vertAlign w:val="superscript"/>
          </w:rPr>
          <w:t>125</w:t>
        </w:r>
        <w:r w:rsidR="00512D09" w:rsidRPr="00BE75B4">
          <w:fldChar w:fldCharType="end"/>
        </w:r>
      </w:hyperlink>
      <w:r w:rsidRPr="00BE75B4">
        <w:t xml:space="preserve">  Binding of Ca</w:t>
      </w:r>
      <w:r w:rsidRPr="00BE75B4">
        <w:rPr>
          <w:vertAlign w:val="superscript"/>
        </w:rPr>
        <w:t>2+</w:t>
      </w:r>
      <w:r w:rsidR="00250675">
        <w:t xml:space="preserve"> ions to PAA </w:t>
      </w:r>
      <w:r w:rsidRPr="00BE75B4">
        <w:t>poly(sodium acrylates) is also entropically driven and endothermic. The authors suggested electrostatic interactions were only partly responsible, with the release of water molecules from their solvation shells driving the binding of Ca</w:t>
      </w:r>
      <w:r w:rsidRPr="00BE75B4">
        <w:rPr>
          <w:vertAlign w:val="superscript"/>
        </w:rPr>
        <w:t xml:space="preserve">2+ </w:t>
      </w:r>
      <w:r w:rsidRPr="00BE75B4">
        <w:t>onto polyelectrolytes</w:t>
      </w:r>
      <w:r w:rsidR="00862B2D">
        <w:t>.</w:t>
      </w:r>
      <w:hyperlink w:anchor="_ENREF_126" w:tooltip="Sinn, 2004 #367" w:history="1">
        <w:r w:rsidR="00512D09" w:rsidRPr="00BE75B4">
          <w:fldChar w:fldCharType="begin"/>
        </w:r>
        <w:r w:rsidR="00512D09">
          <w:instrText xml:space="preserve"> ADDIN EN.CITE &lt;EndNote&gt;&lt;Cite&gt;&lt;Author&gt;Sinn&lt;/Author&gt;&lt;Year&gt;2004&lt;/Year&gt;&lt;RecNum&gt;367&lt;/RecNum&gt;&lt;DisplayText&gt;&lt;style face="superscript"&gt;126&lt;/style&gt;&lt;/DisplayText&gt;&lt;record&gt;&lt;rec-number&gt;367&lt;/rec-number&gt;&lt;foreign-keys&gt;&lt;key app="EN" db-id="5trrespwzsdr07efd5tx2w96x22re9s0fsdt"&gt;367&lt;/key&gt;&lt;/foreign-keys&gt;&lt;ref-type name="Journal Article"&gt;17&lt;/ref-type&gt;&lt;contributors&gt;&lt;authors&gt;&lt;author&gt;Sinn, Cornelia G.&lt;/author&gt;&lt;author&gt;Dimova, Rumiana&lt;/author&gt;&lt;author&gt;Antonietti, Markus&lt;/author&gt;&lt;/authors&gt;&lt;/contributors&gt;&lt;titles&gt;&lt;title&gt;Isothermal Titration Calorimetry of the Polyelectrolyte/Water Interaction and Binding of Ca2+:  Effects Determining the Quality of Polymeric Scale Inhibitors&lt;/title&gt;&lt;secondary-title&gt;Macromolecules&lt;/secondary-title&gt;&lt;/titles&gt;&lt;periodical&gt;&lt;full-title&gt;Macromolecules&lt;/full-title&gt;&lt;/periodical&gt;&lt;pages&gt;3444-3450&lt;/pages&gt;&lt;volume&gt;37&lt;/volume&gt;&lt;number&gt;9&lt;/number&gt;&lt;dates&gt;&lt;year&gt;2004&lt;/year&gt;&lt;pub-dates&gt;&lt;date&gt;2004/05/01&lt;/date&gt;&lt;/pub-dates&gt;&lt;/dates&gt;&lt;publisher&gt;American Chemical Society&lt;/publisher&gt;&lt;isbn&gt;0024-9297&lt;/isbn&gt;&lt;urls&gt;&lt;related-urls&gt;&lt;url&gt;http://dx.doi.org/10.1021/ma030550s&lt;/url&gt;&lt;/related-urls&gt;&lt;/urls&gt;&lt;electronic-resource-num&gt;10.1021/ma030550s&lt;/electronic-resource-num&gt;&lt;access-date&gt;2014/03/18&lt;/access-date&gt;&lt;/record&gt;&lt;/Cite&gt;&lt;/EndNote&gt;</w:instrText>
        </w:r>
        <w:r w:rsidR="00512D09" w:rsidRPr="00BE75B4">
          <w:fldChar w:fldCharType="separate"/>
        </w:r>
        <w:r w:rsidR="00512D09" w:rsidRPr="00F80CAD">
          <w:rPr>
            <w:noProof/>
            <w:vertAlign w:val="superscript"/>
          </w:rPr>
          <w:t>126</w:t>
        </w:r>
        <w:r w:rsidR="00512D09" w:rsidRPr="00BE75B4">
          <w:fldChar w:fldCharType="end"/>
        </w:r>
      </w:hyperlink>
      <w:r w:rsidRPr="00BE75B4">
        <w:t xml:space="preserve"> </w:t>
      </w:r>
    </w:p>
    <w:p w:rsidR="00BE75B4" w:rsidRDefault="00BE75B4" w:rsidP="00217116">
      <w:pPr>
        <w:spacing w:line="480" w:lineRule="auto"/>
        <w:jc w:val="both"/>
        <w:rPr>
          <w:iCs/>
        </w:rPr>
      </w:pPr>
      <w:r w:rsidRPr="00BE75B4">
        <w:lastRenderedPageBreak/>
        <w:t xml:space="preserve">It has been recently evidenced that buffers </w:t>
      </w:r>
      <w:r w:rsidR="00CD173D">
        <w:t>do interact with the binding partners</w:t>
      </w:r>
      <w:r w:rsidRPr="00BE75B4">
        <w:t xml:space="preserve">.  Francisco </w:t>
      </w:r>
      <w:r w:rsidR="002D4FF8">
        <w:rPr>
          <w:i/>
        </w:rPr>
        <w:t xml:space="preserve">et al. </w:t>
      </w:r>
      <w:r w:rsidRPr="00BE75B4">
        <w:rPr>
          <w:iCs/>
        </w:rPr>
        <w:t xml:space="preserve">suggested that interactions between </w:t>
      </w:r>
      <w:r w:rsidRPr="00BE75B4">
        <w:rPr>
          <w:i/>
          <w:iCs/>
        </w:rPr>
        <w:t>p</w:t>
      </w:r>
      <w:r w:rsidRPr="00BE75B4">
        <w:rPr>
          <w:iCs/>
        </w:rPr>
        <w:t>-sulfonatocalix[4]arene and cations in the presence of Na</w:t>
      </w:r>
      <w:r w:rsidRPr="00BE75B4">
        <w:rPr>
          <w:iCs/>
          <w:vertAlign w:val="superscript"/>
        </w:rPr>
        <w:t>+</w:t>
      </w:r>
      <w:r w:rsidRPr="00BE75B4">
        <w:rPr>
          <w:iCs/>
        </w:rPr>
        <w:t xml:space="preserve"> meant that instead of direct host–guest titrations, competitive ones are actually being executed but analysed according to a direct binding model meaning that the thermodynamic data is wrong</w:t>
      </w:r>
      <w:r w:rsidR="00862B2D">
        <w:rPr>
          <w:iCs/>
        </w:rPr>
        <w:t>.</w:t>
      </w:r>
      <w:r w:rsidRPr="00BE75B4">
        <w:rPr>
          <w:iCs/>
        </w:rPr>
        <w:t xml:space="preserve"> </w:t>
      </w:r>
      <w:hyperlink w:anchor="_ENREF_127" w:tooltip="Francisco, 2013 #315" w:history="1">
        <w:r w:rsidR="00512D09" w:rsidRPr="00BE75B4">
          <w:rPr>
            <w:iCs/>
          </w:rPr>
          <w:fldChar w:fldCharType="begin"/>
        </w:r>
        <w:r w:rsidR="00512D09">
          <w:rPr>
            <w:iCs/>
          </w:rPr>
          <w:instrText xml:space="preserve"> ADDIN EN.CITE &lt;EndNote&gt;&lt;Cite&gt;&lt;Author&gt;Francisco&lt;/Author&gt;&lt;Year&gt;2013&lt;/Year&gt;&lt;RecNum&gt;315&lt;/RecNum&gt;&lt;DisplayText&gt;&lt;style face="superscript"&gt;127&lt;/style&gt;&lt;/DisplayText&gt;&lt;record&gt;&lt;rec-number&gt;315&lt;/rec-number&gt;&lt;foreign-keys&gt;&lt;key app="EN" db-id="5trrespwzsdr07efd5tx2w96x22re9s0fsdt"&gt;315&lt;/key&gt;&lt;/foreign-keys&gt;&lt;ref-type name="Journal Article"&gt;17&lt;/ref-type&gt;&lt;contributors&gt;&lt;authors&gt;&lt;author&gt;Francisco, Vitor&lt;/author&gt;&lt;author&gt;Piñeiro, Angel&lt;/author&gt;&lt;author&gt;Nau, Werner M.&lt;/author&gt;&lt;author&gt;García-Río, Luis&lt;/author&gt;&lt;/authors&gt;&lt;/contributors&gt;&lt;titles&gt;&lt;title&gt;The “True” Affinities of Metal Cations to p-Sulfonatocalix[4]arene: A Thermodynamic Study at Neutral pH Reveals a Pitfall Due to Salt Effects in Microcalorimetry&lt;/title&gt;&lt;secondary-title&gt;Chemistry – A European Journal&lt;/secondary-title&gt;&lt;/titles&gt;&lt;periodical&gt;&lt;full-title&gt;Chemistry – A European Journal&lt;/full-title&gt;&lt;/periodical&gt;&lt;pages&gt;17809-17820&lt;/pages&gt;&lt;volume&gt;19&lt;/volume&gt;&lt;number&gt;52&lt;/number&gt;&lt;keywords&gt;&lt;keyword&gt;calixarenes&lt;/keyword&gt;&lt;keyword&gt;calorimetry&lt;/keyword&gt;&lt;keyword&gt;cations&lt;/keyword&gt;&lt;keyword&gt;host–guest systems&lt;/keyword&gt;&lt;/keywords&gt;&lt;dates&gt;&lt;year&gt;2013&lt;/year&gt;&lt;/dates&gt;&lt;publisher&gt;WILEY-VCH Verlag&lt;/publisher&gt;&lt;isbn&gt;1521-3765&lt;/isbn&gt;&lt;urls&gt;&lt;related-urls&gt;&lt;url&gt;http://dx.doi.org/10.1002/chem.201302365&lt;/url&gt;&lt;/related-urls&gt;&lt;/urls&gt;&lt;electronic-resource-num&gt;10.1002/chem.201302365&lt;/electronic-resource-num&gt;&lt;/record&gt;&lt;/Cite&gt;&lt;/EndNote&gt;</w:instrText>
        </w:r>
        <w:r w:rsidR="00512D09" w:rsidRPr="00BE75B4">
          <w:rPr>
            <w:iCs/>
          </w:rPr>
          <w:fldChar w:fldCharType="separate"/>
        </w:r>
        <w:r w:rsidR="00512D09" w:rsidRPr="00F80CAD">
          <w:rPr>
            <w:iCs/>
            <w:noProof/>
            <w:vertAlign w:val="superscript"/>
          </w:rPr>
          <w:t>127</w:t>
        </w:r>
        <w:r w:rsidR="00512D09" w:rsidRPr="00BE75B4">
          <w:fldChar w:fldCharType="end"/>
        </w:r>
      </w:hyperlink>
      <w:r w:rsidRPr="00BE75B4">
        <w:rPr>
          <w:iCs/>
        </w:rPr>
        <w:t xml:space="preserve">  This has huge ramifications for experiments that have buffers present in solution, specifically those who are measuring weak interactions. </w:t>
      </w:r>
    </w:p>
    <w:p w:rsidR="002E4790" w:rsidRDefault="00A316E2" w:rsidP="00217116">
      <w:pPr>
        <w:pStyle w:val="Heading2"/>
        <w:jc w:val="both"/>
      </w:pPr>
      <w:bookmarkStart w:id="49" w:name="_Toc459130670"/>
      <w:r>
        <w:t>Modes of Cooperativity Identified U</w:t>
      </w:r>
      <w:r w:rsidR="002E4790" w:rsidRPr="00F1582B">
        <w:t xml:space="preserve">sing </w:t>
      </w:r>
      <w:r w:rsidR="00333328">
        <w:t>Isothermal Titration Calorimetry</w:t>
      </w:r>
      <w:bookmarkEnd w:id="49"/>
    </w:p>
    <w:p w:rsidR="005549BB" w:rsidRPr="005549BB" w:rsidRDefault="005549BB" w:rsidP="00217116">
      <w:pPr>
        <w:jc w:val="both"/>
      </w:pPr>
    </w:p>
    <w:p w:rsidR="009472A3" w:rsidRPr="009472A3" w:rsidRDefault="009472A3" w:rsidP="00217116">
      <w:pPr>
        <w:spacing w:line="480" w:lineRule="auto"/>
        <w:jc w:val="both"/>
        <w:rPr>
          <w:iCs/>
        </w:rPr>
      </w:pPr>
      <w:r w:rsidRPr="009472A3">
        <w:rPr>
          <w:iCs/>
        </w:rPr>
        <w:t>The activity of protein must be regulated so they meet the demands of the organism at a given time. One method of control is protein allostery. Allosteric proteins contain distinct regulatory sites and ligand binding sites.  The binding of the same ligands to both regulatory and non-regulatory binding sites to bring about alterations in the protein structure which change affinity are referred to as homotropic effects.  The effects of two different ligands on allosteric proteins are referred to as heterotrophic effects</w:t>
      </w:r>
      <w:r w:rsidR="00862B2D">
        <w:rPr>
          <w:iCs/>
        </w:rPr>
        <w:t>.</w:t>
      </w:r>
      <w:hyperlink w:anchor="_ENREF_128" w:tooltip="Monod, 1965 #573" w:history="1">
        <w:r w:rsidR="00512D09" w:rsidRPr="009472A3">
          <w:rPr>
            <w:iCs/>
          </w:rPr>
          <w:fldChar w:fldCharType="begin">
            <w:fldData xml:space="preserve">PEVuZE5vdGU+PENpdGU+PEF1dGhvcj5Nb25vZDwvQXV0aG9yPjxZZWFyPjE5NjU8L1llYXI+PFJl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</w:fldData>
          </w:fldChar>
        </w:r>
        <w:r w:rsidR="00512D09">
          <w:rPr>
            <w:iCs/>
          </w:rPr>
          <w:instrText xml:space="preserve"> ADDIN EN.CITE </w:instrText>
        </w:r>
        <w:r w:rsidR="00512D09">
          <w:rPr>
            <w:iCs/>
          </w:rPr>
          <w:fldChar w:fldCharType="begin">
            <w:fldData xml:space="preserve">PEVuZE5vdGU+PENpdGU+PEF1dGhvcj5Nb25vZDwvQXV0aG9yPjxZZWFyPjE5NjU8L1llYXI+PFJl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</w:fldData>
          </w:fldChar>
        </w:r>
        <w:r w:rsidR="00512D09">
          <w:rPr>
            <w:iCs/>
          </w:rPr>
          <w:instrText xml:space="preserve"> ADDIN EN.CITE.DATA </w:instrText>
        </w:r>
        <w:r w:rsidR="00512D09">
          <w:rPr>
            <w:iCs/>
          </w:rPr>
        </w:r>
        <w:r w:rsidR="00512D09">
          <w:rPr>
            <w:iCs/>
          </w:rPr>
          <w:fldChar w:fldCharType="end"/>
        </w:r>
        <w:r w:rsidR="00512D09" w:rsidRPr="009472A3">
          <w:rPr>
            <w:iCs/>
          </w:rPr>
        </w:r>
        <w:r w:rsidR="00512D09" w:rsidRPr="009472A3">
          <w:rPr>
            <w:iCs/>
          </w:rPr>
          <w:fldChar w:fldCharType="separate"/>
        </w:r>
        <w:r w:rsidR="00512D09" w:rsidRPr="00F80CAD">
          <w:rPr>
            <w:iCs/>
            <w:noProof/>
            <w:vertAlign w:val="superscript"/>
          </w:rPr>
          <w:t>128-130</w:t>
        </w:r>
        <w:r w:rsidR="00512D09" w:rsidRPr="009472A3">
          <w:rPr>
            <w:iCs/>
          </w:rPr>
          <w:fldChar w:fldCharType="end"/>
        </w:r>
      </w:hyperlink>
      <w:r w:rsidRPr="009472A3">
        <w:rPr>
          <w:iCs/>
        </w:rPr>
        <w:t xml:space="preserve"> </w:t>
      </w:r>
    </w:p>
    <w:p w:rsidR="009472A3" w:rsidRPr="009472A3" w:rsidRDefault="009472A3" w:rsidP="00217116">
      <w:pPr>
        <w:spacing w:line="480" w:lineRule="auto"/>
        <w:jc w:val="both"/>
        <w:rPr>
          <w:iCs/>
        </w:rPr>
      </w:pPr>
      <w:r w:rsidRPr="009472A3">
        <w:rPr>
          <w:iCs/>
        </w:rPr>
        <w:t>Most types of protein allostery can be explained by either the sequential KNF model described by Koshland, Nemethy and Filmer, the concerted MWC model put forward by Monod, Wyman and Changeux or a combination of the two</w:t>
      </w:r>
      <w:r w:rsidR="00C405C6">
        <w:rPr>
          <w:iCs/>
        </w:rPr>
        <w:t>.</w:t>
      </w:r>
      <w:r w:rsidR="0075172E">
        <w:rPr>
          <w:iCs/>
        </w:rPr>
        <w:fldChar w:fldCharType="begin"/>
      </w:r>
      <w:r w:rsidR="00F80CAD">
        <w:rPr>
          <w:iCs/>
        </w:rPr>
        <w:instrText xml:space="preserve"> ADDIN EN.CITE &lt;EndNote&gt;&lt;Cite&gt;&lt;Author&gt;Koshland Jr&lt;/Author&gt;&lt;Year&gt;1966&lt;/Year&gt;&lt;RecNum&gt;575&lt;/RecNum&gt;&lt;DisplayText&gt;&lt;style face="superscript"&gt;128,130&lt;/style&gt;&lt;/DisplayText&gt;&lt;record&gt;&lt;rec-number&gt;575&lt;/rec-number&gt;&lt;foreign-keys&gt;&lt;key app="EN" db-id="5trrespwzsdr07efd5tx2w96x22re9s0fsdt"&gt;575&lt;/key&gt;&lt;/foreign-keys&gt;&lt;ref-type name="Journal Article"&gt;17&lt;/ref-type&gt;&lt;contributors&gt;&lt;authors&gt;&lt;author&gt;Koshland Jr, DE&lt;/author&gt;&lt;author&gt;Nemethy, G&lt;/author&gt;&lt;author&gt;Filmer, D_&lt;/author&gt;&lt;/authors&gt;&lt;/contributors&gt;&lt;titles&gt;&lt;title&gt;Comparison of experimental binding data and theoretical models in proteins containing subunits&lt;/title&gt;&lt;secondary-title&gt;Biochemistry&lt;/secondary-title&gt;&lt;/titles&gt;&lt;periodical&gt;&lt;full-title&gt;Biochemistry&lt;/full-title&gt;&lt;abbr-1&gt;Biochemistry&lt;/abbr-1&gt;&lt;/periodical&gt;&lt;pages&gt;365-385&lt;/pages&gt;&lt;volume&gt;5&lt;/volume&gt;&lt;number&gt;1&lt;/number&gt;&lt;dates&gt;&lt;year&gt;1966&lt;/year&gt;&lt;/dates&gt;&lt;isbn&gt;0006-2960&lt;/isbn&gt;&lt;urls&gt;&lt;/urls&gt;&lt;/record&gt;&lt;/Cite&gt;&lt;Cite&gt;&lt;Author&gt;Monod&lt;/Author&gt;&lt;Year&gt;1965&lt;/Year&gt;&lt;RecNum&gt;573&lt;/RecNum&gt;&lt;record&gt;&lt;rec-number&gt;573&lt;/rec-number&gt;&lt;foreign-keys&gt;&lt;key app="EN" db-id="5trrespwzsdr07efd5tx2w96x22re9s0fsdt"&gt;573&lt;/key&gt;&lt;/foreign-keys&gt;&lt;ref-type name="Journal Article"&gt;17&lt;/ref-type&gt;&lt;contributors&gt;&lt;authors&gt;&lt;author&gt;Monod, Jacque&lt;/author&gt;&lt;author&gt;Wyman, Jeffries&lt;/author&gt;&lt;author&gt;Changeux, Jean-Pierre&lt;/author&gt;&lt;/authors&gt;&lt;/contributors&gt;&lt;titles&gt;&lt;title&gt;On the nature of allosteric transitions: A plausible model&lt;/title&gt;&lt;secondary-title&gt;Journal of Molecular Biology&lt;/secondary-title&gt;&lt;/titles&gt;&lt;periodical&gt;&lt;full-title&gt;Journal of Molecular Biology&lt;/full-title&gt;&lt;/periodical&gt;&lt;pages&gt;88-118&lt;/pages&gt;&lt;volume&gt;12&lt;/volume&gt;&lt;number&gt;1&lt;/number&gt;&lt;dates&gt;&lt;year&gt;1965&lt;/year&gt;&lt;/dates&gt;&lt;isbn&gt;0022-2836&lt;/isbn&gt;&lt;urls&gt;&lt;related-urls&gt;&lt;url&gt;http://www.sciencedirect.com/science/article/pii/S0022283665802856&lt;/url&gt;&lt;/related-urls&gt;&lt;/urls&gt;&lt;electronic-resource-num&gt;http://dx.doi.org/10.1016/S0022-2836(65)80285-6&lt;/electronic-resource-num&gt;&lt;/record&gt;&lt;/Cite&gt;&lt;/EndNote&gt;</w:instrText>
      </w:r>
      <w:r w:rsidR="0075172E">
        <w:rPr>
          <w:iCs/>
        </w:rPr>
        <w:fldChar w:fldCharType="separate"/>
      </w:r>
      <w:hyperlink w:anchor="_ENREF_128" w:tooltip="Monod, 1965 #573" w:history="1">
        <w:r w:rsidR="00512D09" w:rsidRPr="00F80CAD">
          <w:rPr>
            <w:iCs/>
            <w:noProof/>
            <w:vertAlign w:val="superscript"/>
          </w:rPr>
          <w:t>128</w:t>
        </w:r>
      </w:hyperlink>
      <w:r w:rsidR="00F80CAD" w:rsidRPr="00F80CAD">
        <w:rPr>
          <w:iCs/>
          <w:noProof/>
          <w:vertAlign w:val="superscript"/>
        </w:rPr>
        <w:t>,</w:t>
      </w:r>
      <w:hyperlink w:anchor="_ENREF_130" w:tooltip="Koshland Jr, 1966 #575" w:history="1">
        <w:r w:rsidR="00512D09" w:rsidRPr="00F80CAD">
          <w:rPr>
            <w:iCs/>
            <w:noProof/>
            <w:vertAlign w:val="superscript"/>
          </w:rPr>
          <w:t>130</w:t>
        </w:r>
      </w:hyperlink>
      <w:r w:rsidR="0075172E">
        <w:rPr>
          <w:iCs/>
        </w:rPr>
        <w:fldChar w:fldCharType="end"/>
      </w:r>
      <w:r w:rsidRPr="009472A3">
        <w:rPr>
          <w:iCs/>
        </w:rPr>
        <w:t xml:space="preserve"> Both models describe enzyme subunits with relaxed or tense with the tense state always having lower affinity for ligand than the relaxed state.  The MWC model suggests that the ligand stabilises certain preformed conformations of the protein at equilibrium.  That is there is a concerted change between the two states. The KNF model involves a progressive change of protein structure as it binds ligand excluding any conformational change in its absence. That is there is a sequential change from the tense state to the relaxed state with increasing concentration of ligand. </w:t>
      </w:r>
    </w:p>
    <w:p w:rsidR="009472A3" w:rsidRPr="009472A3" w:rsidRDefault="009472A3" w:rsidP="00217116">
      <w:pPr>
        <w:spacing w:line="480" w:lineRule="auto"/>
        <w:jc w:val="both"/>
        <w:rPr>
          <w:iCs/>
        </w:rPr>
      </w:pPr>
      <w:r w:rsidRPr="009472A3">
        <w:rPr>
          <w:iCs/>
        </w:rPr>
        <w:lastRenderedPageBreak/>
        <w:t>Both the concerted and sequential models describe cooperativity, because the subunits cooperate with each other. Negative cooperativity is a state where the subunits have less affinity for the ligand whereas with positive cooperativity the subunits have more affinity for the ligand. This can be induced by either homotropic or heterotrophic effectors. The KNF model is thought to describe negative cooperativity better as it pertains that a ligand can decrease affinity.  However, an extended MWC model which includes a super S state is thought to be able to explain negative cooperativity</w:t>
      </w:r>
      <w:r w:rsidR="00862B2D">
        <w:rPr>
          <w:iCs/>
        </w:rPr>
        <w:t>.</w:t>
      </w:r>
      <w:hyperlink w:anchor="_ENREF_131" w:tooltip="Kister, 1987 #574" w:history="1">
        <w:r w:rsidR="00512D09" w:rsidRPr="009472A3">
          <w:rPr>
            <w:iCs/>
          </w:rPr>
          <w:fldChar w:fldCharType="begin"/>
        </w:r>
        <w:r w:rsidR="00512D09">
          <w:rPr>
            <w:iCs/>
          </w:rPr>
          <w:instrText xml:space="preserve"> ADDIN EN.CITE &lt;EndNote&gt;&lt;Cite&gt;&lt;Author&gt;Kister&lt;/Author&gt;&lt;Year&gt;1987&lt;/Year&gt;&lt;RecNum&gt;574&lt;/RecNum&gt;&lt;DisplayText&gt;&lt;style face="superscript"&gt;131&lt;/style&gt;&lt;/DisplayText&gt;&lt;record&gt;&lt;rec-number&gt;574&lt;/rec-number&gt;&lt;foreign-keys&gt;&lt;key app="EN" db-id="5trrespwzsdr07efd5tx2w96x22re9s0fsdt"&gt;574&lt;/key&gt;&lt;/foreign-keys&gt;&lt;ref-type name="Journal Article"&gt;17&lt;/ref-type&gt;&lt;contributors&gt;&lt;authors&gt;&lt;author&gt;Kister, J&lt;/author&gt;&lt;author&gt;Poyart, C&lt;/author&gt;&lt;author&gt;Edelstein, SJ&lt;/author&gt;&lt;/authors&gt;&lt;/contributors&gt;&lt;titles&gt;&lt;title&gt;Oxygen-organophosphate linkage in hemoglobin A. The double hump effect&lt;/title&gt;&lt;secondary-title&gt;Biophysical Journal&lt;/secondary-title&gt;&lt;/titles&gt;&lt;periodical&gt;&lt;full-title&gt;Biophysical Journal&lt;/full-title&gt;&lt;/periodical&gt;&lt;pages&gt;527&lt;/pages&gt;&lt;volume&gt;52&lt;/volume&gt;&lt;number&gt;4&lt;/number&gt;&lt;dates&gt;&lt;year&gt;1987&lt;/year&gt;&lt;/dates&gt;&lt;urls&gt;&lt;/urls&gt;&lt;/record&gt;&lt;/Cite&gt;&lt;/EndNote&gt;</w:instrText>
        </w:r>
        <w:r w:rsidR="00512D09" w:rsidRPr="009472A3">
          <w:rPr>
            <w:iCs/>
          </w:rPr>
          <w:fldChar w:fldCharType="separate"/>
        </w:r>
        <w:r w:rsidR="00512D09" w:rsidRPr="00F80CAD">
          <w:rPr>
            <w:iCs/>
            <w:noProof/>
            <w:vertAlign w:val="superscript"/>
          </w:rPr>
          <w:t>131</w:t>
        </w:r>
        <w:r w:rsidR="00512D09" w:rsidRPr="009472A3">
          <w:rPr>
            <w:iCs/>
          </w:rPr>
          <w:fldChar w:fldCharType="end"/>
        </w:r>
      </w:hyperlink>
      <w:r w:rsidRPr="009472A3">
        <w:rPr>
          <w:iCs/>
        </w:rPr>
        <w:t xml:space="preserve"> </w:t>
      </w:r>
    </w:p>
    <w:p w:rsidR="009472A3" w:rsidRPr="009472A3" w:rsidRDefault="009472A3" w:rsidP="00217116">
      <w:pPr>
        <w:spacing w:line="480" w:lineRule="auto"/>
        <w:jc w:val="both"/>
        <w:rPr>
          <w:iCs/>
        </w:rPr>
      </w:pPr>
      <w:r w:rsidRPr="009472A3">
        <w:rPr>
          <w:iCs/>
        </w:rPr>
        <w:t>It is well known haemoglobin binds oxygen cooperatively</w:t>
      </w:r>
      <w:r w:rsidR="00604275">
        <w:rPr>
          <w:iCs/>
        </w:rPr>
        <w:t>.</w:t>
      </w:r>
      <w:hyperlink w:anchor="_ENREF_132" w:tooltip="Berg, 2002 #674" w:history="1">
        <w:r w:rsidR="00512D09">
          <w:rPr>
            <w:iCs/>
          </w:rPr>
          <w:fldChar w:fldCharType="begin"/>
        </w:r>
        <w:r w:rsidR="00512D09">
          <w:rPr>
            <w:iCs/>
          </w:rPr>
          <w:instrText xml:space="preserve"> ADDIN EN.CITE &lt;EndNote&gt;&lt;Cite&gt;&lt;Author&gt;Berg&lt;/Author&gt;&lt;Year&gt;2002&lt;/Year&gt;&lt;RecNum&gt;674&lt;/RecNum&gt;&lt;DisplayText&gt;&lt;style face="superscript"&gt;132&lt;/style&gt;&lt;/DisplayText&gt;&lt;record&gt;&lt;rec-number&gt;674&lt;/rec-number&gt;&lt;foreign-keys&gt;&lt;key app="EN" db-id="5trrespwzsdr07efd5tx2w96x22re9s0fsdt"&gt;674&lt;/key&gt;&lt;/foreign-keys&gt;&lt;ref-type name="Book Section"&gt;5&lt;/ref-type&gt;&lt;contributors&gt;&lt;authors&gt;&lt;author&gt;Berg, Jeremy M&lt;/author&gt;&lt;author&gt;Tymoczko, John L&lt;/author&gt;&lt;author&gt;Stryer, Lubert&lt;/author&gt;&lt;/authors&gt;&lt;/contributors&gt;&lt;titles&gt;&lt;title&gt;Hemoglobin transports oxygen efficiently by binding oxygen cooperatively&lt;/title&gt;&lt;secondary-title&gt;Biochemistry&lt;/secondary-title&gt;&lt;/titles&gt;&lt;periodical&gt;&lt;full-title&gt;Biochemistry&lt;/full-title&gt;&lt;abbr-1&gt;Biochemistry&lt;/abbr-1&gt;&lt;/periodical&gt;&lt;edition&gt;5th&lt;/edition&gt;&lt;section&gt;269-272&lt;/section&gt;&lt;dates&gt;&lt;year&gt;2002&lt;/year&gt;&lt;/dates&gt;&lt;publisher&gt;Freeman&lt;/publisher&gt;&lt;urls&gt;&lt;/urls&gt;&lt;/record&gt;&lt;/Cite&gt;&lt;/EndNote&gt;</w:instrText>
        </w:r>
        <w:r w:rsidR="00512D09">
          <w:rPr>
            <w:iCs/>
          </w:rPr>
          <w:fldChar w:fldCharType="separate"/>
        </w:r>
        <w:r w:rsidR="00512D09" w:rsidRPr="00F80CAD">
          <w:rPr>
            <w:iCs/>
            <w:noProof/>
            <w:vertAlign w:val="superscript"/>
          </w:rPr>
          <w:t>132</w:t>
        </w:r>
        <w:r w:rsidR="00512D09">
          <w:rPr>
            <w:iCs/>
          </w:rPr>
          <w:fldChar w:fldCharType="end"/>
        </w:r>
      </w:hyperlink>
      <w:r w:rsidRPr="009472A3">
        <w:rPr>
          <w:iCs/>
        </w:rPr>
        <w:t xml:space="preserve"> A plot of the fractional saturation against oxygen concentration yields an S shaped illustrating that the binding of oxygen at one site within the haemoglobin increases the affinity that oxygen binds at the other sites.  Asparate transcarbamoylase (ATCase) is a well understood allosteric enzyme</w:t>
      </w:r>
      <w:r w:rsidR="00C405C6">
        <w:rPr>
          <w:iCs/>
        </w:rPr>
        <w:t>.</w:t>
      </w:r>
      <w:hyperlink w:anchor="_ENREF_133" w:tooltip="Berg, 2002 #673" w:history="1">
        <w:r w:rsidR="00512D09">
          <w:rPr>
            <w:iCs/>
          </w:rPr>
          <w:fldChar w:fldCharType="begin"/>
        </w:r>
        <w:r w:rsidR="00512D09">
          <w:rPr>
            <w:iCs/>
          </w:rPr>
          <w:instrText xml:space="preserve"> ADDIN EN.CITE &lt;EndNote&gt;&lt;Cite&gt;&lt;Author&gt;Berg&lt;/Author&gt;&lt;Year&gt;2002&lt;/Year&gt;&lt;RecNum&gt;673&lt;/RecNum&gt;&lt;DisplayText&gt;&lt;style face="superscript"&gt;133&lt;/style&gt;&lt;/DisplayText&gt;&lt;record&gt;&lt;rec-number&gt;673&lt;/rec-number&gt;&lt;foreign-keys&gt;&lt;key app="EN" db-id="5trrespwzsdr07efd5tx2w96x22re9s0fsdt"&gt;673&lt;/key&gt;&lt;/foreign-keys&gt;&lt;ref-type name="Book Section"&gt;5&lt;/ref-type&gt;&lt;contributors&gt;&lt;authors&gt;&lt;author&gt;Berg, Jeremy M&lt;/author&gt;&lt;author&gt;Tymoczko, John L&lt;/author&gt;&lt;author&gt;Stryer, Lubert&lt;/author&gt;&lt;/authors&gt;&lt;/contributors&gt;&lt;titles&gt;&lt;title&gt;Aspartate Transcarbamoylase Is Allosterically Inhibited by the End Product of Its Pathway&lt;/title&gt;&lt;secondary-title&gt;Biochemistry&lt;/secondary-title&gt;&lt;/titles&gt;&lt;periodical&gt;&lt;full-title&gt;Biochemistry&lt;/full-title&gt;&lt;abbr-1&gt;Biochemistry&lt;/abbr-1&gt;&lt;/periodical&gt;&lt;edition&gt;5th&lt;/edition&gt;&lt;section&gt;262-296&lt;/section&gt;&lt;dates&gt;&lt;year&gt;2002&lt;/year&gt;&lt;/dates&gt;&lt;publisher&gt;Freeman&lt;/publisher&gt;&lt;urls&gt;&lt;/urls&gt;&lt;/record&gt;&lt;/Cite&gt;&lt;/EndNote&gt;</w:instrText>
        </w:r>
        <w:r w:rsidR="00512D09">
          <w:rPr>
            <w:iCs/>
          </w:rPr>
          <w:fldChar w:fldCharType="separate"/>
        </w:r>
        <w:r w:rsidR="00512D09" w:rsidRPr="00F80CAD">
          <w:rPr>
            <w:iCs/>
            <w:noProof/>
            <w:vertAlign w:val="superscript"/>
          </w:rPr>
          <w:t>133</w:t>
        </w:r>
        <w:r w:rsidR="00512D09">
          <w:rPr>
            <w:iCs/>
          </w:rPr>
          <w:fldChar w:fldCharType="end"/>
        </w:r>
      </w:hyperlink>
      <w:r w:rsidRPr="009472A3">
        <w:rPr>
          <w:iCs/>
        </w:rPr>
        <w:t xml:space="preserve"> This enzyme catalyses the condensation between aspartate and carbamoyl phosphate to form </w:t>
      </w:r>
      <w:r w:rsidRPr="009472A3">
        <w:rPr>
          <w:i/>
          <w:iCs/>
        </w:rPr>
        <w:t>N</w:t>
      </w:r>
      <w:r w:rsidRPr="009472A3">
        <w:rPr>
          <w:iCs/>
        </w:rPr>
        <w:t xml:space="preserve">-carbamoylaspartate, the first committed step in the biosynthesis of pyrimidines. The end product of this pathway, cytidine triphosphate (CTP) was shown to slow down the rate of product formation of this ATCase catalysed condensation producing a downward curvature in the plot. This inhibition is an example of feedback inhibition providing another level of metabolic control.  This acts to ensure that bioactive precursors and future intermediates are not needlessly formed when pyrimidines are copious. </w:t>
      </w:r>
    </w:p>
    <w:p w:rsidR="009472A3" w:rsidRPr="009472A3" w:rsidRDefault="009472A3" w:rsidP="00217116">
      <w:pPr>
        <w:spacing w:line="480" w:lineRule="auto"/>
        <w:jc w:val="both"/>
        <w:rPr>
          <w:iCs/>
        </w:rPr>
      </w:pPr>
      <w:r w:rsidRPr="009472A3">
        <w:rPr>
          <w:iCs/>
        </w:rPr>
        <w:t xml:space="preserve">Conversely, the rate of </w:t>
      </w:r>
      <w:r w:rsidRPr="009472A3">
        <w:rPr>
          <w:i/>
          <w:iCs/>
        </w:rPr>
        <w:t>N</w:t>
      </w:r>
      <w:r w:rsidRPr="009472A3">
        <w:rPr>
          <w:iCs/>
        </w:rPr>
        <w:t xml:space="preserve">-carbamoylaspartate formation against aspartate concentration produced a sigmoidal binding curve. This showed the binding of substrate to one active site increased the activity of other sites. </w:t>
      </w:r>
      <w:r w:rsidR="00C65AD7" w:rsidRPr="009472A3">
        <w:rPr>
          <w:iCs/>
        </w:rPr>
        <w:t>Therefore,</w:t>
      </w:r>
      <w:r w:rsidRPr="009472A3">
        <w:rPr>
          <w:iCs/>
        </w:rPr>
        <w:t xml:space="preserve"> this enzyme provides good examples of both negative and positive control. The results of studies of a number of allosteric proteins suggest that most behave according to some amalgamation of both models</w:t>
      </w:r>
      <w:r w:rsidR="00604275">
        <w:rPr>
          <w:iCs/>
        </w:rPr>
        <w:t>.</w:t>
      </w:r>
      <w:hyperlink w:anchor="_ENREF_133" w:tooltip="Berg, 2002 #673" w:history="1">
        <w:r w:rsidR="00512D09">
          <w:rPr>
            <w:iCs/>
          </w:rPr>
          <w:fldChar w:fldCharType="begin"/>
        </w:r>
        <w:r w:rsidR="00512D09">
          <w:rPr>
            <w:iCs/>
          </w:rPr>
          <w:instrText xml:space="preserve"> ADDIN EN.CITE &lt;EndNote&gt;&lt;Cite&gt;&lt;Author&gt;Berg&lt;/Author&gt;&lt;Year&gt;2002&lt;/Year&gt;&lt;RecNum&gt;673&lt;/RecNum&gt;&lt;DisplayText&gt;&lt;style face="superscript"&gt;133&lt;/style&gt;&lt;/DisplayText&gt;&lt;record&gt;&lt;rec-number&gt;673&lt;/rec-number&gt;&lt;foreign-keys&gt;&lt;key app="EN" db-id="5trrespwzsdr07efd5tx2w96x22re9s0fsdt"&gt;673&lt;/key&gt;&lt;/foreign-keys&gt;&lt;ref-type name="Book Section"&gt;5&lt;/ref-type&gt;&lt;contributors&gt;&lt;authors&gt;&lt;author&gt;Berg, Jeremy M&lt;/author&gt;&lt;author&gt;Tymoczko, John L&lt;/author&gt;&lt;author&gt;Stryer, Lubert&lt;/author&gt;&lt;/authors&gt;&lt;/contributors&gt;&lt;titles&gt;&lt;title&gt;Aspartate Transcarbamoylase Is Allosterically Inhibited by the End Product of Its Pathway&lt;/title&gt;&lt;secondary-title&gt;Biochemistry&lt;/secondary-title&gt;&lt;/titles&gt;&lt;periodical&gt;&lt;full-title&gt;Biochemistry&lt;/full-title&gt;&lt;abbr-1&gt;Biochemistry&lt;/abbr-1&gt;&lt;/periodical&gt;&lt;edition&gt;5th&lt;/edition&gt;&lt;section&gt;262-296&lt;/section&gt;&lt;dates&gt;&lt;year&gt;2002&lt;/year&gt;&lt;/dates&gt;&lt;publisher&gt;Freeman&lt;/publisher&gt;&lt;urls&gt;&lt;/urls&gt;&lt;/record&gt;&lt;/Cite&gt;&lt;/EndNote&gt;</w:instrText>
        </w:r>
        <w:r w:rsidR="00512D09">
          <w:rPr>
            <w:iCs/>
          </w:rPr>
          <w:fldChar w:fldCharType="separate"/>
        </w:r>
        <w:r w:rsidR="00512D09" w:rsidRPr="00F80CAD">
          <w:rPr>
            <w:iCs/>
            <w:noProof/>
            <w:vertAlign w:val="superscript"/>
          </w:rPr>
          <w:t>133</w:t>
        </w:r>
        <w:r w:rsidR="00512D09">
          <w:rPr>
            <w:iCs/>
          </w:rPr>
          <w:fldChar w:fldCharType="end"/>
        </w:r>
      </w:hyperlink>
      <w:r w:rsidRPr="009472A3">
        <w:rPr>
          <w:iCs/>
        </w:rPr>
        <w:t xml:space="preserve"> </w:t>
      </w:r>
    </w:p>
    <w:p w:rsidR="009472A3" w:rsidRPr="009472A3" w:rsidRDefault="009472A3" w:rsidP="00217116">
      <w:pPr>
        <w:spacing w:line="480" w:lineRule="auto"/>
        <w:jc w:val="both"/>
        <w:rPr>
          <w:iCs/>
        </w:rPr>
      </w:pPr>
      <w:r w:rsidRPr="009472A3">
        <w:rPr>
          <w:iCs/>
        </w:rPr>
        <w:t xml:space="preserve">Although kinetics and thermodynamics sometimes correlate with each other it is wrong to think that this occurs every time. The magnitude of the equilibrium constant and the time </w:t>
      </w:r>
      <w:r w:rsidRPr="009472A3">
        <w:rPr>
          <w:iCs/>
        </w:rPr>
        <w:lastRenderedPageBreak/>
        <w:t>required to reach the equilibrium are not related. Catalysts for example, increase the rate of reaction but they do not change the position of equilibrium. Consequently, there must be a difference between thermodynamic and kinetic cooperativity and one may not imply the other.</w:t>
      </w:r>
      <w:r w:rsidR="002F534E" w:rsidRPr="009472A3">
        <w:rPr>
          <w:iCs/>
        </w:rPr>
        <w:t xml:space="preserve"> </w:t>
      </w:r>
    </w:p>
    <w:p w:rsidR="009472A3" w:rsidRPr="009472A3" w:rsidRDefault="009472A3" w:rsidP="00217116">
      <w:pPr>
        <w:spacing w:line="480" w:lineRule="auto"/>
        <w:jc w:val="both"/>
        <w:rPr>
          <w:bCs/>
          <w:iCs/>
        </w:rPr>
      </w:pPr>
      <w:r w:rsidRPr="009472A3">
        <w:rPr>
          <w:iCs/>
        </w:rPr>
        <w:t xml:space="preserve">The thermodynamic aspects of cooperativity has been dissected by </w:t>
      </w:r>
      <w:r w:rsidRPr="009472A3">
        <w:rPr>
          <w:bCs/>
          <w:iCs/>
        </w:rPr>
        <w:t>William Jencks</w:t>
      </w:r>
      <w:r w:rsidR="00862B2D">
        <w:rPr>
          <w:bCs/>
          <w:iCs/>
        </w:rPr>
        <w:t>.</w:t>
      </w:r>
      <w:r w:rsidRPr="009472A3">
        <w:rPr>
          <w:bCs/>
          <w:iCs/>
        </w:rPr>
        <w:t xml:space="preserve"> </w:t>
      </w:r>
      <w:hyperlink w:anchor="_ENREF_134" w:tooltip="Jencks, 1981 #576" w:history="1">
        <w:r w:rsidR="00512D09" w:rsidRPr="009472A3">
          <w:rPr>
            <w:bCs/>
            <w:iCs/>
          </w:rPr>
          <w:fldChar w:fldCharType="begin"/>
        </w:r>
        <w:r w:rsidR="00512D09">
          <w:rPr>
            <w:bCs/>
            <w:iCs/>
          </w:rPr>
          <w:instrText xml:space="preserve"> ADDIN EN.CITE &lt;EndNote&gt;&lt;Cite&gt;&lt;Author&gt;Jencks&lt;/Author&gt;&lt;Year&gt;1981&lt;/Year&gt;&lt;RecNum&gt;576&lt;/RecNum&gt;&lt;DisplayText&gt;&lt;style face="superscript"&gt;134&lt;/style&gt;&lt;/DisplayText&gt;&lt;record&gt;&lt;rec-number&gt;576&lt;/rec-number&gt;&lt;foreign-keys&gt;&lt;key app="EN" db-id="5trrespwzsdr07efd5tx2w96x22re9s0fsdt"&gt;576&lt;/key&gt;&lt;/foreign-keys&gt;&lt;ref-type name="Journal Article"&gt;17&lt;/ref-type&gt;&lt;contributors&gt;&lt;authors&gt;&lt;author&gt;Jencks, William P.&lt;/author&gt;&lt;/authors&gt;&lt;/contributors&gt;&lt;titles&gt;&lt;title&gt;On the attribution and additivity of binding energies&lt;/title&gt;&lt;secondary-title&gt;Proceedings of the National Academy of Sciences&lt;/secondary-title&gt;&lt;/titles&gt;&lt;periodical&gt;&lt;full-title&gt;Proceedings of the National Academy of Sciences&lt;/full-title&gt;&lt;/periodical&gt;&lt;pages&gt;4046-4050&lt;/pages&gt;&lt;volume&gt;78&lt;/volume&gt;&lt;number&gt;7&lt;/number&gt;&lt;dates&gt;&lt;year&gt;1981&lt;/year&gt;&lt;pub-dates&gt;&lt;date&gt;July 1, 1981&lt;/date&gt;&lt;/pub-dates&gt;&lt;/dates&gt;&lt;urls&gt;&lt;related-urls&gt;&lt;url&gt;http://www.pnas.org/content/78/7/4046.abstract&lt;/url&gt;&lt;/related-urls&gt;&lt;/urls&gt;&lt;/record&gt;&lt;/Cite&gt;&lt;/EndNote&gt;</w:instrText>
        </w:r>
        <w:r w:rsidR="00512D09" w:rsidRPr="009472A3">
          <w:rPr>
            <w:bCs/>
            <w:iCs/>
          </w:rPr>
          <w:fldChar w:fldCharType="separate"/>
        </w:r>
        <w:r w:rsidR="00512D09" w:rsidRPr="00F80CAD">
          <w:rPr>
            <w:bCs/>
            <w:iCs/>
            <w:noProof/>
            <w:vertAlign w:val="superscript"/>
          </w:rPr>
          <w:t>134</w:t>
        </w:r>
        <w:r w:rsidR="00512D09" w:rsidRPr="009472A3">
          <w:rPr>
            <w:iCs/>
          </w:rPr>
          <w:fldChar w:fldCharType="end"/>
        </w:r>
      </w:hyperlink>
      <w:r w:rsidRPr="009472A3">
        <w:rPr>
          <w:bCs/>
          <w:iCs/>
        </w:rPr>
        <w:t xml:space="preserve"> Jencks suggested that the Gibbs free energy of binding of A-B (</w:t>
      </w:r>
      <w:r w:rsidRPr="009472A3">
        <w:rPr>
          <w:bCs/>
          <w:i/>
          <w:iCs/>
        </w:rPr>
        <w:t>ΔG</w:t>
      </w:r>
      <w:r w:rsidRPr="009472A3">
        <w:rPr>
          <w:bCs/>
          <w:i/>
          <w:iCs/>
          <w:vertAlign w:val="subscript"/>
        </w:rPr>
        <w:t>AB</w:t>
      </w:r>
      <w:r w:rsidRPr="009472A3">
        <w:rPr>
          <w:bCs/>
          <w:iCs/>
        </w:rPr>
        <w:t xml:space="preserve">) (where A and B are ligands attached to a linker) is a total of parts A and B plus an extra term, the Gibbs free energy of connection </w:t>
      </w:r>
      <w:r w:rsidR="00556992">
        <w:rPr>
          <w:bCs/>
          <w:iCs/>
        </w:rPr>
        <w:t>(</w:t>
      </w:r>
      <w:r w:rsidRPr="009472A3">
        <w:rPr>
          <w:bCs/>
          <w:i/>
          <w:iCs/>
        </w:rPr>
        <w:t>ΔG</w:t>
      </w:r>
      <w:r w:rsidRPr="009472A3">
        <w:rPr>
          <w:bCs/>
          <w:i/>
          <w:iCs/>
          <w:vertAlign w:val="subscript"/>
        </w:rPr>
        <w:t>S</w:t>
      </w:r>
      <w:r w:rsidR="00556992">
        <w:rPr>
          <w:bCs/>
          <w:iCs/>
        </w:rPr>
        <w:t>)</w:t>
      </w:r>
      <w:r w:rsidRPr="009472A3">
        <w:rPr>
          <w:bCs/>
          <w:iCs/>
        </w:rPr>
        <w:t xml:space="preserve">. A positive </w:t>
      </w:r>
      <w:r w:rsidRPr="009472A3">
        <w:rPr>
          <w:bCs/>
          <w:i/>
          <w:iCs/>
        </w:rPr>
        <w:t>ΔG</w:t>
      </w:r>
      <w:r w:rsidRPr="009472A3">
        <w:rPr>
          <w:bCs/>
          <w:i/>
          <w:iCs/>
          <w:vertAlign w:val="subscript"/>
        </w:rPr>
        <w:t>S</w:t>
      </w:r>
      <w:r w:rsidRPr="009472A3">
        <w:rPr>
          <w:bCs/>
          <w:iCs/>
        </w:rPr>
        <w:t xml:space="preserve"> shows positive cooperativity and a negative</w:t>
      </w:r>
      <w:r w:rsidRPr="009472A3">
        <w:rPr>
          <w:bCs/>
          <w:i/>
          <w:iCs/>
        </w:rPr>
        <w:t xml:space="preserve"> ΔG</w:t>
      </w:r>
      <w:r w:rsidRPr="009472A3">
        <w:rPr>
          <w:bCs/>
          <w:i/>
          <w:iCs/>
          <w:vertAlign w:val="subscript"/>
        </w:rPr>
        <w:t>S</w:t>
      </w:r>
      <w:r w:rsidRPr="009472A3">
        <w:rPr>
          <w:bCs/>
          <w:iCs/>
        </w:rPr>
        <w:t xml:space="preserve"> shows negative cooperativity. Further delineation of the equation revealed that a positive </w:t>
      </w:r>
      <w:r w:rsidR="00556992">
        <w:rPr>
          <w:bCs/>
          <w:iCs/>
        </w:rPr>
        <w:t>enthalpy of connection (</w:t>
      </w:r>
      <w:r w:rsidRPr="009472A3">
        <w:rPr>
          <w:bCs/>
          <w:i/>
          <w:iCs/>
        </w:rPr>
        <w:t>ΔH</w:t>
      </w:r>
      <w:r w:rsidRPr="009472A3">
        <w:rPr>
          <w:bCs/>
          <w:i/>
          <w:iCs/>
          <w:vertAlign w:val="subscript"/>
        </w:rPr>
        <w:t>S</w:t>
      </w:r>
      <w:r w:rsidR="00556992">
        <w:rPr>
          <w:bCs/>
          <w:iCs/>
        </w:rPr>
        <w:t>)</w:t>
      </w:r>
      <w:r w:rsidRPr="009472A3">
        <w:rPr>
          <w:bCs/>
          <w:iCs/>
        </w:rPr>
        <w:t xml:space="preserve"> designates the binding enthalpy as more favourable than just the ligands A and B separately</w:t>
      </w:r>
      <w:r w:rsidR="00862B2D">
        <w:rPr>
          <w:bCs/>
          <w:iCs/>
        </w:rPr>
        <w:t>.</w:t>
      </w:r>
      <w:hyperlink w:anchor="_ENREF_135" w:tooltip="Hughes, 2007 #577" w:history="1">
        <w:r w:rsidR="00512D09" w:rsidRPr="009472A3">
          <w:rPr>
            <w:bCs/>
            <w:iCs/>
          </w:rPr>
          <w:fldChar w:fldCharType="begin"/>
        </w:r>
        <w:r w:rsidR="00512D09">
          <w:rPr>
            <w:bCs/>
            <w:iCs/>
          </w:rPr>
          <w:instrText xml:space="preserve"> ADDIN EN.CITE &lt;EndNote&gt;&lt;Cite&gt;&lt;Author&gt;Hughes&lt;/Author&gt;&lt;Year&gt;2007&lt;/Year&gt;&lt;RecNum&gt;577&lt;/RecNum&gt;&lt;DisplayText&gt;&lt;style face="superscript"&gt;135&lt;/style&gt;&lt;/DisplayText&gt;&lt;record&gt;&lt;rec-number&gt;577&lt;/rec-number&gt;&lt;foreign-keys&gt;&lt;key app="EN" db-id="5trrespwzsdr07efd5tx2w96x22re9s0fsdt"&gt;577&lt;/key&gt;&lt;/foreign-keys&gt;&lt;ref-type name="Journal Article"&gt;17&lt;/ref-type&gt;&lt;contributors&gt;&lt;authors&gt;&lt;author&gt;Hughes, Andrew D.&lt;/author&gt;&lt;author&gt;Anslyn, Eric V.&lt;/author&gt;&lt;/authors&gt;&lt;/contributors&gt;&lt;titles&gt;&lt;title&gt;A cationic host displaying positive cooperativity in water&lt;/title&gt;&lt;secondary-title&gt;Proceedings of the National Academy of Sciences&lt;/secondary-title&gt;&lt;/titles&gt;&lt;periodical&gt;&lt;full-title&gt;Proceedings of the National Academy of Sciences&lt;/full-title&gt;&lt;/periodical&gt;&lt;pages&gt;6538-6543&lt;/pages&gt;&lt;volume&gt;104&lt;/volume&gt;&lt;number&gt;16&lt;/number&gt;&lt;dates&gt;&lt;year&gt;2007&lt;/year&gt;&lt;pub-dates&gt;&lt;date&gt;April 17, 2007&lt;/date&gt;&lt;/pub-dates&gt;&lt;/dates&gt;&lt;urls&gt;&lt;related-urls&gt;&lt;url&gt;http://www.pnas.org/content/104/16/6538.abstract&lt;/url&gt;&lt;/related-urls&gt;&lt;/urls&gt;&lt;electronic-resource-num&gt;10.1073/pnas.0609144104&lt;/electronic-resource-num&gt;&lt;/record&gt;&lt;/Cite&gt;&lt;/EndNote&gt;</w:instrText>
        </w:r>
        <w:r w:rsidR="00512D09" w:rsidRPr="009472A3">
          <w:rPr>
            <w:bCs/>
            <w:iCs/>
          </w:rPr>
          <w:fldChar w:fldCharType="separate"/>
        </w:r>
        <w:r w:rsidR="00512D09" w:rsidRPr="00F80CAD">
          <w:rPr>
            <w:bCs/>
            <w:iCs/>
            <w:noProof/>
            <w:vertAlign w:val="superscript"/>
          </w:rPr>
          <w:t>135</w:t>
        </w:r>
        <w:r w:rsidR="00512D09" w:rsidRPr="009472A3">
          <w:rPr>
            <w:iCs/>
          </w:rPr>
          <w:fldChar w:fldCharType="end"/>
        </w:r>
      </w:hyperlink>
      <w:r w:rsidRPr="009472A3">
        <w:rPr>
          <w:bCs/>
          <w:iCs/>
        </w:rPr>
        <w:t xml:space="preserve"> Whereas a negative </w:t>
      </w:r>
      <w:r w:rsidR="00556992">
        <w:rPr>
          <w:bCs/>
          <w:iCs/>
        </w:rPr>
        <w:t>entropy of connection (</w:t>
      </w:r>
      <w:r w:rsidRPr="009472A3">
        <w:rPr>
          <w:bCs/>
          <w:i/>
          <w:iCs/>
        </w:rPr>
        <w:t>TΔS</w:t>
      </w:r>
      <w:r w:rsidR="00556992">
        <w:rPr>
          <w:bCs/>
          <w:i/>
          <w:iCs/>
          <w:vertAlign w:val="subscript"/>
        </w:rPr>
        <w:t>s</w:t>
      </w:r>
      <w:r w:rsidR="00556992">
        <w:rPr>
          <w:bCs/>
          <w:iCs/>
        </w:rPr>
        <w:t>)</w:t>
      </w:r>
      <w:r w:rsidRPr="009472A3">
        <w:rPr>
          <w:bCs/>
          <w:i/>
          <w:iCs/>
        </w:rPr>
        <w:t xml:space="preserve"> </w:t>
      </w:r>
      <w:r w:rsidRPr="009472A3">
        <w:rPr>
          <w:bCs/>
          <w:iCs/>
        </w:rPr>
        <w:t xml:space="preserve">means that the binding entropy is more favourable than when the ligands bind separately. </w:t>
      </w:r>
    </w:p>
    <w:p w:rsidR="009472A3" w:rsidRPr="009472A3" w:rsidRDefault="009472A3" w:rsidP="00217116">
      <w:pPr>
        <w:spacing w:line="480" w:lineRule="auto"/>
        <w:jc w:val="both"/>
        <w:rPr>
          <w:iCs/>
        </w:rPr>
      </w:pPr>
      <w:r w:rsidRPr="009472A3">
        <w:rPr>
          <w:bCs/>
          <w:iCs/>
        </w:rPr>
        <w:t>Jencks suggested that positive cooperativity would n</w:t>
      </w:r>
      <w:r w:rsidR="00556992">
        <w:rPr>
          <w:bCs/>
          <w:iCs/>
        </w:rPr>
        <w:t xml:space="preserve">ormally arise due to favourable entropy. </w:t>
      </w:r>
      <w:r w:rsidRPr="009472A3">
        <w:rPr>
          <w:bCs/>
          <w:iCs/>
        </w:rPr>
        <w:t>Specifically, tethering two ligands reduces their translational and rotational entropy and most of the entropic penalty of immobilising the macromolecule only has to be paid once. Experimentally it has been shown in some instances however, that enthalpy can be the dominating factor in positive cooperativity whilst entropy makes a disfavourable contribution</w:t>
      </w:r>
      <w:r w:rsidR="00862B2D">
        <w:rPr>
          <w:bCs/>
          <w:iCs/>
        </w:rPr>
        <w:t>.</w:t>
      </w:r>
      <w:hyperlink w:anchor="_ENREF_136" w:tooltip="Zhang, 1993 #578" w:history="1">
        <w:r w:rsidR="00512D09" w:rsidRPr="009472A3">
          <w:rPr>
            <w:bCs/>
            <w:iCs/>
          </w:rPr>
          <w:fldChar w:fldCharType="begin"/>
        </w:r>
        <w:r w:rsidR="00512D09">
          <w:rPr>
            <w:bCs/>
            <w:iCs/>
          </w:rPr>
          <w:instrText xml:space="preserve"> ADDIN EN.CITE &lt;EndNote&gt;&lt;Cite&gt;&lt;Author&gt;Zhang&lt;/Author&gt;&lt;Year&gt;1993&lt;/Year&gt;&lt;RecNum&gt;578&lt;/RecNum&gt;&lt;DisplayText&gt;&lt;style face="superscript"&gt;136&lt;/style&gt;&lt;/DisplayText&gt;&lt;record&gt;&lt;rec-number&gt;578&lt;/rec-number&gt;&lt;foreign-keys&gt;&lt;key app="EN" db-id="5trrespwzsdr07efd5tx2w96x22re9s0fsdt"&gt;578&lt;/key&gt;&lt;/foreign-keys&gt;&lt;ref-type name="Journal Article"&gt;17&lt;/ref-type&gt;&lt;contributors&gt;&lt;authors&gt;&lt;author&gt;Zhang, Biliang&lt;/author&gt;&lt;author&gt;Breslow, Ronald&lt;/author&gt;&lt;/authors&gt;&lt;/contributors&gt;&lt;titles&gt;&lt;title&gt;Enthalpic domination of the chelate effect in cyclodextrin dimers&lt;/title&gt;&lt;secondary-title&gt;J Am Chem Soc&lt;/secondary-title&gt;&lt;/titles&gt;&lt;periodical&gt;&lt;full-title&gt;J Am Chem Soc&lt;/full-title&gt;&lt;abbr-1&gt;Journal of the American Chemical Society&lt;/abbr-1&gt;&lt;/periodical&gt;&lt;pages&gt;9353-9354&lt;/pages&gt;&lt;volume&gt;115&lt;/volume&gt;&lt;number&gt;20&lt;/number&gt;&lt;dates&gt;&lt;year&gt;1993&lt;/year&gt;&lt;pub-dates&gt;&lt;date&gt;1993/10/01&lt;/date&gt;&lt;/pub-dates&gt;&lt;/dates&gt;&lt;publisher&gt;American Chemical Society&lt;/publisher&gt;&lt;isbn&gt;0002-7863&lt;/isbn&gt;&lt;urls&gt;&lt;related-urls&gt;&lt;url&gt;http://dx.doi.org/10.1021/ja00073a087&lt;/url&gt;&lt;/related-urls&gt;&lt;/urls&gt;&lt;electronic-resource-num&gt;10.1021/ja00073a087&lt;/electronic-resource-num&gt;&lt;/record&gt;&lt;/Cite&gt;&lt;/EndNote&gt;</w:instrText>
        </w:r>
        <w:r w:rsidR="00512D09" w:rsidRPr="009472A3">
          <w:rPr>
            <w:bCs/>
            <w:iCs/>
          </w:rPr>
          <w:fldChar w:fldCharType="separate"/>
        </w:r>
        <w:r w:rsidR="00512D09" w:rsidRPr="00F80CAD">
          <w:rPr>
            <w:bCs/>
            <w:iCs/>
            <w:noProof/>
            <w:vertAlign w:val="superscript"/>
          </w:rPr>
          <w:t>136</w:t>
        </w:r>
        <w:r w:rsidR="00512D09" w:rsidRPr="009472A3">
          <w:rPr>
            <w:iCs/>
          </w:rPr>
          <w:fldChar w:fldCharType="end"/>
        </w:r>
      </w:hyperlink>
      <w:r w:rsidRPr="009472A3">
        <w:rPr>
          <w:bCs/>
          <w:iCs/>
        </w:rPr>
        <w:t xml:space="preserve"> </w:t>
      </w:r>
    </w:p>
    <w:p w:rsidR="009472A3" w:rsidRPr="009472A3" w:rsidRDefault="009472A3" w:rsidP="00217116">
      <w:pPr>
        <w:spacing w:line="480" w:lineRule="auto"/>
        <w:jc w:val="both"/>
        <w:rPr>
          <w:iCs/>
        </w:rPr>
      </w:pPr>
      <w:r w:rsidRPr="009472A3">
        <w:rPr>
          <w:iCs/>
        </w:rPr>
        <w:t>Negative cooperativity has been shown to arise from disfavourable entropy. The binding of a series of acetate based ligands to a copper containing metallo-host exhibited negative cooperativity due to an increased entropic penalty thought to derive from reduced solvent/ion release in comparison to the ligands not linked together</w:t>
      </w:r>
      <w:r w:rsidR="00862B2D">
        <w:rPr>
          <w:iCs/>
        </w:rPr>
        <w:t>.</w:t>
      </w:r>
      <w:r w:rsidRPr="009472A3">
        <w:rPr>
          <w:iCs/>
        </w:rPr>
        <w:t xml:space="preserve"> </w:t>
      </w:r>
      <w:hyperlink w:anchor="_ENREF_137" w:tooltip="Tobey, 2003 #580" w:history="1">
        <w:r w:rsidR="00512D09" w:rsidRPr="009472A3">
          <w:rPr>
            <w:iCs/>
          </w:rPr>
          <w:fldChar w:fldCharType="begin"/>
        </w:r>
        <w:r w:rsidR="00512D09">
          <w:rPr>
            <w:iCs/>
          </w:rPr>
          <w:instrText xml:space="preserve"> ADDIN EN.CITE &lt;EndNote&gt;&lt;Cite&gt;&lt;Author&gt;Tobey&lt;/Author&gt;&lt;Year&gt;2003&lt;/Year&gt;&lt;RecNum&gt;580&lt;/RecNum&gt;&lt;DisplayText&gt;&lt;style face="superscript"&gt;137&lt;/style&gt;&lt;/DisplayText&gt;&lt;record&gt;&lt;rec-number&gt;580&lt;/rec-number&gt;&lt;foreign-keys&gt;&lt;key app="EN" db-id="5trrespwzsdr07efd5tx2w96x22re9s0fsdt"&gt;580&lt;/key&gt;&lt;/foreign-keys&gt;&lt;ref-type name="Journal Article"&gt;17&lt;/ref-type&gt;&lt;contributors&gt;&lt;authors&gt;&lt;author&gt;Tobey, Suzanne L.&lt;/author&gt;&lt;author&gt;Anslyn, Eric V.&lt;/author&gt;&lt;/authors&gt;&lt;/contributors&gt;&lt;titles&gt;&lt;title&gt;Studies into the Thermodynamic Origin of Negative Cooperativity in Ion-Pairing Molecular Recognition&lt;/title&gt;&lt;secondary-title&gt;J Am Chem Soc&lt;/secondary-title&gt;&lt;/titles&gt;&lt;periodical&gt;&lt;full-title&gt;J Am Chem Soc&lt;/full-title&gt;&lt;abbr-1&gt;Journal of the American Chemical Society&lt;/abbr-1&gt;&lt;/periodical&gt;&lt;pages&gt;10963-10970&lt;/pages&gt;&lt;volume&gt;125&lt;/volume&gt;&lt;number&gt;36&lt;/number&gt;&lt;dates&gt;&lt;year&gt;2003&lt;/year&gt;&lt;pub-dates&gt;&lt;date&gt;2003/09/01&lt;/date&gt;&lt;/pub-dates&gt;&lt;/dates&gt;&lt;publisher&gt;American Chemical Society&lt;/publisher&gt;&lt;isbn&gt;0002-7863&lt;/isbn&gt;&lt;urls&gt;&lt;related-urls&gt;&lt;url&gt;http://dx.doi.org/10.1021/ja030265o&lt;/url&gt;&lt;/related-urls&gt;&lt;/urls&gt;&lt;electronic-resource-num&gt;10.1021/ja030265o&lt;/electronic-resource-num&gt;&lt;/record&gt;&lt;/Cite&gt;&lt;/EndNote&gt;</w:instrText>
        </w:r>
        <w:r w:rsidR="00512D09" w:rsidRPr="009472A3">
          <w:rPr>
            <w:iCs/>
          </w:rPr>
          <w:fldChar w:fldCharType="separate"/>
        </w:r>
        <w:r w:rsidR="00512D09" w:rsidRPr="00F80CAD">
          <w:rPr>
            <w:iCs/>
            <w:noProof/>
            <w:vertAlign w:val="superscript"/>
          </w:rPr>
          <w:t>137</w:t>
        </w:r>
        <w:r w:rsidR="00512D09" w:rsidRPr="009472A3">
          <w:rPr>
            <w:iCs/>
          </w:rPr>
          <w:fldChar w:fldCharType="end"/>
        </w:r>
      </w:hyperlink>
      <w:r w:rsidRPr="009472A3">
        <w:rPr>
          <w:iCs/>
        </w:rPr>
        <w:t xml:space="preserve">  </w:t>
      </w:r>
    </w:p>
    <w:p w:rsidR="009472A3" w:rsidRPr="009472A3" w:rsidRDefault="009472A3" w:rsidP="00217116">
      <w:pPr>
        <w:spacing w:line="480" w:lineRule="auto"/>
        <w:jc w:val="both"/>
        <w:rPr>
          <w:iCs/>
        </w:rPr>
      </w:pPr>
      <w:r w:rsidRPr="009472A3">
        <w:rPr>
          <w:iCs/>
        </w:rPr>
        <w:t xml:space="preserve">Jencks view of cooperativity is not the same as that proposed by the KNF and MWC models. Jencks makes no mention of a sequential or concerted transition between low or high </w:t>
      </w:r>
      <w:r w:rsidRPr="009472A3">
        <w:rPr>
          <w:iCs/>
        </w:rPr>
        <w:lastRenderedPageBreak/>
        <w:t xml:space="preserve">affinity states, merely that tethering two ligands together can induce a more favourable </w:t>
      </w:r>
      <w:r w:rsidRPr="009472A3">
        <w:rPr>
          <w:bCs/>
          <w:i/>
          <w:iCs/>
        </w:rPr>
        <w:t>ΔG</w:t>
      </w:r>
      <w:r w:rsidRPr="009472A3">
        <w:rPr>
          <w:bCs/>
          <w:iCs/>
        </w:rPr>
        <w:t xml:space="preserve">. The linking of two ligands together precludes the KNF and MWC models because it is the linker assisting or hindering binding thermodynamics not solely alterations in the protein structure. If cooperativity is occurring according to the KNF or MWC model then presumably it should occur without the linker. </w:t>
      </w:r>
    </w:p>
    <w:p w:rsidR="009472A3" w:rsidRPr="009472A3" w:rsidRDefault="009472A3" w:rsidP="00217116">
      <w:pPr>
        <w:spacing w:line="480" w:lineRule="auto"/>
        <w:jc w:val="both"/>
        <w:rPr>
          <w:iCs/>
        </w:rPr>
      </w:pPr>
      <w:r w:rsidRPr="009472A3">
        <w:rPr>
          <w:iCs/>
        </w:rPr>
        <w:t>Jencks view of cooperativity is more analogous to avidity than cooperativity addressed by the KNF and MWC models.  </w:t>
      </w:r>
      <w:r w:rsidRPr="009472A3">
        <w:rPr>
          <w:bCs/>
          <w:iCs/>
        </w:rPr>
        <w:t>Avidity</w:t>
      </w:r>
      <w:r w:rsidRPr="009472A3">
        <w:rPr>
          <w:iCs/>
        </w:rPr>
        <w:t xml:space="preserve"> is the summation of multiple association constants. It has been used to measure the strength of multivalent interactions such as large molecular weight sugars binding to bacterial toxins. </w:t>
      </w:r>
      <w:r w:rsidRPr="009472A3">
        <w:rPr>
          <w:bCs/>
          <w:iCs/>
        </w:rPr>
        <w:t>Avidity</w:t>
      </w:r>
      <w:r w:rsidRPr="009472A3">
        <w:rPr>
          <w:iCs/>
        </w:rPr>
        <w:t> is routinely engineered by addition of linkers between large functional groups to increase the number and consequently strength of the interactions</w:t>
      </w:r>
      <w:r w:rsidR="00862B2D">
        <w:rPr>
          <w:iCs/>
        </w:rPr>
        <w:t>.</w:t>
      </w:r>
      <w:hyperlink w:anchor="_ENREF_138" w:tooltip="Krishnamurthy, 2006 #581" w:history="1">
        <w:r w:rsidR="00512D09" w:rsidRPr="009472A3">
          <w:rPr>
            <w:iCs/>
          </w:rPr>
          <w:fldChar w:fldCharType="begin"/>
        </w:r>
        <w:r w:rsidR="00512D09">
          <w:rPr>
            <w:iCs/>
          </w:rPr>
          <w:instrText xml:space="preserve"> ADDIN EN.CITE &lt;EndNote&gt;&lt;Cite&gt;&lt;Author&gt;Krishnamurthy&lt;/Author&gt;&lt;Year&gt;2006&lt;/Year&gt;&lt;RecNum&gt;581&lt;/RecNum&gt;&lt;DisplayText&gt;&lt;style face="superscript"&gt;138&lt;/style&gt;&lt;/DisplayText&gt;&lt;record&gt;&lt;rec-number&gt;581&lt;/rec-number&gt;&lt;foreign-keys&gt;&lt;key app="EN" db-id="5trrespwzsdr07efd5tx2w96x22re9s0fsdt"&gt;581&lt;/key&gt;&lt;/foreign-keys&gt;&lt;ref-type name="Book Section"&gt;5&lt;/ref-type&gt;&lt;contributors&gt;&lt;authors&gt;&lt;author&gt;Krishnamurthy, Vijay M.&lt;/author&gt;&lt;author&gt;Estroff, Lara A.&lt;/author&gt;&lt;author&gt;Whitesides, George M.&lt;/author&gt;&lt;/authors&gt;&lt;/contributors&gt;&lt;titles&gt;&lt;title&gt;Multivalency in Ligand Design&lt;/title&gt;&lt;secondary-title&gt;Fragment-based Approaches in Drug Discovery&lt;/secondary-title&gt;&lt;/titles&gt;&lt;pages&gt;11-53&lt;/pages&gt;&lt;keywords&gt;&lt;keyword&gt;drug discovery&lt;/keyword&gt;&lt;keyword&gt;concept&lt;/keyword&gt;&lt;keyword&gt;theory&lt;/keyword&gt;&lt;keyword&gt;multivalency in ligand design&lt;/keyword&gt;&lt;keyword&gt;key experimental studies&lt;/keyword&gt;&lt;keyword&gt;multivalency&lt;/keyword&gt;&lt;keyword&gt;representative experimental studies&lt;/keyword&gt;&lt;keyword&gt;design rules&lt;/keyword&gt;&lt;keyword&gt;lead discovery&lt;/keyword&gt;&lt;keyword&gt;challenges&lt;/keyword&gt;&lt;keyword&gt;unsolved problems in multivalency&lt;/keyword&gt;&lt;/keywords&gt;&lt;dates&gt;&lt;year&gt;2006&lt;/year&gt;&lt;/dates&gt;&lt;publisher&gt;Wiley-VCH Verlag GmbH &amp;amp; Co. KGaA&lt;/publisher&gt;&lt;isbn&gt;9783527608768&lt;/isbn&gt;&lt;urls&gt;&lt;related-urls&gt;&lt;url&gt;http://dx.doi.org/10.1002/3527608761.ch2&lt;/url&gt;&lt;/related-urls&gt;&lt;/urls&gt;&lt;electronic-resource-num&gt;10.1002/3527608761.ch2&lt;/electronic-resource-num&gt;&lt;/record&gt;&lt;/Cite&gt;&lt;/EndNote&gt;</w:instrText>
        </w:r>
        <w:r w:rsidR="00512D09" w:rsidRPr="009472A3">
          <w:rPr>
            <w:iCs/>
          </w:rPr>
          <w:fldChar w:fldCharType="separate"/>
        </w:r>
        <w:r w:rsidR="00512D09" w:rsidRPr="00F80CAD">
          <w:rPr>
            <w:iCs/>
            <w:noProof/>
            <w:vertAlign w:val="superscript"/>
          </w:rPr>
          <w:t>138</w:t>
        </w:r>
        <w:r w:rsidR="00512D09" w:rsidRPr="009472A3">
          <w:rPr>
            <w:iCs/>
          </w:rPr>
          <w:fldChar w:fldCharType="end"/>
        </w:r>
      </w:hyperlink>
      <w:r w:rsidRPr="009472A3">
        <w:rPr>
          <w:iCs/>
        </w:rPr>
        <w:t xml:space="preserve"> KNF and MWC types of cooperativity cannot be engineered via the ligand. </w:t>
      </w:r>
    </w:p>
    <w:p w:rsidR="009472A3" w:rsidRPr="009472A3" w:rsidRDefault="009472A3" w:rsidP="00217116">
      <w:pPr>
        <w:spacing w:line="480" w:lineRule="auto"/>
        <w:jc w:val="both"/>
        <w:rPr>
          <w:iCs/>
        </w:rPr>
      </w:pPr>
      <w:r w:rsidRPr="009472A3">
        <w:rPr>
          <w:iCs/>
        </w:rPr>
        <w:t xml:space="preserve">It should be noted that Jencks view of positive cooperativity characterises the ideal mode of binding that exceed the summation of all the individual Gibbs free energies of binding. Negative cooperativity does not necessary mean that the summation is weaker than the individual components. It just means that the optimal mode of binding judging from the </w:t>
      </w:r>
      <w:r w:rsidRPr="009472A3">
        <w:rPr>
          <w:bCs/>
          <w:i/>
          <w:iCs/>
        </w:rPr>
        <w:t>ΔG</w:t>
      </w:r>
      <w:r w:rsidRPr="009472A3">
        <w:rPr>
          <w:bCs/>
          <w:i/>
          <w:iCs/>
          <w:vertAlign w:val="subscript"/>
        </w:rPr>
        <w:t>S</w:t>
      </w:r>
      <w:r w:rsidRPr="009472A3">
        <w:rPr>
          <w:bCs/>
          <w:iCs/>
        </w:rPr>
        <w:t xml:space="preserve"> </w:t>
      </w:r>
      <w:r w:rsidRPr="009472A3">
        <w:rPr>
          <w:iCs/>
        </w:rPr>
        <w:t>has not been reached</w:t>
      </w:r>
      <w:r w:rsidR="00862B2D">
        <w:rPr>
          <w:iCs/>
        </w:rPr>
        <w:t>.</w:t>
      </w:r>
      <w:hyperlink w:anchor="_ENREF_137" w:tooltip="Tobey, 2003 #580" w:history="1">
        <w:r w:rsidR="00512D09" w:rsidRPr="009472A3">
          <w:rPr>
            <w:iCs/>
          </w:rPr>
          <w:fldChar w:fldCharType="begin"/>
        </w:r>
        <w:r w:rsidR="00512D09">
          <w:rPr>
            <w:iCs/>
          </w:rPr>
          <w:instrText xml:space="preserve"> ADDIN EN.CITE &lt;EndNote&gt;&lt;Cite&gt;&lt;Author&gt;Tobey&lt;/Author&gt;&lt;Year&gt;2003&lt;/Year&gt;&lt;RecNum&gt;580&lt;/RecNum&gt;&lt;DisplayText&gt;&lt;style face="superscript"&gt;137&lt;/style&gt;&lt;/DisplayText&gt;&lt;record&gt;&lt;rec-number&gt;580&lt;/rec-number&gt;&lt;foreign-keys&gt;&lt;key app="EN" db-id="5trrespwzsdr07efd5tx2w96x22re9s0fsdt"&gt;580&lt;/key&gt;&lt;/foreign-keys&gt;&lt;ref-type name="Journal Article"&gt;17&lt;/ref-type&gt;&lt;contributors&gt;&lt;authors&gt;&lt;author&gt;Tobey, Suzanne L.&lt;/author&gt;&lt;author&gt;Anslyn, Eric V.&lt;/author&gt;&lt;/authors&gt;&lt;/contributors&gt;&lt;titles&gt;&lt;title&gt;Studies into the Thermodynamic Origin of Negative Cooperativity in Ion-Pairing Molecular Recognition&lt;/title&gt;&lt;secondary-title&gt;J Am Chem Soc&lt;/secondary-title&gt;&lt;/titles&gt;&lt;periodical&gt;&lt;full-title&gt;J Am Chem Soc&lt;/full-title&gt;&lt;abbr-1&gt;Journal of the American Chemical Society&lt;/abbr-1&gt;&lt;/periodical&gt;&lt;pages&gt;10963-10970&lt;/pages&gt;&lt;volume&gt;125&lt;/volume&gt;&lt;number&gt;36&lt;/number&gt;&lt;dates&gt;&lt;year&gt;2003&lt;/year&gt;&lt;pub-dates&gt;&lt;date&gt;2003/09/01&lt;/date&gt;&lt;/pub-dates&gt;&lt;/dates&gt;&lt;publisher&gt;American Chemical Society&lt;/publisher&gt;&lt;isbn&gt;0002-7863&lt;/isbn&gt;&lt;urls&gt;&lt;related-urls&gt;&lt;url&gt;http://dx.doi.org/10.1021/ja030265o&lt;/url&gt;&lt;/related-urls&gt;&lt;/urls&gt;&lt;electronic-resource-num&gt;10.1021/ja030265o&lt;/electronic-resource-num&gt;&lt;/record&gt;&lt;/Cite&gt;&lt;/EndNote&gt;</w:instrText>
        </w:r>
        <w:r w:rsidR="00512D09" w:rsidRPr="009472A3">
          <w:rPr>
            <w:iCs/>
          </w:rPr>
          <w:fldChar w:fldCharType="separate"/>
        </w:r>
        <w:r w:rsidR="00512D09" w:rsidRPr="00F80CAD">
          <w:rPr>
            <w:iCs/>
            <w:noProof/>
            <w:vertAlign w:val="superscript"/>
          </w:rPr>
          <w:t>137</w:t>
        </w:r>
        <w:r w:rsidR="00512D09" w:rsidRPr="009472A3">
          <w:rPr>
            <w:iCs/>
          </w:rPr>
          <w:fldChar w:fldCharType="end"/>
        </w:r>
      </w:hyperlink>
      <w:r w:rsidRPr="009472A3">
        <w:rPr>
          <w:iCs/>
        </w:rPr>
        <w:t xml:space="preserve">  </w:t>
      </w:r>
      <w:r w:rsidR="004B3926" w:rsidRPr="009472A3">
        <w:rPr>
          <w:iCs/>
        </w:rPr>
        <w:t>Usually</w:t>
      </w:r>
      <w:r w:rsidRPr="009472A3">
        <w:rPr>
          <w:iCs/>
        </w:rPr>
        <w:t xml:space="preserve"> polyvalent interactions are far stronger than the individual binding interactions. </w:t>
      </w:r>
    </w:p>
    <w:p w:rsidR="00831278" w:rsidRDefault="00831278" w:rsidP="00217116">
      <w:pPr>
        <w:spacing w:line="480" w:lineRule="auto"/>
        <w:jc w:val="both"/>
        <w:rPr>
          <w:bCs/>
          <w:iCs/>
        </w:rPr>
      </w:pPr>
      <w:r>
        <w:rPr>
          <w:bCs/>
          <w:iCs/>
        </w:rPr>
        <w:t>Normally the concept of cooperativity in terms of protein chemistry is expressed in free energy changes. Fisher and Tally reported a phenomena where sequential binding events were characterised by differences in enthalpy instead of Gibbs free energy</w:t>
      </w:r>
      <w:r w:rsidR="00201B1C">
        <w:rPr>
          <w:bCs/>
          <w:iCs/>
        </w:rPr>
        <w:t>.</w:t>
      </w:r>
      <w:hyperlink w:anchor="_ENREF_139" w:tooltip="Fisher, 1997 #600" w:history="1">
        <w:r w:rsidR="00512D09">
          <w:rPr>
            <w:bCs/>
            <w:iCs/>
          </w:rPr>
          <w:fldChar w:fldCharType="begin"/>
        </w:r>
        <w:r w:rsidR="00512D09">
          <w:rPr>
            <w:bCs/>
            <w:iCs/>
          </w:rPr>
          <w:instrText xml:space="preserve"> ADDIN EN.CITE &lt;EndNote&gt;&lt;Cite&gt;&lt;Author&gt;Fisher&lt;/Author&gt;&lt;Year&gt;1997&lt;/Year&gt;&lt;RecNum&gt;600&lt;/RecNum&gt;&lt;DisplayText&gt;&lt;style face="superscript"&gt;139&lt;/style&gt;&lt;/DisplayText&gt;&lt;record&gt;&lt;rec-number&gt;600&lt;/rec-number&gt;&lt;foreign-keys&gt;&lt;key app="EN" db-id="5trrespwzsdr07efd5tx2w96x22re9s0fsdt"&gt;600&lt;/key&gt;&lt;/foreign-keys&gt;&lt;ref-type name="Journal Article"&gt;17&lt;/ref-type&gt;&lt;contributors&gt;&lt;authors&gt;&lt;author&gt;Fisher, Harvey F.&lt;/author&gt;&lt;author&gt;Tally, Jon&lt;/author&gt;&lt;/authors&gt;&lt;/contributors&gt;&lt;titles&gt;&lt;title&gt;Isoergonic Cooperativity in Glutamate Dehydrogenase Complexes:  A New Form of Allostery&lt;/title&gt;&lt;secondary-title&gt;Biochemistry&lt;/secondary-title&gt;&lt;/titles&gt;&lt;periodical&gt;&lt;full-title&gt;Biochemistry&lt;/full-title&gt;&lt;abbr-1&gt;Biochemistry&lt;/abbr-1&gt;&lt;/periodical&gt;&lt;pages&gt;10807-10810&lt;/pages&gt;&lt;volume&gt;36&lt;/volume&gt;&lt;number&gt;36&lt;/number&gt;&lt;dates&gt;&lt;year&gt;1997&lt;/year&gt;&lt;pub-dates&gt;&lt;date&gt;1997/09/01&lt;/date&gt;&lt;/pub-dates&gt;&lt;/dates&gt;&lt;publisher&gt;American Chemical Society&lt;/publisher&gt;&lt;isbn&gt;0006-2960&lt;/isbn&gt;&lt;urls&gt;&lt;related-urls&gt;&lt;url&gt;http://dx.doi.org/10.1021/bi9708388&lt;/url&gt;&lt;/related-urls&gt;&lt;/urls&gt;&lt;electronic-resource-num&gt;10.1021/bi9708388&lt;/electronic-resource-num&gt;&lt;/record&gt;&lt;/Cite&gt;&lt;/EndNote&gt;</w:instrText>
        </w:r>
        <w:r w:rsidR="00512D09">
          <w:rPr>
            <w:bCs/>
            <w:iCs/>
          </w:rPr>
          <w:fldChar w:fldCharType="separate"/>
        </w:r>
        <w:r w:rsidR="00512D09" w:rsidRPr="00F80CAD">
          <w:rPr>
            <w:bCs/>
            <w:iCs/>
            <w:noProof/>
            <w:vertAlign w:val="superscript"/>
          </w:rPr>
          <w:t>139</w:t>
        </w:r>
        <w:r w:rsidR="00512D09">
          <w:rPr>
            <w:bCs/>
            <w:iCs/>
          </w:rPr>
          <w:fldChar w:fldCharType="end"/>
        </w:r>
      </w:hyperlink>
      <w:r>
        <w:rPr>
          <w:bCs/>
          <w:iCs/>
        </w:rPr>
        <w:t xml:space="preserve"> This idea originated from ITC studies on the binding of ADP to bovine liver glutamate dehydrogenase and with NADPH with or without the presence of glutamate. All the binding energetics were different for all the titrations. Fitting the binding isotherms to a sequential binding site model identified three different binding sites each with the same association constant </w:t>
      </w:r>
      <w:r>
        <w:rPr>
          <w:bCs/>
          <w:iCs/>
        </w:rPr>
        <w:lastRenderedPageBreak/>
        <w:t xml:space="preserve">but different enthalpy and entropy values. Fisher and Tally suggested this was due to EEC phenomena between the binding sites. Inspection of the binding isotherms suggests the assumptions behind the model were inaccurate. </w:t>
      </w:r>
      <w:r w:rsidR="00676F8E">
        <w:rPr>
          <w:bCs/>
          <w:iCs/>
        </w:rPr>
        <w:t>For example, t</w:t>
      </w:r>
      <w:r>
        <w:rPr>
          <w:bCs/>
          <w:iCs/>
        </w:rPr>
        <w:t xml:space="preserve">here are clearly two stages in the binding isotherm for the NADPH-glutamate-enzyme interaction </w:t>
      </w:r>
      <w:r w:rsidR="00676F8E">
        <w:rPr>
          <w:bCs/>
          <w:iCs/>
        </w:rPr>
        <w:t>suggesting two different Gibbs free energy values. In addition to this, there is no clear change in en</w:t>
      </w:r>
      <w:r w:rsidR="00862B2D">
        <w:rPr>
          <w:bCs/>
          <w:iCs/>
        </w:rPr>
        <w:t xml:space="preserve">thalpy at any stage within the </w:t>
      </w:r>
      <w:r w:rsidR="00676F8E">
        <w:rPr>
          <w:bCs/>
          <w:iCs/>
        </w:rPr>
        <w:t xml:space="preserve">binding isotherms with or without NADPH. </w:t>
      </w:r>
    </w:p>
    <w:p w:rsidR="00E61E35" w:rsidRDefault="00B070E0" w:rsidP="00217116">
      <w:pPr>
        <w:spacing w:line="480" w:lineRule="auto"/>
        <w:jc w:val="both"/>
        <w:rPr>
          <w:bCs/>
          <w:iCs/>
        </w:rPr>
      </w:pPr>
      <w:r>
        <w:rPr>
          <w:bCs/>
          <w:iCs/>
        </w:rPr>
        <w:t>Cholera toxin is a multisubunit protein consists of an A subunit surrounded by a ring of five identical subunits that bind to a cell surface receptor ganglioside G</w:t>
      </w:r>
      <w:r w:rsidRPr="00B070E0">
        <w:rPr>
          <w:bCs/>
          <w:iCs/>
          <w:vertAlign w:val="subscript"/>
        </w:rPr>
        <w:t>M1</w:t>
      </w:r>
      <w:r w:rsidR="00201B1C">
        <w:rPr>
          <w:bCs/>
          <w:iCs/>
        </w:rPr>
        <w:t>.</w:t>
      </w:r>
      <w:hyperlink w:anchor="_ENREF_140" w:tooltip="Goins, 1988 #667" w:history="1">
        <w:r w:rsidR="00512D09">
          <w:rPr>
            <w:bCs/>
            <w:iCs/>
            <w:vertAlign w:val="subscript"/>
          </w:rPr>
          <w:fldChar w:fldCharType="begin"/>
        </w:r>
        <w:r w:rsidR="00512D09">
          <w:rPr>
            <w:bCs/>
            <w:iCs/>
            <w:vertAlign w:val="subscript"/>
          </w:rPr>
          <w:instrText xml:space="preserve"> ADDIN EN.CITE &lt;EndNote&gt;&lt;Cite&gt;&lt;Author&gt;Goins&lt;/Author&gt;&lt;Year&gt;1988&lt;/Year&gt;&lt;RecNum&gt;667&lt;/RecNum&gt;&lt;DisplayText&gt;&lt;style face="superscript"&gt;140&lt;/style&gt;&lt;/DisplayText&gt;&lt;record&gt;&lt;rec-number&gt;667&lt;/rec-number&gt;&lt;foreign-keys&gt;&lt;key app="EN" db-id="5trrespwzsdr07efd5tx2w96x22re9s0fsdt"&gt;667&lt;/key&gt;&lt;/foreign-keys&gt;&lt;ref-type name="Journal Article"&gt;17&lt;/ref-type&gt;&lt;contributors&gt;&lt;authors&gt;&lt;author&gt;Goins, Beth&lt;/author&gt;&lt;author&gt;Freire, Ernesto&lt;/author&gt;&lt;/authors&gt;&lt;/contributors&gt;&lt;titles&gt;&lt;title&gt;Thermal stability and intersubunit interactions of cholera toxin in solution and in association with its cell-surface receptor ganglioside GM1&lt;/title&gt;&lt;secondary-title&gt;Biochemistry&lt;/secondary-title&gt;&lt;/titles&gt;&lt;periodical&gt;&lt;full-title&gt;Biochemistry&lt;/full-title&gt;&lt;abbr-1&gt;Biochemistry&lt;/abbr-1&gt;&lt;/periodical&gt;&lt;pages&gt;2046-2052&lt;/pages&gt;&lt;volume&gt;27&lt;/volume&gt;&lt;number&gt;6&lt;/number&gt;&lt;dates&gt;&lt;year&gt;1988&lt;/year&gt;&lt;pub-dates&gt;&lt;date&gt;1988/03/01&lt;/date&gt;&lt;/pub-dates&gt;&lt;/dates&gt;&lt;publisher&gt;American Chemical Society&lt;/publisher&gt;&lt;isbn&gt;0006-2960&lt;/isbn&gt;&lt;urls&gt;&lt;related-urls&gt;&lt;url&gt;http://dx.doi.org/10.1021/bi00406a035&lt;/url&gt;&lt;/related-urls&gt;&lt;/urls&gt;&lt;electronic-resource-num&gt;10.1021/bi00406a035&lt;/electronic-resource-num&gt;&lt;/record&gt;&lt;/Cite&gt;&lt;/EndNote&gt;</w:instrText>
        </w:r>
        <w:r w:rsidR="00512D09">
          <w:rPr>
            <w:bCs/>
            <w:iCs/>
            <w:vertAlign w:val="subscript"/>
          </w:rPr>
          <w:fldChar w:fldCharType="separate"/>
        </w:r>
        <w:r w:rsidR="00512D09" w:rsidRPr="00F80CAD">
          <w:rPr>
            <w:bCs/>
            <w:iCs/>
            <w:noProof/>
            <w:vertAlign w:val="superscript"/>
          </w:rPr>
          <w:t>140</w:t>
        </w:r>
        <w:r w:rsidR="00512D09">
          <w:rPr>
            <w:bCs/>
            <w:iCs/>
            <w:vertAlign w:val="subscript"/>
          </w:rPr>
          <w:fldChar w:fldCharType="end"/>
        </w:r>
      </w:hyperlink>
      <w:r>
        <w:rPr>
          <w:bCs/>
          <w:iCs/>
        </w:rPr>
        <w:t xml:space="preserve"> In the presence of ganglioside G</w:t>
      </w:r>
      <w:r w:rsidRPr="00B070E0">
        <w:rPr>
          <w:bCs/>
          <w:iCs/>
          <w:vertAlign w:val="subscript"/>
        </w:rPr>
        <w:t>M1</w:t>
      </w:r>
      <w:r>
        <w:rPr>
          <w:bCs/>
          <w:iCs/>
        </w:rPr>
        <w:t>, the thermal stability of the pentamer increases by 20</w:t>
      </w:r>
      <w:r w:rsidR="000E6500">
        <w:rPr>
          <w:bCs/>
          <w:iCs/>
        </w:rPr>
        <w:t xml:space="preserve"> </w:t>
      </w:r>
      <w:r>
        <w:rPr>
          <w:bCs/>
          <w:iCs/>
        </w:rPr>
        <w:t>°C and unfolds in a single unfolding event</w:t>
      </w:r>
      <w:r w:rsidR="00735535">
        <w:rPr>
          <w:bCs/>
          <w:iCs/>
        </w:rPr>
        <w:t xml:space="preserve"> which is shown as a sharp peak in the DSC scan</w:t>
      </w:r>
      <w:r>
        <w:rPr>
          <w:bCs/>
          <w:iCs/>
        </w:rPr>
        <w:t xml:space="preserve">. In its absence, </w:t>
      </w:r>
      <w:r w:rsidR="00735535">
        <w:rPr>
          <w:bCs/>
          <w:iCs/>
        </w:rPr>
        <w:t xml:space="preserve">the DSC scan is broad suggesting a lack of cooperative interactions. </w:t>
      </w:r>
      <w:r w:rsidR="00A551A2">
        <w:rPr>
          <w:bCs/>
          <w:iCs/>
        </w:rPr>
        <w:t>Schön and Freire used ITC to probe the natu</w:t>
      </w:r>
      <w:r w:rsidR="00201B1C">
        <w:rPr>
          <w:bCs/>
          <w:iCs/>
        </w:rPr>
        <w:t>re of this cooperativity further.</w:t>
      </w:r>
      <w:hyperlink w:anchor="_ENREF_141" w:tooltip="Schoen, 1989 #672" w:history="1">
        <w:r w:rsidR="00512D09">
          <w:rPr>
            <w:bCs/>
            <w:iCs/>
          </w:rPr>
          <w:fldChar w:fldCharType="begin"/>
        </w:r>
        <w:r w:rsidR="00512D09">
          <w:rPr>
            <w:bCs/>
            <w:iCs/>
          </w:rPr>
          <w:instrText xml:space="preserve"> ADDIN EN.CITE &lt;EndNote&gt;&lt;Cite&gt;&lt;Author&gt;Schoen&lt;/Author&gt;&lt;Year&gt;1989&lt;/Year&gt;&lt;RecNum&gt;672&lt;/RecNum&gt;&lt;DisplayText&gt;&lt;style face="superscript"&gt;141&lt;/style&gt;&lt;/DisplayText&gt;&lt;record&gt;&lt;rec-number&gt;672&lt;/rec-number&gt;&lt;foreign-keys&gt;&lt;key app="EN" db-id="5trrespwzsdr07efd5tx2w96x22re9s0fsdt"&gt;672&lt;/key&gt;&lt;/foreign-keys&gt;&lt;ref-type name="Journal Article"&gt;17&lt;/ref-type&gt;&lt;contributors&gt;&lt;authors&gt;&lt;author&gt;Schoen, Arne&lt;/author&gt;&lt;author&gt;Freire, Ernesto&lt;/author&gt;&lt;/authors&gt;&lt;/contributors&gt;&lt;titles&gt;&lt;title&gt;Thermodynamics of intersubunit interactions in cholera toxin upon binding to the oligosaccharide portion of its cell surface receptor, ganglioside GM1&lt;/title&gt;&lt;secondary-title&gt;Biochemistry&lt;/secondary-title&gt;&lt;/titles&gt;&lt;periodical&gt;&lt;full-title&gt;Biochemistry&lt;/full-title&gt;&lt;abbr-1&gt;Biochemistry&lt;/abbr-1&gt;&lt;/periodical&gt;&lt;pages&gt;5019-5024&lt;/pages&gt;&lt;volume&gt;28&lt;/volume&gt;&lt;number&gt;12&lt;/number&gt;&lt;dates&gt;&lt;year&gt;1989&lt;/year&gt;&lt;/dates&gt;&lt;isbn&gt;0006-2960&lt;/isbn&gt;&lt;urls&gt;&lt;/urls&gt;&lt;/record&gt;&lt;/Cite&gt;&lt;/EndNote&gt;</w:instrText>
        </w:r>
        <w:r w:rsidR="00512D09">
          <w:rPr>
            <w:bCs/>
            <w:iCs/>
          </w:rPr>
          <w:fldChar w:fldCharType="separate"/>
        </w:r>
        <w:r w:rsidR="00512D09" w:rsidRPr="00F80CAD">
          <w:rPr>
            <w:bCs/>
            <w:iCs/>
            <w:noProof/>
            <w:vertAlign w:val="superscript"/>
          </w:rPr>
          <w:t>141</w:t>
        </w:r>
        <w:r w:rsidR="00512D09">
          <w:rPr>
            <w:bCs/>
            <w:iCs/>
          </w:rPr>
          <w:fldChar w:fldCharType="end"/>
        </w:r>
      </w:hyperlink>
      <w:r w:rsidR="00A551A2">
        <w:rPr>
          <w:bCs/>
          <w:iCs/>
        </w:rPr>
        <w:t xml:space="preserve"> The sigmoidal shape of the curve indicated that the enthalpy could not be shared individually among the five binding sites which was suggested to be attributable to positive cooperative binding. This then led to the assumption that binding of B-subunit alters the binding affinity of the adjacent subunits. According to this model, the intrinsic binding energy, </w:t>
      </w:r>
      <w:r w:rsidR="00195417">
        <w:rPr>
          <w:bCs/>
          <w:iCs/>
        </w:rPr>
        <w:t>(</w:t>
      </w:r>
      <w:r w:rsidR="00A551A2">
        <w:rPr>
          <w:bCs/>
          <w:iCs/>
        </w:rPr>
        <w:t>∆</w:t>
      </w:r>
      <w:r w:rsidR="00A551A2" w:rsidRPr="000E6500">
        <w:rPr>
          <w:bCs/>
          <w:i/>
          <w:iCs/>
        </w:rPr>
        <w:t>G</w:t>
      </w:r>
      <w:r w:rsidR="00195417" w:rsidRPr="00195417">
        <w:rPr>
          <w:bCs/>
          <w:iCs/>
        </w:rPr>
        <w:t>)</w:t>
      </w:r>
      <w:r w:rsidR="00A551A2">
        <w:rPr>
          <w:bCs/>
          <w:iCs/>
        </w:rPr>
        <w:t xml:space="preserve">, between a subunit and the ligand, and a cooperative free energy </w:t>
      </w:r>
      <w:r w:rsidR="00195417">
        <w:rPr>
          <w:bCs/>
          <w:iCs/>
        </w:rPr>
        <w:t>(</w:t>
      </w:r>
      <w:r w:rsidR="00A551A2">
        <w:rPr>
          <w:bCs/>
          <w:iCs/>
        </w:rPr>
        <w:t>∆</w:t>
      </w:r>
      <w:r w:rsidR="00A551A2" w:rsidRPr="000E6500">
        <w:rPr>
          <w:bCs/>
          <w:i/>
          <w:iCs/>
        </w:rPr>
        <w:t>g</w:t>
      </w:r>
      <w:r w:rsidR="00195417" w:rsidRPr="00195417">
        <w:rPr>
          <w:bCs/>
          <w:iCs/>
        </w:rPr>
        <w:t>)</w:t>
      </w:r>
      <w:r w:rsidR="00A551A2">
        <w:rPr>
          <w:bCs/>
          <w:iCs/>
        </w:rPr>
        <w:t>, make up the summation of the Gibbs free energy of binding (∆</w:t>
      </w:r>
      <w:r w:rsidR="00A551A2" w:rsidRPr="000E6500">
        <w:rPr>
          <w:bCs/>
          <w:i/>
          <w:iCs/>
        </w:rPr>
        <w:t>G</w:t>
      </w:r>
      <w:r w:rsidR="00A551A2" w:rsidRPr="000E6500">
        <w:rPr>
          <w:bCs/>
          <w:i/>
          <w:iCs/>
          <w:vertAlign w:val="subscript"/>
        </w:rPr>
        <w:t>TOTAL</w:t>
      </w:r>
      <w:r w:rsidR="00A551A2">
        <w:rPr>
          <w:bCs/>
          <w:iCs/>
        </w:rPr>
        <w:t>)</w:t>
      </w:r>
      <w:r w:rsidR="00A551A2" w:rsidRPr="00A551A2">
        <w:rPr>
          <w:bCs/>
          <w:iCs/>
          <w:vertAlign w:val="subscript"/>
        </w:rPr>
        <w:t xml:space="preserve"> </w:t>
      </w:r>
      <w:r w:rsidR="00A551A2">
        <w:rPr>
          <w:bCs/>
          <w:iCs/>
        </w:rPr>
        <w:t xml:space="preserve">for that system. Plots of enthalpy versus </w:t>
      </w:r>
      <w:r w:rsidR="00195417">
        <w:rPr>
          <w:bCs/>
          <w:iCs/>
        </w:rPr>
        <w:t>(</w:t>
      </w:r>
      <w:r w:rsidR="00A551A2">
        <w:rPr>
          <w:bCs/>
          <w:iCs/>
        </w:rPr>
        <w:t>∆</w:t>
      </w:r>
      <w:r w:rsidR="00A551A2" w:rsidRPr="000E6500">
        <w:rPr>
          <w:bCs/>
          <w:i/>
          <w:iCs/>
        </w:rPr>
        <w:t>G</w:t>
      </w:r>
      <w:r w:rsidR="00A551A2" w:rsidRPr="000E6500">
        <w:rPr>
          <w:bCs/>
          <w:i/>
          <w:iCs/>
          <w:vertAlign w:val="subscript"/>
        </w:rPr>
        <w:t>TOT</w:t>
      </w:r>
      <w:r w:rsidR="00A551A2" w:rsidRPr="000E6500">
        <w:rPr>
          <w:bCs/>
          <w:iCs/>
          <w:vertAlign w:val="subscript"/>
        </w:rPr>
        <w:t>AL</w:t>
      </w:r>
      <w:r w:rsidR="00195417">
        <w:rPr>
          <w:bCs/>
          <w:iCs/>
        </w:rPr>
        <w:t>)</w:t>
      </w:r>
      <w:r w:rsidR="00A551A2">
        <w:rPr>
          <w:bCs/>
          <w:iCs/>
          <w:vertAlign w:val="subscript"/>
        </w:rPr>
        <w:t xml:space="preserve"> </w:t>
      </w:r>
      <w:r w:rsidR="00F1582B">
        <w:rPr>
          <w:bCs/>
          <w:iCs/>
        </w:rPr>
        <w:t xml:space="preserve">were analysed using this model to best determine </w:t>
      </w:r>
      <w:r w:rsidR="00195417">
        <w:rPr>
          <w:bCs/>
          <w:iCs/>
        </w:rPr>
        <w:t>(</w:t>
      </w:r>
      <w:r w:rsidR="00F1582B">
        <w:rPr>
          <w:bCs/>
          <w:iCs/>
        </w:rPr>
        <w:t>∆</w:t>
      </w:r>
      <w:r w:rsidR="00F1582B" w:rsidRPr="000E6500">
        <w:rPr>
          <w:bCs/>
          <w:i/>
          <w:iCs/>
        </w:rPr>
        <w:t>G</w:t>
      </w:r>
      <w:r w:rsidR="00195417">
        <w:rPr>
          <w:bCs/>
          <w:i/>
          <w:iCs/>
        </w:rPr>
        <w:t>)</w:t>
      </w:r>
      <w:r w:rsidR="00F1582B">
        <w:rPr>
          <w:bCs/>
          <w:iCs/>
        </w:rPr>
        <w:t xml:space="preserve">, </w:t>
      </w:r>
      <w:r w:rsidR="00195417">
        <w:rPr>
          <w:bCs/>
          <w:iCs/>
        </w:rPr>
        <w:t>(</w:t>
      </w:r>
      <w:r w:rsidR="00F1582B">
        <w:rPr>
          <w:bCs/>
          <w:iCs/>
        </w:rPr>
        <w:t>∆</w:t>
      </w:r>
      <w:r w:rsidR="00F1582B" w:rsidRPr="000E6500">
        <w:rPr>
          <w:bCs/>
          <w:i/>
          <w:iCs/>
        </w:rPr>
        <w:t>g</w:t>
      </w:r>
      <w:r w:rsidR="00195417" w:rsidRPr="00195417">
        <w:rPr>
          <w:bCs/>
          <w:iCs/>
        </w:rPr>
        <w:t>)</w:t>
      </w:r>
      <w:r w:rsidR="00F1582B">
        <w:rPr>
          <w:bCs/>
          <w:iCs/>
        </w:rPr>
        <w:t xml:space="preserve">, the intrinsic binding enthalpy </w:t>
      </w:r>
      <w:r w:rsidR="00195417">
        <w:rPr>
          <w:bCs/>
          <w:iCs/>
        </w:rPr>
        <w:t>(</w:t>
      </w:r>
      <w:r w:rsidR="00F1582B">
        <w:rPr>
          <w:bCs/>
          <w:iCs/>
        </w:rPr>
        <w:t>∆</w:t>
      </w:r>
      <w:r w:rsidR="00F1582B" w:rsidRPr="000E6500">
        <w:rPr>
          <w:bCs/>
          <w:i/>
          <w:iCs/>
        </w:rPr>
        <w:t>H</w:t>
      </w:r>
      <w:r w:rsidR="00195417">
        <w:rPr>
          <w:bCs/>
          <w:iCs/>
        </w:rPr>
        <w:t>)</w:t>
      </w:r>
      <w:r w:rsidR="00F1582B">
        <w:rPr>
          <w:bCs/>
          <w:iCs/>
        </w:rPr>
        <w:t xml:space="preserve"> and the enthalpy of cooperativity </w:t>
      </w:r>
      <w:r w:rsidR="00195417">
        <w:rPr>
          <w:bCs/>
          <w:iCs/>
        </w:rPr>
        <w:t>(</w:t>
      </w:r>
      <w:r w:rsidR="00F1582B">
        <w:rPr>
          <w:bCs/>
          <w:iCs/>
        </w:rPr>
        <w:t>∆</w:t>
      </w:r>
      <w:r w:rsidR="00F1582B" w:rsidRPr="000E6500">
        <w:rPr>
          <w:bCs/>
          <w:i/>
          <w:iCs/>
        </w:rPr>
        <w:t>h</w:t>
      </w:r>
      <w:r w:rsidR="00195417">
        <w:rPr>
          <w:bCs/>
          <w:iCs/>
        </w:rPr>
        <w:t>)</w:t>
      </w:r>
      <w:r w:rsidR="00F1582B">
        <w:rPr>
          <w:bCs/>
          <w:iCs/>
        </w:rPr>
        <w:t>. According to this model, the binding constant between a subunit and G</w:t>
      </w:r>
      <w:r w:rsidR="00F1582B" w:rsidRPr="00B070E0">
        <w:rPr>
          <w:bCs/>
          <w:iCs/>
          <w:vertAlign w:val="subscript"/>
        </w:rPr>
        <w:t>M1</w:t>
      </w:r>
      <w:r w:rsidR="00F1582B">
        <w:rPr>
          <w:bCs/>
          <w:iCs/>
        </w:rPr>
        <w:t>, was 1.05×10</w:t>
      </w:r>
      <w:r w:rsidR="00F1582B">
        <w:rPr>
          <w:bCs/>
          <w:iCs/>
          <w:vertAlign w:val="superscript"/>
        </w:rPr>
        <w:t>6</w:t>
      </w:r>
      <w:r w:rsidR="00F1582B">
        <w:rPr>
          <w:bCs/>
          <w:iCs/>
        </w:rPr>
        <w:t xml:space="preserve"> M and this increases by a factor of four if an adjacent binding site is occupied.</w:t>
      </w:r>
    </w:p>
    <w:p w:rsidR="007D4A3C" w:rsidRDefault="007D4A3C" w:rsidP="00217116">
      <w:pPr>
        <w:spacing w:line="480" w:lineRule="auto"/>
        <w:jc w:val="both"/>
        <w:rPr>
          <w:bCs/>
          <w:iCs/>
        </w:rPr>
      </w:pPr>
    </w:p>
    <w:p w:rsidR="0060444A" w:rsidRDefault="0060444A" w:rsidP="00217116">
      <w:pPr>
        <w:spacing w:line="480" w:lineRule="auto"/>
        <w:jc w:val="both"/>
        <w:rPr>
          <w:bCs/>
          <w:iCs/>
        </w:rPr>
      </w:pPr>
    </w:p>
    <w:p w:rsidR="0060444A" w:rsidRPr="00333328" w:rsidRDefault="0060444A" w:rsidP="0060444A">
      <w:pPr>
        <w:pStyle w:val="Heading2"/>
        <w:jc w:val="both"/>
      </w:pPr>
      <w:bookmarkStart w:id="50" w:name="_Toc443987890"/>
      <w:bookmarkStart w:id="51" w:name="_Toc459130671"/>
      <w:r w:rsidRPr="00333328">
        <w:lastRenderedPageBreak/>
        <w:t>Circular Dichroism</w:t>
      </w:r>
      <w:bookmarkEnd w:id="50"/>
      <w:bookmarkEnd w:id="51"/>
    </w:p>
    <w:p w:rsidR="0060444A" w:rsidRPr="00CF000C" w:rsidRDefault="0060444A" w:rsidP="0060444A">
      <w:pPr>
        <w:jc w:val="both"/>
      </w:pPr>
    </w:p>
    <w:p w:rsidR="0060444A" w:rsidRDefault="0060444A" w:rsidP="0060444A">
      <w:pPr>
        <w:spacing w:line="480" w:lineRule="auto"/>
        <w:jc w:val="both"/>
        <w:rPr>
          <w:bCs/>
          <w:iCs/>
        </w:rPr>
      </w:pPr>
      <w:r w:rsidRPr="0092027A">
        <w:rPr>
          <w:bCs/>
          <w:iCs/>
        </w:rPr>
        <w:t>Circular Dichroism is technique suitable for determining biological macromolecule structural changes. These biological macromolecules include both proteins and chiral ligands. Chirality is a requirement for CD spectroscopy as it measures the difference between left and right polarised light. Since secondary structure is affected by pH, buffer, solvent and thermal changes, CD spectroscopy provides useful information for providing a mechanistic rational for thermodynamic and kinetic data from other studies such as</w:t>
      </w:r>
      <w:r>
        <w:rPr>
          <w:bCs/>
          <w:iCs/>
        </w:rPr>
        <w:t xml:space="preserve"> DSC</w:t>
      </w:r>
      <w:r w:rsidRPr="0092027A">
        <w:rPr>
          <w:bCs/>
          <w:iCs/>
        </w:rPr>
        <w:t>. In fact CD spectroscopy can provide thermodynamic information through the</w:t>
      </w:r>
      <w:r w:rsidRPr="0092027A">
        <w:rPr>
          <w:b/>
          <w:bCs/>
          <w:iCs/>
        </w:rPr>
        <w:t xml:space="preserve"> </w:t>
      </w:r>
      <w:r w:rsidR="003C6365" w:rsidRPr="0092027A">
        <w:rPr>
          <w:bCs/>
          <w:iCs/>
        </w:rPr>
        <w:t>Van’t</w:t>
      </w:r>
      <w:r w:rsidRPr="0092027A">
        <w:rPr>
          <w:bCs/>
          <w:iCs/>
        </w:rPr>
        <w:t xml:space="preserve"> Hoff equation which relates the change in the binding constant with temperature</w:t>
      </w:r>
      <w:r>
        <w:rPr>
          <w:bCs/>
          <w:iCs/>
        </w:rPr>
        <w:t xml:space="preserve"> (Equation 1.</w:t>
      </w:r>
      <w:r w:rsidR="00C65AD7">
        <w:rPr>
          <w:bCs/>
          <w:iCs/>
        </w:rPr>
        <w:t>6</w:t>
      </w:r>
      <w:r>
        <w:rPr>
          <w:bCs/>
          <w:iCs/>
        </w:rPr>
        <w:t>)</w:t>
      </w:r>
      <w:r w:rsidRPr="0092027A">
        <w:rPr>
          <w:bCs/>
          <w:iCs/>
        </w:rP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3072"/>
      </w:tblGrid>
      <w:tr w:rsidR="0060444A" w:rsidRPr="00BF5905" w:rsidTr="008643BE">
        <w:trPr>
          <w:trHeight w:val="564"/>
        </w:trPr>
        <w:tc>
          <w:tcPr>
            <w:tcW w:w="5372" w:type="dxa"/>
          </w:tcPr>
          <w:p w:rsidR="0060444A" w:rsidRPr="006E62CB" w:rsidRDefault="00040F10" w:rsidP="00C65AD7">
            <w:pPr>
              <w:spacing w:line="480" w:lineRule="auto"/>
              <w:rPr>
                <w:bCs/>
                <w:iCs/>
              </w:rPr>
            </w:pPr>
            <m:oMathPara>
              <m:oMathParaPr>
                <m:jc m:val="right"/>
              </m:oMathParaPr>
              <m:oMath>
                <m:f>
                  <m:fPr>
                    <m:ctrlPr>
                      <w:rPr>
                        <w:rFonts w:ascii="Cambria Math" w:hAnsi="Cambria Math"/>
                        <w:bCs/>
                        <w:i/>
                        <w:iCs/>
                      </w:rPr>
                    </m:ctrlPr>
                  </m:fPr>
                  <m:num>
                    <m:r>
                      <m:rPr>
                        <m:sty m:val="p"/>
                      </m:rPr>
                      <w:rPr>
                        <w:rFonts w:ascii="Cambria Math" w:hAnsi="Cambria Math"/>
                      </w:rPr>
                      <m:t>ΔIn</m:t>
                    </m:r>
                    <m:r>
                      <w:rPr>
                        <w:rFonts w:ascii="Cambria Math" w:hAnsi="Cambria Math"/>
                      </w:rPr>
                      <m:t>K</m:t>
                    </m:r>
                  </m:num>
                  <m:den>
                    <m:r>
                      <m:rPr>
                        <m:sty m:val="p"/>
                      </m:rPr>
                      <w:rPr>
                        <w:rFonts w:ascii="Cambria Math" w:hAnsi="Cambria Math"/>
                      </w:rPr>
                      <m:t>∆</m:t>
                    </m:r>
                    <m:r>
                      <w:rPr>
                        <w:rFonts w:ascii="Cambria Math" w:hAnsi="Cambria Math"/>
                      </w:rPr>
                      <m:t>T</m:t>
                    </m:r>
                  </m:den>
                </m:f>
                <m:r>
                  <w:rPr>
                    <w:rFonts w:ascii="Cambria Math" w:hAnsi="Cambria Math"/>
                  </w:rPr>
                  <m:t xml:space="preserve">= </m:t>
                </m:r>
                <m:f>
                  <m:fPr>
                    <m:ctrlPr>
                      <w:rPr>
                        <w:rFonts w:ascii="Cambria Math" w:hAnsi="Cambria Math"/>
                        <w:bCs/>
                        <w:i/>
                        <w:iCs/>
                      </w:rPr>
                    </m:ctrlPr>
                  </m:fPr>
                  <m:num>
                    <m:r>
                      <m:rPr>
                        <m:sty m:val="p"/>
                      </m:rPr>
                      <w:rPr>
                        <w:rFonts w:ascii="Cambria Math" w:hAnsi="Cambria Math"/>
                      </w:rPr>
                      <m:t>Δ</m:t>
                    </m:r>
                    <m:r>
                      <w:rPr>
                        <w:rFonts w:ascii="Cambria Math" w:hAnsi="Cambria Math"/>
                      </w:rPr>
                      <m:t>H</m:t>
                    </m:r>
                  </m:num>
                  <m:den>
                    <m:sSup>
                      <m:sSupPr>
                        <m:ctrlPr>
                          <w:rPr>
                            <w:rFonts w:ascii="Cambria Math" w:hAnsi="Cambria Math"/>
                          </w:rPr>
                        </m:ctrlPr>
                      </m:sSupPr>
                      <m:e>
                        <m:r>
                          <w:rPr>
                            <w:rFonts w:ascii="Cambria Math" w:hAnsi="Cambria Math"/>
                          </w:rPr>
                          <m:t>RT</m:t>
                        </m:r>
                      </m:e>
                      <m:sup>
                        <m:r>
                          <m:rPr>
                            <m:sty m:val="p"/>
                          </m:rPr>
                          <w:rPr>
                            <w:rFonts w:ascii="Cambria Math" w:hAnsi="Cambria Math"/>
                          </w:rPr>
                          <m:t>2</m:t>
                        </m:r>
                      </m:sup>
                    </m:sSup>
                  </m:den>
                </m:f>
              </m:oMath>
            </m:oMathPara>
          </w:p>
        </w:tc>
        <w:tc>
          <w:tcPr>
            <w:tcW w:w="3072" w:type="dxa"/>
          </w:tcPr>
          <w:p w:rsidR="0060444A" w:rsidRPr="00BF5905" w:rsidRDefault="0060444A" w:rsidP="008643BE">
            <w:pPr>
              <w:keepNext/>
              <w:spacing w:line="480" w:lineRule="auto"/>
              <w:jc w:val="right"/>
              <w:rPr>
                <w:rFonts w:eastAsiaTheme="minorEastAsia"/>
              </w:rPr>
            </w:pPr>
            <w:r>
              <w:rPr>
                <w:rFonts w:eastAsiaTheme="minorEastAsia"/>
              </w:rPr>
              <w:t>(</w:t>
            </w:r>
            <w:r>
              <w:rPr>
                <w:rFonts w:eastAsiaTheme="minorEastAsia"/>
                <w:i/>
              </w:rPr>
              <w:t>1.</w:t>
            </w:r>
            <w:r w:rsidR="00C65AD7">
              <w:rPr>
                <w:rFonts w:eastAsiaTheme="minorEastAsia"/>
                <w:i/>
              </w:rPr>
              <w:t>6</w:t>
            </w:r>
            <w:r>
              <w:rPr>
                <w:rFonts w:eastAsiaTheme="minorEastAsia"/>
              </w:rPr>
              <w:t>)</w:t>
            </w:r>
          </w:p>
        </w:tc>
      </w:tr>
    </w:tbl>
    <w:p w:rsidR="0060444A" w:rsidRPr="0092027A" w:rsidRDefault="0060444A" w:rsidP="0060444A">
      <w:pPr>
        <w:spacing w:line="480" w:lineRule="auto"/>
        <w:jc w:val="both"/>
        <w:rPr>
          <w:bCs/>
          <w:iCs/>
        </w:rPr>
      </w:pPr>
      <w:r w:rsidRPr="0092027A">
        <w:rPr>
          <w:bCs/>
          <w:iCs/>
        </w:rPr>
        <w:t>Plotting the inverse of the change in equilibrium constant against temperature as a reciprocal can be used to determine both the enthalpy and entropy of the reaction.</w:t>
      </w:r>
    </w:p>
    <w:p w:rsidR="0060444A" w:rsidRDefault="0060444A" w:rsidP="0060444A">
      <w:pPr>
        <w:spacing w:line="480" w:lineRule="auto"/>
        <w:jc w:val="both"/>
      </w:pPr>
      <w:r w:rsidRPr="0092027A">
        <w:rPr>
          <w:bCs/>
          <w:iCs/>
        </w:rPr>
        <w:t>CD spectroscopy has been used in medicine and the drug design. Protein aggregation is the cause of many neurodegenerative diseases such as Alzheimer’s disease. α-</w:t>
      </w:r>
      <w:r w:rsidRPr="0092027A">
        <w:rPr>
          <w:b/>
          <w:bCs/>
          <w:iCs/>
        </w:rPr>
        <w:t xml:space="preserve"> </w:t>
      </w:r>
      <w:r w:rsidRPr="0092027A">
        <w:rPr>
          <w:bCs/>
          <w:iCs/>
        </w:rPr>
        <w:t>synuclein is a protein abundant in the human brain and is believed to have a role in maintaining a supply of synaptic vesicles in chemical synapses.  Aggregation of this protein is suggested to be the cause of Alzheimer’s disease and furthermore, CD spectroscopy identified that the structural transformation from a random coil to a β-sheet structure could be responsible</w:t>
      </w:r>
      <w:r>
        <w:rPr>
          <w:bCs/>
          <w:iCs/>
        </w:rPr>
        <w:t>.</w:t>
      </w:r>
      <w:hyperlink w:anchor="_ENREF_142" w:tooltip="Hu, 2001 #616" w:history="1">
        <w:r w:rsidR="00512D09" w:rsidRPr="0092027A">
          <w:rPr>
            <w:bCs/>
            <w:iCs/>
          </w:rPr>
          <w:fldChar w:fldCharType="begin"/>
        </w:r>
        <w:r w:rsidR="00512D09">
          <w:rPr>
            <w:bCs/>
            <w:iCs/>
          </w:rPr>
          <w:instrText xml:space="preserve"> ADDIN EN.CITE &lt;EndNote&gt;&lt;Cite&gt;&lt;Author&gt;Hu&lt;/Author&gt;&lt;Year&gt;2001&lt;/Year&gt;&lt;RecNum&gt;616&lt;/RecNum&gt;&lt;DisplayText&gt;&lt;style face="superscript"&gt;142&lt;/style&gt;&lt;/DisplayText&gt;&lt;record&gt;&lt;rec-number&gt;616&lt;/rec-number&gt;&lt;foreign-keys&gt;&lt;key app="EN" db-id="5trrespwzsdr07efd5tx2w96x22re9s0fsdt"&gt;616&lt;/key&gt;&lt;/foreign-keys&gt;&lt;ref-type name="Journal Article"&gt;17&lt;/ref-type&gt;&lt;contributors&gt;&lt;authors&gt;&lt;author&gt;Hu, Hong-Yu&lt;/author&gt;&lt;author&gt;Li, Qi&lt;/author&gt;&lt;author&gt;Cheng, Hong-Chang&lt;/author&gt;&lt;author&gt;Du, Hai-Ning&lt;/author&gt;&lt;/authors&gt;&lt;/contributors&gt;&lt;titles&gt;&lt;title&gt;β-Sheet structure formation of proteins in solid state as revealed by circular dichroism spectroscopy&lt;/title&gt;&lt;secondary-title&gt;Biopolymers&lt;/secondary-title&gt;&lt;/titles&gt;&lt;periodical&gt;&lt;full-title&gt;Biopolymers&lt;/full-title&gt;&lt;/periodical&gt;&lt;pages&gt;15-21&lt;/pages&gt;&lt;volume&gt;62&lt;/volume&gt;&lt;number&gt;1&lt;/number&gt;&lt;keywords&gt;&lt;keyword&gt;circular dichroism&lt;/keyword&gt;&lt;keyword&gt;solid state&lt;/keyword&gt;&lt;keyword&gt;β sheet&lt;/keyword&gt;&lt;keyword&gt;α-synuclein&lt;/keyword&gt;&lt;/keywords&gt;&lt;dates&gt;&lt;year&gt;2001&lt;/year&gt;&lt;/dates&gt;&lt;publisher&gt;John Wiley &amp;amp; Sons, Inc.&lt;/publisher&gt;&lt;isbn&gt;1097-0282&lt;/isbn&gt;&lt;urls&gt;&lt;related-urls&gt;&lt;url&gt;http://dx.doi.org/10.1002/1097-0282(2001)62:1&amp;lt;15::AID-BIP30&amp;gt;3.0.CO;2-J&lt;/url&gt;&lt;/related-urls&gt;&lt;/urls&gt;&lt;electronic-resource-num&gt;10.1002/1097-0282(2001)62:1&amp;lt;15::aid-bip30&amp;gt;3.0.co;2-j&lt;/electronic-resource-num&gt;&lt;/record&gt;&lt;/Cite&gt;&lt;/EndNote&gt;</w:instrText>
        </w:r>
        <w:r w:rsidR="00512D09" w:rsidRPr="0092027A">
          <w:rPr>
            <w:bCs/>
            <w:iCs/>
          </w:rPr>
          <w:fldChar w:fldCharType="separate"/>
        </w:r>
        <w:r w:rsidR="00512D09" w:rsidRPr="00F80CAD">
          <w:rPr>
            <w:bCs/>
            <w:iCs/>
            <w:noProof/>
            <w:vertAlign w:val="superscript"/>
          </w:rPr>
          <w:t>142</w:t>
        </w:r>
        <w:r w:rsidR="00512D09" w:rsidRPr="0092027A">
          <w:rPr>
            <w:bCs/>
            <w:iCs/>
          </w:rPr>
          <w:fldChar w:fldCharType="end"/>
        </w:r>
      </w:hyperlink>
      <w:r w:rsidRPr="0092027A">
        <w:rPr>
          <w:bCs/>
          <w:iCs/>
        </w:rPr>
        <w:t xml:space="preserve"> CD spectra of therapeutic antibodies showed that some local disulphide conformations are perturbed by lyophilisation. This provided a mechanistic rationale for the drop in therapeutic efficacy</w:t>
      </w:r>
      <w:r>
        <w:rPr>
          <w:bCs/>
          <w:iCs/>
        </w:rPr>
        <w:t>.</w:t>
      </w:r>
      <w:hyperlink w:anchor="_ENREF_143" w:tooltip="Taschner, 2001 #617" w:history="1">
        <w:r w:rsidR="00512D09" w:rsidRPr="0092027A">
          <w:rPr>
            <w:bCs/>
            <w:iCs/>
          </w:rPr>
          <w:fldChar w:fldCharType="begin">
            <w:fldData xml:space="preserve">PEVuZE5vdGU+PENpdGU+PEF1dGhvcj5UYXNjaG5lcjwvQXV0aG9yPjxZZWFyPjIwMDE8L1llYXI+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</w:fldData>
          </w:fldChar>
        </w:r>
        <w:r w:rsidR="00512D09">
          <w:rPr>
            <w:bCs/>
            <w:iCs/>
          </w:rPr>
          <w:instrText xml:space="preserve"> ADDIN EN.CITE </w:instrText>
        </w:r>
        <w:r w:rsidR="00512D09">
          <w:rPr>
            <w:bCs/>
            <w:iCs/>
          </w:rPr>
          <w:fldChar w:fldCharType="begin">
            <w:fldData xml:space="preserve">PEVuZE5vdGU+PENpdGU+PEF1dGhvcj5UYXNjaG5lcjwvQXV0aG9yPjxZZWFyPjIwMDE8L1llYXI+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</w:fldData>
          </w:fldChar>
        </w:r>
        <w:r w:rsidR="00512D09">
          <w:rPr>
            <w:bCs/>
            <w:iCs/>
          </w:rPr>
          <w:instrText xml:space="preserve"> ADDIN EN.CITE.DATA </w:instrText>
        </w:r>
        <w:r w:rsidR="00512D09">
          <w:rPr>
            <w:bCs/>
            <w:iCs/>
          </w:rPr>
        </w:r>
        <w:r w:rsidR="00512D09">
          <w:rPr>
            <w:bCs/>
            <w:iCs/>
          </w:rPr>
          <w:fldChar w:fldCharType="end"/>
        </w:r>
        <w:r w:rsidR="00512D09" w:rsidRPr="0092027A">
          <w:rPr>
            <w:bCs/>
            <w:iCs/>
          </w:rPr>
        </w:r>
        <w:r w:rsidR="00512D09" w:rsidRPr="0092027A">
          <w:rPr>
            <w:bCs/>
            <w:iCs/>
          </w:rPr>
          <w:fldChar w:fldCharType="separate"/>
        </w:r>
        <w:r w:rsidR="00512D09" w:rsidRPr="00F80CAD">
          <w:rPr>
            <w:bCs/>
            <w:iCs/>
            <w:noProof/>
            <w:vertAlign w:val="superscript"/>
          </w:rPr>
          <w:t>143</w:t>
        </w:r>
        <w:r w:rsidR="00512D09" w:rsidRPr="0092027A">
          <w:rPr>
            <w:bCs/>
            <w:iCs/>
          </w:rPr>
          <w:fldChar w:fldCharType="end"/>
        </w:r>
      </w:hyperlink>
    </w:p>
    <w:p w:rsidR="007D44F7" w:rsidRDefault="007D44F7" w:rsidP="00217116">
      <w:pPr>
        <w:spacing w:line="480" w:lineRule="auto"/>
        <w:jc w:val="both"/>
        <w:rPr>
          <w:bCs/>
          <w:iCs/>
        </w:rPr>
      </w:pPr>
    </w:p>
    <w:p w:rsidR="002E4790" w:rsidRPr="00333328" w:rsidRDefault="00A316E2" w:rsidP="00333328">
      <w:pPr>
        <w:pStyle w:val="Heading2"/>
      </w:pPr>
      <w:bookmarkStart w:id="52" w:name="_Toc459130672"/>
      <w:r w:rsidRPr="00333328">
        <w:lastRenderedPageBreak/>
        <w:t>Focus of Work in this T</w:t>
      </w:r>
      <w:r w:rsidR="003C0BEB" w:rsidRPr="00333328">
        <w:t>hesis</w:t>
      </w:r>
      <w:bookmarkEnd w:id="52"/>
      <w:r w:rsidR="003C0BEB" w:rsidRPr="00333328">
        <w:t xml:space="preserve"> </w:t>
      </w:r>
    </w:p>
    <w:p w:rsidR="00CF000C" w:rsidRDefault="00CF000C" w:rsidP="00CF000C"/>
    <w:p w:rsidR="003B4FF8" w:rsidRPr="003B4FF8" w:rsidRDefault="00F7730B" w:rsidP="007D44F7">
      <w:pPr>
        <w:spacing w:line="480" w:lineRule="auto"/>
        <w:jc w:val="both"/>
        <w:rPr>
          <w:bCs/>
          <w:iCs/>
        </w:rPr>
      </w:pPr>
      <w:r>
        <w:t xml:space="preserve">Binding cooperativity is a phenomena routinely used to describe non-sigmoidal binding isotherms identified by ITC. </w:t>
      </w:r>
      <w:r w:rsidR="00DF2C1D">
        <w:t xml:space="preserve">Positive cooperativity is </w:t>
      </w:r>
      <w:r w:rsidR="00E360FD">
        <w:t xml:space="preserve">typically </w:t>
      </w:r>
      <w:r w:rsidR="00DF2C1D">
        <w:t>identified a</w:t>
      </w:r>
      <w:r w:rsidR="00FD798B">
        <w:t>s a bell shaped binding isotherm with an</w:t>
      </w:r>
      <w:r w:rsidR="00E360FD">
        <w:t xml:space="preserve"> increasingly exothermic </w:t>
      </w:r>
      <w:r w:rsidR="004E40DD">
        <w:rPr>
          <w:bCs/>
          <w:iCs/>
        </w:rPr>
        <w:t>enthalpy</w:t>
      </w:r>
      <w:r w:rsidR="00FD798B">
        <w:rPr>
          <w:bCs/>
          <w:i/>
          <w:iCs/>
        </w:rPr>
        <w:t xml:space="preserve"> </w:t>
      </w:r>
      <w:r w:rsidR="00FD798B">
        <w:rPr>
          <w:bCs/>
          <w:iCs/>
        </w:rPr>
        <w:t>at low molar ratios</w:t>
      </w:r>
      <w:r w:rsidR="00E360FD">
        <w:rPr>
          <w:bCs/>
          <w:iCs/>
        </w:rPr>
        <w:t xml:space="preserve">. </w:t>
      </w:r>
      <w:r w:rsidR="0075172E" w:rsidRPr="009472A3">
        <w:rPr>
          <w:bCs/>
          <w:iCs/>
        </w:rPr>
        <w:fldChar w:fldCharType="begin">
          <w:fldData xml:space="preserve">PEVuZE5vdGU+PENpdGU+PEF1dGhvcj5Qb25jZXQtTGVncmFuZDwvQXV0aG9yPjxZZWFyPjIwMDc8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</w:fldData>
        </w:fldChar>
      </w:r>
      <w:r w:rsidR="00F80CAD">
        <w:rPr>
          <w:bCs/>
          <w:iCs/>
        </w:rPr>
        <w:instrText xml:space="preserve"> ADDIN EN.CITE </w:instrText>
      </w:r>
      <w:r w:rsidR="0075172E">
        <w:rPr>
          <w:bCs/>
          <w:iCs/>
        </w:rPr>
        <w:fldChar w:fldCharType="begin">
          <w:fldData xml:space="preserve">PEVuZE5vdGU+PENpdGU+PEF1dGhvcj5Qb25jZXQtTGVncmFuZDwvQXV0aG9yPjxZZWFyPjIwMDc8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</w:fldData>
        </w:fldChar>
      </w:r>
      <w:r w:rsidR="00F80CAD">
        <w:rPr>
          <w:bCs/>
          <w:iCs/>
        </w:rPr>
        <w:instrText xml:space="preserve"> ADDIN EN.CITE.DATA </w:instrText>
      </w:r>
      <w:r w:rsidR="0075172E">
        <w:rPr>
          <w:bCs/>
          <w:iCs/>
        </w:rPr>
      </w:r>
      <w:r w:rsidR="0075172E">
        <w:rPr>
          <w:bCs/>
          <w:iCs/>
        </w:rPr>
        <w:fldChar w:fldCharType="end"/>
      </w:r>
      <w:r w:rsidR="0075172E" w:rsidRPr="009472A3">
        <w:rPr>
          <w:bCs/>
          <w:iCs/>
        </w:rPr>
      </w:r>
      <w:r w:rsidR="0075172E" w:rsidRPr="009472A3">
        <w:rPr>
          <w:bCs/>
          <w:iCs/>
        </w:rPr>
        <w:fldChar w:fldCharType="separate"/>
      </w:r>
      <w:hyperlink w:anchor="_ENREF_144" w:tooltip="Poncet-Legrand, 2007 #425" w:history="1">
        <w:r w:rsidR="00512D09" w:rsidRPr="00F80CAD">
          <w:rPr>
            <w:bCs/>
            <w:iCs/>
            <w:noProof/>
            <w:vertAlign w:val="superscript"/>
          </w:rPr>
          <w:t>144</w:t>
        </w:r>
      </w:hyperlink>
      <w:r w:rsidR="00F80CAD" w:rsidRPr="00F80CAD">
        <w:rPr>
          <w:bCs/>
          <w:iCs/>
          <w:noProof/>
          <w:vertAlign w:val="superscript"/>
        </w:rPr>
        <w:t>,</w:t>
      </w:r>
      <w:hyperlink w:anchor="_ENREF_145" w:tooltip="Prigent, 2009 #450" w:history="1">
        <w:r w:rsidR="00512D09" w:rsidRPr="00F80CAD">
          <w:rPr>
            <w:bCs/>
            <w:iCs/>
            <w:noProof/>
            <w:vertAlign w:val="superscript"/>
          </w:rPr>
          <w:t>145</w:t>
        </w:r>
      </w:hyperlink>
      <w:r w:rsidR="0075172E" w:rsidRPr="009472A3">
        <w:rPr>
          <w:iCs/>
        </w:rPr>
        <w:fldChar w:fldCharType="end"/>
      </w:r>
      <w:r w:rsidR="000A36EE">
        <w:rPr>
          <w:iCs/>
        </w:rPr>
        <w:t xml:space="preserve"> </w:t>
      </w:r>
      <w:r w:rsidR="003C6365">
        <w:rPr>
          <w:iCs/>
        </w:rPr>
        <w:t xml:space="preserve">In the case of polyphenols, </w:t>
      </w:r>
      <w:r w:rsidR="00F41947">
        <w:rPr>
          <w:iCs/>
        </w:rPr>
        <w:t xml:space="preserve">Poncet-Legrand </w:t>
      </w:r>
      <w:r w:rsidR="002D4FF8">
        <w:rPr>
          <w:i/>
          <w:iCs/>
        </w:rPr>
        <w:t xml:space="preserve">et al. </w:t>
      </w:r>
      <w:r w:rsidR="00287BD1">
        <w:rPr>
          <w:iCs/>
        </w:rPr>
        <w:t xml:space="preserve">suggested that the initial increase in </w:t>
      </w:r>
      <w:r w:rsidR="004E40DD">
        <w:rPr>
          <w:bCs/>
          <w:iCs/>
        </w:rPr>
        <w:t>enthalpy</w:t>
      </w:r>
      <w:r w:rsidR="00287BD1">
        <w:rPr>
          <w:bCs/>
          <w:i/>
          <w:iCs/>
        </w:rPr>
        <w:t xml:space="preserve"> </w:t>
      </w:r>
      <w:r w:rsidR="00287BD1">
        <w:rPr>
          <w:bCs/>
          <w:iCs/>
        </w:rPr>
        <w:t xml:space="preserve">at low molar ratios was due to the bound tannin having a favourable effect on the next binding interaction. The mechanism was further elaborated by Frazier </w:t>
      </w:r>
      <w:r w:rsidR="00287BD1" w:rsidRPr="00287BD1">
        <w:rPr>
          <w:bCs/>
          <w:i/>
          <w:iCs/>
        </w:rPr>
        <w:t>et al</w:t>
      </w:r>
      <w:r w:rsidR="00287BD1">
        <w:rPr>
          <w:bCs/>
          <w:iCs/>
        </w:rPr>
        <w:t>. who suggested the cause maybe due to tannin-protein crosslinking</w:t>
      </w:r>
      <w:r w:rsidR="004E40DD">
        <w:rPr>
          <w:bCs/>
          <w:iCs/>
        </w:rPr>
        <w:t>, a process where tannin bound to a macromolecule binds other free macromolecules in solution</w:t>
      </w:r>
      <w:r w:rsidR="00287BD1">
        <w:rPr>
          <w:bCs/>
          <w:iCs/>
        </w:rPr>
        <w:t>.</w:t>
      </w:r>
      <w:hyperlink w:anchor="_ENREF_146" w:tooltip="Frazier, 2003 #407" w:history="1">
        <w:r w:rsidR="00512D09">
          <w:rPr>
            <w:bCs/>
            <w:iCs/>
          </w:rPr>
          <w:fldChar w:fldCharType="begin"/>
        </w:r>
        <w:r w:rsidR="00512D09">
          <w:rPr>
            <w:bCs/>
            <w:iCs/>
          </w:rPr>
          <w:instrText xml:space="preserve"> ADDIN EN.CITE &lt;EndNote&gt;&lt;Cite&gt;&lt;Author&gt;Frazier&lt;/Author&gt;&lt;Year&gt;2003&lt;/Year&gt;&lt;RecNum&gt;407&lt;/RecNum&gt;&lt;DisplayText&gt;&lt;style face="superscript"&gt;146&lt;/style&gt;&lt;/DisplayText&gt;&lt;record&gt;&lt;rec-number&gt;407&lt;/rec-number&gt;&lt;foreign-keys&gt;&lt;key app="EN" db-id="5trrespwzsdr07efd5tx2w96x22re9s0fsdt"&gt;407&lt;/key&gt;&lt;/foreign-keys&gt;&lt;ref-type name="Journal Article"&gt;17&lt;/ref-type&gt;&lt;contributors&gt;&lt;authors&gt;&lt;author&gt;Frazier, Richard A.&lt;/author&gt;&lt;author&gt;Papadopoulou, Athina&lt;/author&gt;&lt;author&gt;Mueller-Harvey, Irene&lt;/author&gt;&lt;author&gt;Kissoon, Dawn&lt;/author&gt;&lt;author&gt;Green, Rebecca J.&lt;/author&gt;&lt;/authors&gt;&lt;/contributors&gt;&lt;titles&gt;&lt;title&gt;Probing Protein−Tannin Interactions by Isothermal Titration Microcalorimetry&lt;/title&gt;&lt;secondary-title&gt;Journal of Agricultural and Food Chemistry&lt;/secondary-title&gt;&lt;/titles&gt;&lt;periodical&gt;&lt;full-title&gt;Journal of Agricultural and Food Chemistry&lt;/full-title&gt;&lt;/periodical&gt;&lt;pages&gt;5189-5195&lt;/pages&gt;&lt;volume&gt;51&lt;/volume&gt;&lt;number&gt;18&lt;/number&gt;&lt;dates&gt;&lt;year&gt;2003&lt;/year&gt;&lt;pub-dates&gt;&lt;date&gt;2003/08/01&lt;/date&gt;&lt;/pub-dates&gt;&lt;/dates&gt;&lt;publisher&gt;American Chemical Society&lt;/publisher&gt;&lt;isbn&gt;0021-8561&lt;/isbn&gt;&lt;urls&gt;&lt;related-urls&gt;&lt;url&gt;http://dx.doi.org/10.1021/jf021179v&lt;/url&gt;&lt;/related-urls&gt;&lt;/urls&gt;&lt;electronic-resource-num&gt;10.1021/jf021179v&lt;/electronic-resource-num&gt;&lt;access-date&gt;2014/09/19&lt;/access-date&gt;&lt;/record&gt;&lt;/Cite&gt;&lt;/EndNote&gt;</w:instrText>
        </w:r>
        <w:r w:rsidR="00512D09">
          <w:rPr>
            <w:bCs/>
            <w:iCs/>
          </w:rPr>
          <w:fldChar w:fldCharType="separate"/>
        </w:r>
        <w:r w:rsidR="00512D09" w:rsidRPr="00F80CAD">
          <w:rPr>
            <w:bCs/>
            <w:iCs/>
            <w:noProof/>
            <w:vertAlign w:val="superscript"/>
          </w:rPr>
          <w:t>146</w:t>
        </w:r>
        <w:r w:rsidR="00512D09">
          <w:rPr>
            <w:bCs/>
            <w:iCs/>
          </w:rPr>
          <w:fldChar w:fldCharType="end"/>
        </w:r>
      </w:hyperlink>
      <w:r w:rsidR="007D4A3C">
        <w:rPr>
          <w:bCs/>
          <w:iCs/>
        </w:rPr>
        <w:t xml:space="preserve"> </w:t>
      </w:r>
      <w:r w:rsidR="007D4A3C" w:rsidRPr="00B95E9A">
        <w:rPr>
          <w:bCs/>
          <w:iCs/>
        </w:rPr>
        <w:t xml:space="preserve">Additionally, Pascal </w:t>
      </w:r>
      <w:r w:rsidR="007D4A3C" w:rsidRPr="00945360">
        <w:rPr>
          <w:bCs/>
          <w:i/>
          <w:iCs/>
        </w:rPr>
        <w:t>et al</w:t>
      </w:r>
      <w:r w:rsidR="002D4FF8">
        <w:rPr>
          <w:bCs/>
          <w:i/>
          <w:iCs/>
        </w:rPr>
        <w:t>.</w:t>
      </w:r>
      <w:r w:rsidR="007D4A3C">
        <w:rPr>
          <w:bCs/>
          <w:iCs/>
        </w:rPr>
        <w:t xml:space="preserve"> </w:t>
      </w:r>
      <w:r w:rsidR="007D4A3C" w:rsidRPr="00B95E9A">
        <w:rPr>
          <w:bCs/>
          <w:iCs/>
        </w:rPr>
        <w:t>reported a bell shaped binding curve for the interaction between epigallocatechin gallate  and a human salivary proline rich peptide</w:t>
      </w:r>
      <w:r w:rsidR="007D4A3C">
        <w:rPr>
          <w:bCs/>
          <w:iCs/>
        </w:rPr>
        <w:t>.</w:t>
      </w:r>
      <w:hyperlink w:anchor="_ENREF_147" w:tooltip="Pascal, 2007 #411" w:history="1">
        <w:r w:rsidR="00512D09" w:rsidRPr="00B95E9A">
          <w:rPr>
            <w:bCs/>
            <w:iCs/>
          </w:rPr>
          <w:fldChar w:fldCharType="begin"/>
        </w:r>
        <w:r w:rsidR="00512D09">
          <w:rPr>
            <w:bCs/>
            <w:iCs/>
          </w:rPr>
          <w:instrText xml:space="preserve"> ADDIN EN.CITE &lt;EndNote&gt;&lt;Cite&gt;&lt;Author&gt;Pascal&lt;/Author&gt;&lt;Year&gt;2007&lt;/Year&gt;&lt;RecNum&gt;411&lt;/RecNum&gt;&lt;DisplayText&gt;&lt;style face="superscript"&gt;147&lt;/style&gt;&lt;/DisplayText&gt;&lt;record&gt;&lt;rec-number&gt;411&lt;/rec-number&gt;&lt;foreign-keys&gt;&lt;key app="EN" db-id="5trrespwzsdr07efd5tx2w96x22re9s0fsdt"&gt;411&lt;/key&gt;&lt;/foreign-keys&gt;&lt;ref-type name="Journal Article"&gt;17&lt;/ref-type&gt;&lt;contributors&gt;&lt;authors&gt;&lt;author&gt;Pascal, Christine&lt;/author&gt;&lt;author&gt;Poncet-Legrand, Céline&lt;/author&gt;&lt;author&gt;Imberty, Anne&lt;/author&gt;&lt;author&gt;Gautier, Catherine&lt;/author&gt;&lt;author&gt;Sarni-Manchado, Pascale&lt;/author&gt;&lt;author&gt;Cheynier, Véronique&lt;/author&gt;&lt;author&gt;Vernhet, Aude&lt;/author&gt;&lt;/authors&gt;&lt;/contributors&gt;&lt;titles&gt;&lt;title&gt;Interactions between a Non Glycosylated Human Proline-Rich Protein and Flavan-3-ols Are Affected by Protein Concentration and Polyphenol/Protein Ratio&lt;/title&gt;&lt;secondary-title&gt;Journal of Agricultural and Food Chemistry&lt;/secondary-title&gt;&lt;/titles&gt;&lt;periodical&gt;&lt;full-title&gt;Journal of Agricultural and Food Chemistry&lt;/full-title&gt;&lt;/periodical&gt;&lt;pages&gt;4895-4901&lt;/pages&gt;&lt;volume&gt;55&lt;/volume&gt;&lt;number&gt;12&lt;/number&gt;&lt;dates&gt;&lt;year&gt;2007&lt;/year&gt;&lt;pub-dates&gt;&lt;date&gt;2007/06/01&lt;/date&gt;&lt;/pub-dates&gt;&lt;/dates&gt;&lt;publisher&gt;American Chemical Society&lt;/publisher&gt;&lt;isbn&gt;0021-8561&lt;/isbn&gt;&lt;urls&gt;&lt;related-urls&gt;&lt;url&gt;http://dx.doi.org/10.1021/jf0704108&lt;/url&gt;&lt;/related-urls&gt;&lt;/urls&gt;&lt;electronic-resource-num&gt;10.1021/jf0704108&lt;/electronic-resource-num&gt;&lt;access-date&gt;2014/10/07&lt;/access-date&gt;&lt;/record&gt;&lt;/Cite&gt;&lt;/EndNote&gt;</w:instrText>
        </w:r>
        <w:r w:rsidR="00512D09" w:rsidRPr="00B95E9A">
          <w:rPr>
            <w:bCs/>
            <w:iCs/>
          </w:rPr>
          <w:fldChar w:fldCharType="separate"/>
        </w:r>
        <w:r w:rsidR="00512D09" w:rsidRPr="00F80CAD">
          <w:rPr>
            <w:bCs/>
            <w:iCs/>
            <w:noProof/>
            <w:vertAlign w:val="superscript"/>
          </w:rPr>
          <w:t>147</w:t>
        </w:r>
        <w:r w:rsidR="00512D09" w:rsidRPr="00B95E9A">
          <w:rPr>
            <w:bCs/>
            <w:iCs/>
          </w:rPr>
          <w:fldChar w:fldCharType="end"/>
        </w:r>
      </w:hyperlink>
      <w:r w:rsidR="007D4A3C" w:rsidRPr="00B95E9A">
        <w:rPr>
          <w:bCs/>
          <w:iCs/>
        </w:rPr>
        <w:t xml:space="preserve"> The tannin-peptide molar ratios corresponded to metastable colloids detected via dynamic light scattering leading the</w:t>
      </w:r>
      <w:r w:rsidR="004E40DD">
        <w:rPr>
          <w:bCs/>
          <w:iCs/>
        </w:rPr>
        <w:t xml:space="preserve"> authors to suggest aggregation, a process where tannin-macromolecule complexes associate into larger complexes, </w:t>
      </w:r>
      <w:r w:rsidR="007D4A3C" w:rsidRPr="00B95E9A">
        <w:rPr>
          <w:bCs/>
          <w:iCs/>
        </w:rPr>
        <w:t>was occurring in the ITC study</w:t>
      </w:r>
      <w:r w:rsidR="007D4A3C">
        <w:rPr>
          <w:bCs/>
          <w:iCs/>
        </w:rPr>
        <w:t>.</w:t>
      </w:r>
      <w:hyperlink w:anchor="_ENREF_147" w:tooltip="Pascal, 2007 #411" w:history="1">
        <w:r w:rsidR="00512D09" w:rsidRPr="00B95E9A">
          <w:rPr>
            <w:bCs/>
            <w:iCs/>
          </w:rPr>
          <w:fldChar w:fldCharType="begin"/>
        </w:r>
        <w:r w:rsidR="00512D09">
          <w:rPr>
            <w:bCs/>
            <w:iCs/>
          </w:rPr>
          <w:instrText xml:space="preserve"> ADDIN EN.CITE &lt;EndNote&gt;&lt;Cite&gt;&lt;Author&gt;Pascal&lt;/Author&gt;&lt;Year&gt;2007&lt;/Year&gt;&lt;RecNum&gt;411&lt;/RecNum&gt;&lt;DisplayText&gt;&lt;style face="superscript"&gt;147&lt;/style&gt;&lt;/DisplayText&gt;&lt;record&gt;&lt;rec-number&gt;411&lt;/rec-number&gt;&lt;foreign-keys&gt;&lt;key app="EN" db-id="5trrespwzsdr07efd5tx2w96x22re9s0fsdt"&gt;411&lt;/key&gt;&lt;/foreign-keys&gt;&lt;ref-type name="Journal Article"&gt;17&lt;/ref-type&gt;&lt;contributors&gt;&lt;authors&gt;&lt;author&gt;Pascal, Christine&lt;/author&gt;&lt;author&gt;Poncet-Legrand, Céline&lt;/author&gt;&lt;author&gt;Imberty, Anne&lt;/author&gt;&lt;author&gt;Gautier, Catherine&lt;/author&gt;&lt;author&gt;Sarni-Manchado, Pascale&lt;/author&gt;&lt;author&gt;Cheynier, Véronique&lt;/author&gt;&lt;author&gt;Vernhet, Aude&lt;/author&gt;&lt;/authors&gt;&lt;/contributors&gt;&lt;titles&gt;&lt;title&gt;Interactions between a Non Glycosylated Human Proline-Rich Protein and Flavan-3-ols Are Affected by Protein Concentration and Polyphenol/Protein Ratio&lt;/title&gt;&lt;secondary-title&gt;Journal of Agricultural and Food Chemistry&lt;/secondary-title&gt;&lt;/titles&gt;&lt;periodical&gt;&lt;full-title&gt;Journal of Agricultural and Food Chemistry&lt;/full-title&gt;&lt;/periodical&gt;&lt;pages&gt;4895-4901&lt;/pages&gt;&lt;volume&gt;55&lt;/volume&gt;&lt;number&gt;12&lt;/number&gt;&lt;dates&gt;&lt;year&gt;2007&lt;/year&gt;&lt;pub-dates&gt;&lt;date&gt;2007/06/01&lt;/date&gt;&lt;/pub-dates&gt;&lt;/dates&gt;&lt;publisher&gt;American Chemical Society&lt;/publisher&gt;&lt;isbn&gt;0021-8561&lt;/isbn&gt;&lt;urls&gt;&lt;related-urls&gt;&lt;url&gt;http://dx.doi.org/10.1021/jf0704108&lt;/url&gt;&lt;/related-urls&gt;&lt;/urls&gt;&lt;electronic-resource-num&gt;10.1021/jf0704108&lt;/electronic-resource-num&gt;&lt;access-date&gt;2014/10/07&lt;/access-date&gt;&lt;/record&gt;&lt;/Cite&gt;&lt;/EndNote&gt;</w:instrText>
        </w:r>
        <w:r w:rsidR="00512D09" w:rsidRPr="00B95E9A">
          <w:rPr>
            <w:bCs/>
            <w:iCs/>
          </w:rPr>
          <w:fldChar w:fldCharType="separate"/>
        </w:r>
        <w:r w:rsidR="00512D09" w:rsidRPr="00F80CAD">
          <w:rPr>
            <w:bCs/>
            <w:iCs/>
            <w:noProof/>
            <w:vertAlign w:val="superscript"/>
          </w:rPr>
          <w:t>147</w:t>
        </w:r>
        <w:r w:rsidR="00512D09" w:rsidRPr="00B95E9A">
          <w:rPr>
            <w:bCs/>
            <w:iCs/>
          </w:rPr>
          <w:fldChar w:fldCharType="end"/>
        </w:r>
      </w:hyperlink>
      <w:r w:rsidR="007D4A3C" w:rsidRPr="00B95E9A">
        <w:rPr>
          <w:bCs/>
          <w:iCs/>
        </w:rPr>
        <w:t xml:space="preserve"> </w:t>
      </w:r>
      <w:r w:rsidR="005A2653">
        <w:rPr>
          <w:bCs/>
          <w:iCs/>
        </w:rPr>
        <w:t xml:space="preserve">There are differences between crosslinking and aggregation. Normally, crosslinking produces complexes with two or so macromolecules bridged by one or more tannins. This stage is prior to the aggregation stage. The aggregation state produces complexes or “aggregates” containing hundreds or so macromolecules and </w:t>
      </w:r>
      <w:r w:rsidR="00C00A86">
        <w:rPr>
          <w:bCs/>
          <w:iCs/>
        </w:rPr>
        <w:t xml:space="preserve">many more </w:t>
      </w:r>
      <w:r w:rsidR="005A2653">
        <w:rPr>
          <w:bCs/>
          <w:iCs/>
        </w:rPr>
        <w:t>tannins</w:t>
      </w:r>
      <w:r w:rsidR="00C00A86">
        <w:rPr>
          <w:bCs/>
          <w:iCs/>
        </w:rPr>
        <w:t xml:space="preserve"> (See section </w:t>
      </w:r>
      <w:r w:rsidR="0075172E">
        <w:rPr>
          <w:bCs/>
          <w:iCs/>
        </w:rPr>
        <w:fldChar w:fldCharType="begin"/>
      </w:r>
      <w:r w:rsidR="00C00A86">
        <w:rPr>
          <w:bCs/>
          <w:iCs/>
        </w:rPr>
        <w:instrText xml:space="preserve"> REF _Ref457231393 \w \h </w:instrText>
      </w:r>
      <w:r w:rsidR="0075172E">
        <w:rPr>
          <w:bCs/>
          <w:iCs/>
        </w:rPr>
      </w:r>
      <w:r w:rsidR="0075172E">
        <w:rPr>
          <w:bCs/>
          <w:iCs/>
        </w:rPr>
        <w:fldChar w:fldCharType="separate"/>
      </w:r>
      <w:r w:rsidR="00C00A86">
        <w:rPr>
          <w:bCs/>
          <w:iCs/>
        </w:rPr>
        <w:t>3.2.1</w:t>
      </w:r>
      <w:r w:rsidR="0075172E">
        <w:rPr>
          <w:bCs/>
          <w:iCs/>
        </w:rPr>
        <w:fldChar w:fldCharType="end"/>
      </w:r>
      <w:r w:rsidR="00C00A86">
        <w:rPr>
          <w:bCs/>
          <w:iCs/>
        </w:rPr>
        <w:t xml:space="preserve"> for more details)</w:t>
      </w:r>
      <w:r w:rsidR="005A2653">
        <w:rPr>
          <w:bCs/>
          <w:iCs/>
        </w:rPr>
        <w:t>.</w:t>
      </w:r>
      <w:hyperlink w:anchor="_ENREF_148" w:tooltip="Charlton, 2002 #404" w:history="1">
        <w:r w:rsidR="00512D09">
          <w:rPr>
            <w:bCs/>
            <w:iCs/>
          </w:rPr>
          <w:fldChar w:fldCharType="begin"/>
        </w:r>
        <w:r w:rsidR="00512D09">
          <w:rPr>
            <w:bCs/>
            <w:iCs/>
          </w:rPr>
          <w:instrText xml:space="preserve"> ADDIN EN.CITE &lt;EndNote&gt;&lt;Cite&gt;&lt;Author&gt;Charlton&lt;/Author&gt;&lt;Year&gt;2002&lt;/Year&gt;&lt;RecNum&gt;404&lt;/RecNum&gt;&lt;DisplayText&gt;&lt;style face="superscript"&gt;148&lt;/style&gt;&lt;/DisplayText&gt;&lt;record&gt;&lt;rec-number&gt;404&lt;/rec-number&gt;&lt;foreign-keys&gt;&lt;key app="EN" db-id="5trrespwzsdr07efd5tx2w96x22re9s0fsdt"&gt;404&lt;/key&gt;&lt;/foreign-keys&gt;&lt;ref-type name="Journal Article"&gt;17&lt;/ref-type&gt;&lt;contributors&gt;&lt;authors&gt;&lt;author&gt;Charlton, Adrian J&lt;/author&gt;&lt;author&gt;Baxter, Nicola J&lt;/author&gt;&lt;author&gt;Khan, M Lokman&lt;/author&gt;&lt;author&gt;Moir, Arthur JG&lt;/author&gt;&lt;author&gt;Haslam, Edwin&lt;/author&gt;&lt;author&gt;Davies, Alan P&lt;/author&gt;&lt;author&gt;Williamson, Michael P&lt;/author&gt;&lt;/authors&gt;&lt;/contributors&gt;&lt;titles&gt;&lt;title&gt;Polyphenol/peptide binding and precipitation&lt;/title&gt;&lt;secondary-title&gt;Journal of Agricultural and Food Chemistry&lt;/secondary-title&gt;&lt;/titles&gt;&lt;periodical&gt;&lt;full-title&gt;Journal of Agricultural and Food Chemistry&lt;/full-title&gt;&lt;/periodical&gt;&lt;pages&gt;1593-1601&lt;/pages&gt;&lt;volume&gt;50&lt;/volume&gt;&lt;number&gt;6&lt;/number&gt;&lt;dates&gt;&lt;year&gt;2002&lt;/year&gt;&lt;/dates&gt;&lt;isbn&gt;0021-8561&lt;/isbn&gt;&lt;urls&gt;&lt;/urls&gt;&lt;/record&gt;&lt;/Cite&gt;&lt;/EndNote&gt;</w:instrText>
        </w:r>
        <w:r w:rsidR="00512D09">
          <w:rPr>
            <w:bCs/>
            <w:iCs/>
          </w:rPr>
          <w:fldChar w:fldCharType="separate"/>
        </w:r>
        <w:r w:rsidR="00512D09" w:rsidRPr="00991167">
          <w:rPr>
            <w:bCs/>
            <w:iCs/>
            <w:noProof/>
            <w:vertAlign w:val="superscript"/>
          </w:rPr>
          <w:t>148</w:t>
        </w:r>
        <w:r w:rsidR="00512D09">
          <w:rPr>
            <w:bCs/>
            <w:iCs/>
          </w:rPr>
          <w:fldChar w:fldCharType="end"/>
        </w:r>
      </w:hyperlink>
      <w:r w:rsidR="005A2653">
        <w:rPr>
          <w:bCs/>
          <w:iCs/>
        </w:rPr>
        <w:t xml:space="preserve">  </w:t>
      </w:r>
      <w:r w:rsidR="00735500">
        <w:rPr>
          <w:bCs/>
          <w:iCs/>
        </w:rPr>
        <w:t xml:space="preserve">However, </w:t>
      </w:r>
      <w:r w:rsidR="00FD798B">
        <w:rPr>
          <w:bCs/>
          <w:iCs/>
        </w:rPr>
        <w:t>classifying</w:t>
      </w:r>
      <w:r w:rsidR="005A2653">
        <w:rPr>
          <w:bCs/>
          <w:iCs/>
        </w:rPr>
        <w:t xml:space="preserve"> these</w:t>
      </w:r>
      <w:r w:rsidR="00FD798B">
        <w:rPr>
          <w:bCs/>
          <w:iCs/>
        </w:rPr>
        <w:t xml:space="preserve"> binding isotherms as positively cooperative on the basis on an increasingly exothermic </w:t>
      </w:r>
      <w:r w:rsidR="004E40DD">
        <w:rPr>
          <w:bCs/>
          <w:iCs/>
        </w:rPr>
        <w:t xml:space="preserve">enthalpy </w:t>
      </w:r>
      <w:r w:rsidR="00FD798B">
        <w:rPr>
          <w:bCs/>
          <w:iCs/>
        </w:rPr>
        <w:t xml:space="preserve">at low molar ratios </w:t>
      </w:r>
      <w:r w:rsidR="004E40DD">
        <w:rPr>
          <w:bCs/>
          <w:iCs/>
        </w:rPr>
        <w:t>implies that enthalpy is equal to Gibbs free energy</w:t>
      </w:r>
      <w:r w:rsidR="004E40DD">
        <w:rPr>
          <w:bCs/>
          <w:i/>
          <w:iCs/>
        </w:rPr>
        <w:t xml:space="preserve">, </w:t>
      </w:r>
      <w:r w:rsidR="004E40DD" w:rsidRPr="004E40DD">
        <w:rPr>
          <w:bCs/>
          <w:iCs/>
        </w:rPr>
        <w:t>which</w:t>
      </w:r>
      <w:r w:rsidR="00735500">
        <w:rPr>
          <w:bCs/>
          <w:iCs/>
        </w:rPr>
        <w:t xml:space="preserve"> is not true as there could be an opposing change in </w:t>
      </w:r>
      <w:r w:rsidR="004E40DD" w:rsidRPr="004E40DD">
        <w:rPr>
          <w:bCs/>
          <w:iCs/>
        </w:rPr>
        <w:t>entropy</w:t>
      </w:r>
      <w:r w:rsidR="00735500">
        <w:rPr>
          <w:bCs/>
          <w:iCs/>
        </w:rPr>
        <w:t xml:space="preserve">. </w:t>
      </w:r>
      <w:r w:rsidR="000A36EE">
        <w:rPr>
          <w:bCs/>
          <w:iCs/>
        </w:rPr>
        <w:t>In addition to this, an example of negative cooperativity with increasingly endothermic</w:t>
      </w:r>
      <w:r w:rsidR="004E40DD">
        <w:rPr>
          <w:bCs/>
          <w:iCs/>
        </w:rPr>
        <w:t xml:space="preserve"> enthalpy </w:t>
      </w:r>
      <w:r w:rsidR="000A36EE">
        <w:rPr>
          <w:bCs/>
          <w:iCs/>
        </w:rPr>
        <w:t xml:space="preserve">at low molar ratios has yet to be identified. </w:t>
      </w:r>
    </w:p>
    <w:p w:rsidR="007D4A3C" w:rsidRDefault="004E40DD" w:rsidP="00F7730B">
      <w:pPr>
        <w:spacing w:line="480" w:lineRule="auto"/>
        <w:jc w:val="both"/>
        <w:rPr>
          <w:bCs/>
          <w:iCs/>
        </w:rPr>
      </w:pPr>
      <w:r>
        <w:rPr>
          <w:bCs/>
          <w:iCs/>
        </w:rPr>
        <w:t xml:space="preserve">Rather than suggesting that enthalpy </w:t>
      </w:r>
      <w:r w:rsidR="00E360FD" w:rsidRPr="009472A3">
        <w:rPr>
          <w:bCs/>
          <w:iCs/>
        </w:rPr>
        <w:t xml:space="preserve">is symptomatic of cooperativity, others suggest that if the affinity at site 2 is stronger than site 1 in a biphasic isotherm then that is indicative of </w:t>
      </w:r>
      <w:r w:rsidR="00E360FD" w:rsidRPr="009472A3">
        <w:rPr>
          <w:bCs/>
          <w:iCs/>
        </w:rPr>
        <w:lastRenderedPageBreak/>
        <w:t>positive cooperativity</w:t>
      </w:r>
      <w:r w:rsidR="00E360FD">
        <w:rPr>
          <w:bCs/>
          <w:iCs/>
        </w:rPr>
        <w:t>.</w:t>
      </w:r>
      <w:r w:rsidR="00E360FD" w:rsidRPr="009472A3">
        <w:rPr>
          <w:bCs/>
          <w:iCs/>
        </w:rPr>
        <w:t xml:space="preserve"> </w:t>
      </w:r>
      <w:hyperlink w:anchor="_ENREF_149" w:tooltip="Téllez‐Sanz, 2006 #432" w:history="1">
        <w:r w:rsidR="00512D09" w:rsidRPr="009472A3">
          <w:rPr>
            <w:bCs/>
            <w:iCs/>
          </w:rPr>
          <w:fldChar w:fldCharType="begin"/>
        </w:r>
        <w:r w:rsidR="00512D09">
          <w:rPr>
            <w:bCs/>
            <w:iCs/>
          </w:rPr>
          <w:instrText xml:space="preserve"> ADDIN EN.CITE &lt;EndNote&gt;&lt;Cite&gt;&lt;Author&gt;Téllez‐Sanz&lt;/Author&gt;&lt;Year&gt;2006&lt;/Year&gt;&lt;RecNum&gt;432&lt;/RecNum&gt;&lt;DisplayText&gt;&lt;style face="superscript"&gt;149&lt;/style&gt;&lt;/DisplayText&gt;&lt;record&gt;&lt;rec-number&gt;432&lt;/rec-number&gt;&lt;foreign-keys&gt;&lt;key app="EN" db-id="5trrespwzsdr07efd5tx2w96x22re9s0fsdt"&gt;432&lt;/key&gt;&lt;/foreign-keys&gt;&lt;ref-type name="Journal Article"&gt;17&lt;/ref-type&gt;&lt;contributors&gt;&lt;authors&gt;&lt;author&gt;Téllez‐Sanz, Ramiro&lt;/author&gt;&lt;author&gt;Cesareo, Eleonora&lt;/author&gt;&lt;author&gt;Nuccetelli, Marzia&lt;/author&gt;&lt;author&gt;Aguilera, Ana M&lt;/author&gt;&lt;author&gt;Barón, Carmen&lt;/author&gt;&lt;author&gt;Parker, Lorien J&lt;/author&gt;&lt;author&gt;Adams, Julian J&lt;/author&gt;&lt;author&gt;Morton, Craig J&lt;/author&gt;&lt;author&gt;Lo Bello, Mario&lt;/author&gt;&lt;author&gt;Parker, Michael W&lt;/author&gt;&lt;/authors&gt;&lt;/contributors&gt;&lt;titles&gt;&lt;title&gt;Calorimetric and structural studies of the nitric oxide carrier S‐nitrosoglutathione bound to human glutathione transferase P1‐1&lt;/title&gt;&lt;secondary-title&gt;Protein Science&lt;/secondary-title&gt;&lt;/titles&gt;&lt;periodical&gt;&lt;full-title&gt;Protein Science&lt;/full-title&gt;&lt;/periodical&gt;&lt;pages&gt;1093-1105&lt;/pages&gt;&lt;volume&gt;15&lt;/volume&gt;&lt;number&gt;5&lt;/number&gt;&lt;dates&gt;&lt;year&gt;2006&lt;/year&gt;&lt;/dates&gt;&lt;isbn&gt;1469-896X&lt;/isbn&gt;&lt;urls&gt;&lt;/urls&gt;&lt;/record&gt;&lt;/Cite&gt;&lt;/EndNote&gt;</w:instrText>
        </w:r>
        <w:r w:rsidR="00512D09" w:rsidRPr="009472A3">
          <w:rPr>
            <w:bCs/>
            <w:iCs/>
          </w:rPr>
          <w:fldChar w:fldCharType="separate"/>
        </w:r>
        <w:r w:rsidR="00512D09" w:rsidRPr="00991167">
          <w:rPr>
            <w:bCs/>
            <w:iCs/>
            <w:noProof/>
            <w:vertAlign w:val="superscript"/>
          </w:rPr>
          <w:t>149</w:t>
        </w:r>
        <w:r w:rsidR="00512D09" w:rsidRPr="009472A3">
          <w:rPr>
            <w:iCs/>
          </w:rPr>
          <w:fldChar w:fldCharType="end"/>
        </w:r>
      </w:hyperlink>
      <w:r w:rsidR="00E360FD" w:rsidRPr="009472A3">
        <w:rPr>
          <w:bCs/>
          <w:iCs/>
        </w:rPr>
        <w:t xml:space="preserve"> Negative cooperativity is the opposite of this, the affinity at site 1 is stronger than the affinity at site 2</w:t>
      </w:r>
      <w:r w:rsidR="00E360FD">
        <w:rPr>
          <w:bCs/>
          <w:iCs/>
        </w:rPr>
        <w:t>.</w:t>
      </w:r>
      <w:r w:rsidR="0075172E" w:rsidRPr="009472A3">
        <w:rPr>
          <w:bCs/>
          <w:iCs/>
        </w:rPr>
        <w:fldChar w:fldCharType="begin"/>
      </w:r>
      <w:r w:rsidR="00991167">
        <w:rPr>
          <w:bCs/>
          <w:iCs/>
        </w:rPr>
        <w:instrText xml:space="preserve"> ADDIN EN.CITE &lt;EndNote&gt;&lt;Cite&gt;&lt;Author&gt;García-Fuentes&lt;/Author&gt;&lt;Year&gt;2011&lt;/Year&gt;&lt;RecNum&gt;583&lt;/RecNum&gt;&lt;DisplayText&gt;&lt;style face="superscript"&gt;149,150&lt;/style&gt;&lt;/DisplayText&gt;&lt;record&gt;&lt;rec-number&gt;583&lt;/rec-number&gt;&lt;foreign-keys&gt;&lt;key app="EN" db-id="5trrespwzsdr07efd5tx2w96x22re9s0fsdt"&gt;583&lt;/key&gt;&lt;/foreign-keys&gt;&lt;ref-type name="Book Section"&gt;5&lt;/ref-type&gt;&lt;contributors&gt;&lt;authors&gt;&lt;author&gt;García-Fuentes, Luis&lt;/author&gt;&lt;author&gt;Barón, Carmen&lt;/author&gt;&lt;author&gt;Quesada-Soriano, Indalecio&lt;/author&gt;&lt;author&gt;Ramiro&lt;/author&gt;&lt;author&gt;Téllez-Sanz&lt;/author&gt;&lt;/authors&gt;&lt;secondary-authors&gt;&lt;author&gt;Juan, Piraján&lt;/author&gt;&lt;/secondary-authors&gt;&lt;/contributors&gt;&lt;titles&gt;&lt;title&gt;Thermodynamics of Molecular Recognition by Calorimetry&lt;/title&gt;&lt;secondary-title&gt;Thermodynamics - Physical Chemistry of Aqueous Systems&lt;/secondary-title&gt;&lt;/titles&gt;&lt;pages&gt;1-26&lt;/pages&gt;&lt;dates&gt;&lt;year&gt;2011&lt;/year&gt;&lt;/dates&gt;&lt;publisher&gt;INTECH Open Access Publisher&lt;/publisher&gt;&lt;isbn&gt;9533079797&lt;/isbn&gt;&lt;urls&gt;&lt;/urls&gt;&lt;/record&gt;&lt;/Cite&gt;&lt;Cite&gt;&lt;Author&gt;Téllez‐Sanz&lt;/Author&gt;&lt;Year&gt;2006&lt;/Year&gt;&lt;RecNum&gt;432&lt;/RecNum&gt;&lt;record&gt;&lt;rec-number&gt;432&lt;/rec-number&gt;&lt;foreign-keys&gt;&lt;key app="EN" db-id="5trrespwzsdr07efd5tx2w96x22re9s0fsdt"&gt;432&lt;/key&gt;&lt;/foreign-keys&gt;&lt;ref-type name="Journal Article"&gt;17&lt;/ref-type&gt;&lt;contributors&gt;&lt;authors&gt;&lt;author&gt;Téllez‐Sanz, Ramiro&lt;/author&gt;&lt;author&gt;Cesareo, Eleonora&lt;/author&gt;&lt;author&gt;Nuccetelli, Marzia&lt;/author&gt;&lt;author&gt;Aguilera, Ana M&lt;/author&gt;&lt;author&gt;Barón, Carmen&lt;/author&gt;&lt;author&gt;Parker, Lorien J&lt;/author&gt;&lt;author&gt;Adams, Julian J&lt;/author&gt;&lt;author&gt;Morton, Craig J&lt;/author&gt;&lt;author&gt;Lo Bello, Mario&lt;/author&gt;&lt;author&gt;Parker, Michael W&lt;/author&gt;&lt;/authors&gt;&lt;/contributors&gt;&lt;titles&gt;&lt;title&gt;Calorimetric and structural studies of the nitric oxide carrier S‐nitrosoglutathione bound to human glutathione transferase P1‐1&lt;/title&gt;&lt;secondary-title&gt;Protein Science&lt;/secondary-title&gt;&lt;/titles&gt;&lt;periodical&gt;&lt;full-title&gt;Protein Science&lt;/full-title&gt;&lt;/periodical&gt;&lt;pages&gt;1093-1105&lt;/pages&gt;&lt;volume&gt;15&lt;/volume&gt;&lt;number&gt;5&lt;/number&gt;&lt;dates&gt;&lt;year&gt;2006&lt;/year&gt;&lt;/dates&gt;&lt;isbn&gt;1469-896X&lt;/isbn&gt;&lt;urls&gt;&lt;/urls&gt;&lt;/record&gt;&lt;/Cite&gt;&lt;/EndNote&gt;</w:instrText>
      </w:r>
      <w:r w:rsidR="0075172E" w:rsidRPr="009472A3">
        <w:rPr>
          <w:bCs/>
          <w:iCs/>
        </w:rPr>
        <w:fldChar w:fldCharType="separate"/>
      </w:r>
      <w:hyperlink w:anchor="_ENREF_149" w:tooltip="Téllez‐Sanz, 2006 #432" w:history="1">
        <w:r w:rsidR="00512D09" w:rsidRPr="00991167">
          <w:rPr>
            <w:bCs/>
            <w:iCs/>
            <w:noProof/>
            <w:vertAlign w:val="superscript"/>
          </w:rPr>
          <w:t>149</w:t>
        </w:r>
      </w:hyperlink>
      <w:r w:rsidR="00991167" w:rsidRPr="00991167">
        <w:rPr>
          <w:bCs/>
          <w:iCs/>
          <w:noProof/>
          <w:vertAlign w:val="superscript"/>
        </w:rPr>
        <w:t>,</w:t>
      </w:r>
      <w:hyperlink w:anchor="_ENREF_150" w:tooltip="García-Fuentes, 2011 #583" w:history="1">
        <w:r w:rsidR="00512D09" w:rsidRPr="00991167">
          <w:rPr>
            <w:bCs/>
            <w:iCs/>
            <w:noProof/>
            <w:vertAlign w:val="superscript"/>
          </w:rPr>
          <w:t>150</w:t>
        </w:r>
      </w:hyperlink>
      <w:r w:rsidR="0075172E" w:rsidRPr="009472A3">
        <w:rPr>
          <w:iCs/>
        </w:rPr>
        <w:fldChar w:fldCharType="end"/>
      </w:r>
      <w:r w:rsidR="00E360FD">
        <w:rPr>
          <w:iCs/>
        </w:rPr>
        <w:t xml:space="preserve"> </w:t>
      </w:r>
      <w:r w:rsidR="00E360FD">
        <w:t>T</w:t>
      </w:r>
      <w:r w:rsidR="00E360FD" w:rsidRPr="009472A3">
        <w:rPr>
          <w:bCs/>
          <w:iCs/>
        </w:rPr>
        <w:t xml:space="preserve">éllez-Sanz </w:t>
      </w:r>
      <w:r w:rsidR="00E360FD" w:rsidRPr="002D4FF8">
        <w:rPr>
          <w:bCs/>
          <w:i/>
          <w:iCs/>
        </w:rPr>
        <w:t>et al</w:t>
      </w:r>
      <w:r w:rsidR="002D4FF8">
        <w:rPr>
          <w:bCs/>
          <w:iCs/>
        </w:rPr>
        <w:t>.</w:t>
      </w:r>
      <w:r w:rsidR="00E360FD" w:rsidRPr="009472A3">
        <w:rPr>
          <w:bCs/>
          <w:iCs/>
        </w:rPr>
        <w:t xml:space="preserve"> suggest conformational changes within the glutathione transferase are responsible for the positively cooperative binding of  </w:t>
      </w:r>
      <w:r w:rsidR="00E360FD" w:rsidRPr="00556992">
        <w:rPr>
          <w:bCs/>
          <w:i/>
          <w:iCs/>
        </w:rPr>
        <w:t>S</w:t>
      </w:r>
      <w:r w:rsidR="00E360FD" w:rsidRPr="009472A3">
        <w:rPr>
          <w:bCs/>
          <w:iCs/>
        </w:rPr>
        <w:t>-nitrosoglutathione meaning this idea of cooperativity is closer to the KNF and MWC models rather than Jenck’s definition</w:t>
      </w:r>
      <w:r w:rsidR="00E360FD">
        <w:rPr>
          <w:bCs/>
          <w:iCs/>
        </w:rPr>
        <w:t>.</w:t>
      </w:r>
      <w:hyperlink w:anchor="_ENREF_149" w:tooltip="Téllez‐Sanz, 2006 #432" w:history="1">
        <w:r w:rsidR="00512D09" w:rsidRPr="009472A3">
          <w:rPr>
            <w:bCs/>
            <w:iCs/>
          </w:rPr>
          <w:fldChar w:fldCharType="begin"/>
        </w:r>
        <w:r w:rsidR="00512D09">
          <w:rPr>
            <w:bCs/>
            <w:iCs/>
          </w:rPr>
          <w:instrText xml:space="preserve"> ADDIN EN.CITE &lt;EndNote&gt;&lt;Cite&gt;&lt;Author&gt;Téllez‐Sanz&lt;/Author&gt;&lt;Year&gt;2006&lt;/Year&gt;&lt;RecNum&gt;432&lt;/RecNum&gt;&lt;DisplayText&gt;&lt;style face="superscript"&gt;149&lt;/style&gt;&lt;/DisplayText&gt;&lt;record&gt;&lt;rec-number&gt;432&lt;/rec-number&gt;&lt;foreign-keys&gt;&lt;key app="EN" db-id="5trrespwzsdr07efd5tx2w96x22re9s0fsdt"&gt;432&lt;/key&gt;&lt;/foreign-keys&gt;&lt;ref-type name="Journal Article"&gt;17&lt;/ref-type&gt;&lt;contributors&gt;&lt;authors&gt;&lt;author&gt;Téllez‐Sanz, Ramiro&lt;/author&gt;&lt;author&gt;Cesareo, Eleonora&lt;/author&gt;&lt;author&gt;Nuccetelli, Marzia&lt;/author&gt;&lt;author&gt;Aguilera, Ana M&lt;/author&gt;&lt;author&gt;Barón, Carmen&lt;/author&gt;&lt;author&gt;Parker, Lorien J&lt;/author&gt;&lt;author&gt;Adams, Julian J&lt;/author&gt;&lt;author&gt;Morton, Craig J&lt;/author&gt;&lt;author&gt;Lo Bello, Mario&lt;/author&gt;&lt;author&gt;Parker, Michael W&lt;/author&gt;&lt;/authors&gt;&lt;/contributors&gt;&lt;titles&gt;&lt;title&gt;Calorimetric and structural studies of the nitric oxide carrier S‐nitrosoglutathione bound to human glutathione transferase P1‐1&lt;/title&gt;&lt;secondary-title&gt;Protein Science&lt;/secondary-title&gt;&lt;/titles&gt;&lt;periodical&gt;&lt;full-title&gt;Protein Science&lt;/full-title&gt;&lt;/periodical&gt;&lt;pages&gt;1093-1105&lt;/pages&gt;&lt;volume&gt;15&lt;/volume&gt;&lt;number&gt;5&lt;/number&gt;&lt;dates&gt;&lt;year&gt;2006&lt;/year&gt;&lt;/dates&gt;&lt;isbn&gt;1469-896X&lt;/isbn&gt;&lt;urls&gt;&lt;/urls&gt;&lt;/record&gt;&lt;/Cite&gt;&lt;/EndNote&gt;</w:instrText>
        </w:r>
        <w:r w:rsidR="00512D09" w:rsidRPr="009472A3">
          <w:rPr>
            <w:bCs/>
            <w:iCs/>
          </w:rPr>
          <w:fldChar w:fldCharType="separate"/>
        </w:r>
        <w:r w:rsidR="00512D09" w:rsidRPr="00991167">
          <w:rPr>
            <w:bCs/>
            <w:iCs/>
            <w:noProof/>
            <w:vertAlign w:val="superscript"/>
          </w:rPr>
          <w:t>149</w:t>
        </w:r>
        <w:r w:rsidR="00512D09" w:rsidRPr="009472A3">
          <w:rPr>
            <w:iCs/>
          </w:rPr>
          <w:fldChar w:fldCharType="end"/>
        </w:r>
      </w:hyperlink>
      <w:r w:rsidR="00E360FD" w:rsidRPr="009472A3">
        <w:rPr>
          <w:bCs/>
          <w:iCs/>
        </w:rPr>
        <w:t xml:space="preserve"> </w:t>
      </w:r>
    </w:p>
    <w:p w:rsidR="007D44F7" w:rsidRDefault="000C20FC" w:rsidP="007D44F7">
      <w:pPr>
        <w:spacing w:line="480" w:lineRule="auto"/>
        <w:jc w:val="both"/>
        <w:rPr>
          <w:bCs/>
          <w:iCs/>
        </w:rPr>
      </w:pPr>
      <w:r>
        <w:rPr>
          <w:bCs/>
          <w:iCs/>
        </w:rPr>
        <w:t xml:space="preserve">The change in </w:t>
      </w:r>
      <w:r w:rsidR="003C3DEA" w:rsidRPr="00A4683A">
        <w:rPr>
          <w:bCs/>
          <w:iCs/>
        </w:rPr>
        <w:t>Δ</w:t>
      </w:r>
      <w:r w:rsidR="003C3DEA" w:rsidRPr="00420A14">
        <w:rPr>
          <w:bCs/>
          <w:i/>
          <w:iCs/>
        </w:rPr>
        <w:t>C</w:t>
      </w:r>
      <w:r w:rsidR="003C3DEA" w:rsidRPr="00420A14">
        <w:rPr>
          <w:bCs/>
          <w:i/>
          <w:iCs/>
          <w:vertAlign w:val="subscript"/>
        </w:rPr>
        <w:t xml:space="preserve">p </w:t>
      </w:r>
      <w:r w:rsidR="00493906">
        <w:rPr>
          <w:bCs/>
          <w:iCs/>
        </w:rPr>
        <w:t>provides useful information regarding the change in hydration up</w:t>
      </w:r>
      <w:r w:rsidR="00287BD1">
        <w:rPr>
          <w:bCs/>
          <w:iCs/>
        </w:rPr>
        <w:t xml:space="preserve">on binding. This can then be used to infer what forces are driving the binding interaction. </w:t>
      </w:r>
      <w:r w:rsidR="003C3DEA">
        <w:rPr>
          <w:bCs/>
          <w:iCs/>
        </w:rPr>
        <w:t xml:space="preserve">A negative </w:t>
      </w:r>
      <w:r w:rsidR="003C3DEA" w:rsidRPr="00A4683A">
        <w:rPr>
          <w:bCs/>
          <w:iCs/>
        </w:rPr>
        <w:t>Δ</w:t>
      </w:r>
      <w:r w:rsidR="003C3DEA" w:rsidRPr="00420A14">
        <w:rPr>
          <w:bCs/>
          <w:i/>
          <w:iCs/>
        </w:rPr>
        <w:t>C</w:t>
      </w:r>
      <w:r w:rsidR="003C3DEA" w:rsidRPr="00420A14">
        <w:rPr>
          <w:bCs/>
          <w:i/>
          <w:iCs/>
          <w:vertAlign w:val="subscript"/>
        </w:rPr>
        <w:t xml:space="preserve">p </w:t>
      </w:r>
      <w:r w:rsidR="003C3DEA" w:rsidRPr="00420A14">
        <w:rPr>
          <w:bCs/>
          <w:iCs/>
        </w:rPr>
        <w:t xml:space="preserve">is </w:t>
      </w:r>
      <w:r w:rsidR="003C3DEA">
        <w:rPr>
          <w:bCs/>
          <w:iCs/>
        </w:rPr>
        <w:t>an indication that water is being removed from apolar groups</w:t>
      </w:r>
      <w:r w:rsidR="00180A49">
        <w:rPr>
          <w:bCs/>
          <w:iCs/>
        </w:rPr>
        <w:t xml:space="preserve"> whereas a positive </w:t>
      </w:r>
      <w:r w:rsidR="00180A49" w:rsidRPr="00A4683A">
        <w:rPr>
          <w:bCs/>
          <w:iCs/>
        </w:rPr>
        <w:t>Δ</w:t>
      </w:r>
      <w:r w:rsidR="00180A49" w:rsidRPr="00420A14">
        <w:rPr>
          <w:bCs/>
          <w:i/>
          <w:iCs/>
        </w:rPr>
        <w:t>C</w:t>
      </w:r>
      <w:r w:rsidR="00180A49" w:rsidRPr="00420A14">
        <w:rPr>
          <w:bCs/>
          <w:i/>
          <w:iCs/>
          <w:vertAlign w:val="subscript"/>
        </w:rPr>
        <w:t>p</w:t>
      </w:r>
      <w:r w:rsidR="00180A49">
        <w:rPr>
          <w:bCs/>
          <w:i/>
          <w:iCs/>
          <w:vertAlign w:val="subscript"/>
        </w:rPr>
        <w:t xml:space="preserve"> </w:t>
      </w:r>
      <w:r w:rsidR="00180A49">
        <w:rPr>
          <w:bCs/>
          <w:iCs/>
        </w:rPr>
        <w:t>is an indication that water being removed from polar groups.</w:t>
      </w:r>
      <w:hyperlink w:anchor="_ENREF_45" w:tooltip="Makhatadze, 1990 #273" w:history="1">
        <w:r w:rsidR="00512D09">
          <w:rPr>
            <w:bCs/>
            <w:iCs/>
          </w:rPr>
          <w:fldChar w:fldCharType="begin"/>
        </w:r>
        <w:r w:rsidR="00512D09">
          <w:rPr>
            <w:bCs/>
            <w:iCs/>
          </w:rPr>
          <w:instrText xml:space="preserve"> ADDIN EN.CITE &lt;EndNote&gt;&lt;Cite&gt;&lt;Author&gt;Makhatadze&lt;/Author&gt;&lt;Year&gt;1990&lt;/Year&gt;&lt;RecNum&gt;273&lt;/RecNum&gt;&lt;DisplayText&gt;&lt;style face="superscript"&gt;45&lt;/style&gt;&lt;/DisplayText&gt;&lt;record&gt;&lt;rec-number&gt;273&lt;/rec-number&gt;&lt;foreign-keys&gt;&lt;key app="EN" db-id="5trrespwzsdr07efd5tx2w96x22re9s0fsdt"&gt;273&lt;/key&gt;&lt;/foreign-keys&gt;&lt;ref-type name="Journal Article"&gt;17&lt;/ref-type&gt;&lt;contributors&gt;&lt;authors&gt;&lt;author&gt;Makhatadze, G. I.&lt;/author&gt;&lt;author&gt;Privalov, P. L.&lt;/author&gt;&lt;/authors&gt;&lt;/contributors&gt;&lt;titles&gt;&lt;title&gt;Heat capacity of proteins: I. Partial molar heat capacity of individual amino acid residues in aqueous solution: Hydration effect&lt;/title&gt;&lt;secondary-title&gt;Journal of Molecular Biology&lt;/secondary-title&gt;&lt;/titles&gt;&lt;periodical&gt;&lt;full-title&gt;Journal of Molecular Biology&lt;/full-title&gt;&lt;/periodical&gt;&lt;pages&gt;375-384&lt;/pages&gt;&lt;volume&gt;213&lt;/volume&gt;&lt;number&gt;2&lt;/number&gt;&lt;dates&gt;&lt;year&gt;1990&lt;/year&gt;&lt;/dates&gt;&lt;isbn&gt;0022-2836&lt;/isbn&gt;&lt;urls&gt;&lt;related-urls&gt;&lt;url&gt;http://www.sciencedirect.com/science/article/pii/S0022283605801974&lt;/url&gt;&lt;/related-urls&gt;&lt;/urls&gt;&lt;electronic-resource-num&gt;http://dx.doi.org/10.1016/S0022-2836(05)80197-4&lt;/electronic-resource-num&gt;&lt;/record&gt;&lt;/Cite&gt;&lt;/EndNote&gt;</w:instrText>
        </w:r>
        <w:r w:rsidR="00512D09">
          <w:rPr>
            <w:bCs/>
            <w:iCs/>
          </w:rPr>
          <w:fldChar w:fldCharType="separate"/>
        </w:r>
        <w:r w:rsidR="00512D09" w:rsidRPr="00F04E2C">
          <w:rPr>
            <w:bCs/>
            <w:iCs/>
            <w:noProof/>
            <w:vertAlign w:val="superscript"/>
          </w:rPr>
          <w:t>45</w:t>
        </w:r>
        <w:r w:rsidR="00512D09">
          <w:rPr>
            <w:bCs/>
            <w:iCs/>
          </w:rPr>
          <w:fldChar w:fldCharType="end"/>
        </w:r>
      </w:hyperlink>
      <w:r w:rsidR="00180A49">
        <w:rPr>
          <w:bCs/>
          <w:iCs/>
        </w:rPr>
        <w:t xml:space="preserve"> </w:t>
      </w:r>
      <w:r w:rsidR="00CC52DB">
        <w:rPr>
          <w:bCs/>
          <w:iCs/>
        </w:rPr>
        <w:t>Edwin Haslam, remarked that “t</w:t>
      </w:r>
      <w:r w:rsidR="00F964DF">
        <w:rPr>
          <w:bCs/>
          <w:iCs/>
        </w:rPr>
        <w:t>he presence of water is intuitively accepted and invariably tacitly ignored, but the role of water and water solubility is one of the key factors in the phenomenon of polyphenol complexation.”</w:t>
      </w:r>
      <w:hyperlink w:anchor="_ENREF_72" w:tooltip="Haslam, 1996 #442" w:history="1">
        <w:r w:rsidR="00512D09">
          <w:rPr>
            <w:bCs/>
            <w:iCs/>
          </w:rPr>
          <w:fldChar w:fldCharType="begin"/>
        </w:r>
        <w:r w:rsidR="00512D09">
          <w:rPr>
            <w:bCs/>
            <w:iCs/>
          </w:rPr>
          <w:instrText xml:space="preserve"> ADDIN EN.CITE &lt;EndNote&gt;&lt;Cite&gt;&lt;Author&gt;Haslam&lt;/Author&gt;&lt;Year&gt;1996&lt;/Year&gt;&lt;RecNum&gt;442&lt;/RecNum&gt;&lt;DisplayText&gt;&lt;style face="superscript"&gt;72&lt;/style&gt;&lt;/DisplayText&gt;&lt;record&gt;&lt;rec-number&gt;442&lt;/rec-number&gt;&lt;foreign-keys&gt;&lt;key app="EN" db-id="5trrespwzsdr07efd5tx2w96x22re9s0fsdt"&gt;442&lt;/key&gt;&lt;/foreign-keys&gt;&lt;ref-type name="Journal Article"&gt;17&lt;/ref-type&gt;&lt;contributors&gt;&lt;authors&gt;&lt;author&gt;Haslam, Edwin&lt;/author&gt;&lt;/authors&gt;&lt;/contributors&gt;&lt;titles&gt;&lt;title&gt;Natural polyphenols (vegetable tannins) as drugs: possible modes of action&lt;/title&gt;&lt;secondary-title&gt;Journal of natural products&lt;/secondary-title&gt;&lt;/titles&gt;&lt;periodical&gt;&lt;full-title&gt;Journal of natural products&lt;/full-title&gt;&lt;/periodical&gt;&lt;pages&gt;205-215&lt;/pages&gt;&lt;volume&gt;59&lt;/volume&gt;&lt;number&gt;2&lt;/number&gt;&lt;dates&gt;&lt;year&gt;1996&lt;/year&gt;&lt;/dates&gt;&lt;isbn&gt;0163-3864&lt;/isbn&gt;&lt;urls&gt;&lt;/urls&gt;&lt;/record&gt;&lt;/Cite&gt;&lt;/EndNote&gt;</w:instrText>
        </w:r>
        <w:r w:rsidR="00512D09">
          <w:rPr>
            <w:bCs/>
            <w:iCs/>
          </w:rPr>
          <w:fldChar w:fldCharType="separate"/>
        </w:r>
        <w:r w:rsidR="00512D09" w:rsidRPr="00F80CAD">
          <w:rPr>
            <w:bCs/>
            <w:iCs/>
            <w:noProof/>
            <w:vertAlign w:val="superscript"/>
          </w:rPr>
          <w:t>72</w:t>
        </w:r>
        <w:r w:rsidR="00512D09">
          <w:rPr>
            <w:bCs/>
            <w:iCs/>
          </w:rPr>
          <w:fldChar w:fldCharType="end"/>
        </w:r>
      </w:hyperlink>
      <w:r w:rsidR="00F964DF">
        <w:rPr>
          <w:bCs/>
          <w:iCs/>
        </w:rPr>
        <w:t xml:space="preserve"> Although this was stated twenty years ago, there still needs to be work done in this area. </w:t>
      </w:r>
      <w:r w:rsidR="007D44F7">
        <w:rPr>
          <w:bCs/>
          <w:iCs/>
        </w:rPr>
        <w:t xml:space="preserve">There still is a major lack of </w:t>
      </w:r>
      <w:r w:rsidR="007D44F7" w:rsidRPr="00A4683A">
        <w:rPr>
          <w:bCs/>
          <w:iCs/>
        </w:rPr>
        <w:t>Δ</w:t>
      </w:r>
      <w:r w:rsidR="007D44F7" w:rsidRPr="00420A14">
        <w:rPr>
          <w:bCs/>
          <w:i/>
          <w:iCs/>
        </w:rPr>
        <w:t>C</w:t>
      </w:r>
      <w:r w:rsidR="007D44F7" w:rsidRPr="00420A14">
        <w:rPr>
          <w:bCs/>
          <w:i/>
          <w:iCs/>
          <w:vertAlign w:val="subscript"/>
        </w:rPr>
        <w:t>p</w:t>
      </w:r>
      <w:r w:rsidR="007D44F7">
        <w:rPr>
          <w:bCs/>
          <w:iCs/>
        </w:rPr>
        <w:t xml:space="preserve"> experiments performed by ITC for polyphenol-protein interactions. </w:t>
      </w:r>
      <w:r w:rsidR="00FD798B">
        <w:rPr>
          <w:bCs/>
          <w:iCs/>
        </w:rPr>
        <w:t xml:space="preserve">In addition to this, as originally outlined, salts can also be used to perturb water involved in binding interactions. </w:t>
      </w:r>
    </w:p>
    <w:p w:rsidR="006C2030" w:rsidRPr="00332919" w:rsidRDefault="00332919" w:rsidP="00F14FC6">
      <w:pPr>
        <w:spacing w:line="480" w:lineRule="auto"/>
        <w:jc w:val="both"/>
        <w:rPr>
          <w:bCs/>
          <w:iCs/>
        </w:rPr>
      </w:pPr>
      <w:r>
        <w:rPr>
          <w:bCs/>
          <w:iCs/>
        </w:rPr>
        <w:t>Apart from gaining an understanding of how molecular water around tannins and proteins changes when they associate, this work also sets out to investigate</w:t>
      </w:r>
      <w:r w:rsidR="00945360">
        <w:rPr>
          <w:iCs/>
        </w:rPr>
        <w:t xml:space="preserve"> non-sigmoidal binding isotherms. This will be investigated by using </w:t>
      </w:r>
      <w:r w:rsidR="004F315E">
        <w:rPr>
          <w:iCs/>
        </w:rPr>
        <w:t xml:space="preserve">Circular Dichroism </w:t>
      </w:r>
      <w:r w:rsidR="00945360">
        <w:rPr>
          <w:iCs/>
        </w:rPr>
        <w:t xml:space="preserve">(CD), </w:t>
      </w:r>
      <w:r w:rsidR="004F315E">
        <w:rPr>
          <w:iCs/>
        </w:rPr>
        <w:t xml:space="preserve">Isothermal Titration Calorimetry </w:t>
      </w:r>
      <w:r w:rsidR="00945360">
        <w:rPr>
          <w:iCs/>
        </w:rPr>
        <w:t xml:space="preserve">and </w:t>
      </w:r>
      <w:r w:rsidR="00945360" w:rsidRPr="00945360">
        <w:rPr>
          <w:bCs/>
          <w:iCs/>
        </w:rPr>
        <w:t>Nanoparticle Tracking Analysis (NTA)</w:t>
      </w:r>
      <w:r w:rsidR="00945360" w:rsidRPr="00945360">
        <w:rPr>
          <w:iCs/>
        </w:rPr>
        <w:t>.</w:t>
      </w:r>
      <w:r w:rsidR="00945360">
        <w:rPr>
          <w:iCs/>
        </w:rPr>
        <w:t xml:space="preserve"> </w:t>
      </w:r>
      <w:r w:rsidR="0069343A">
        <w:rPr>
          <w:iCs/>
        </w:rPr>
        <w:t xml:space="preserve">CD spectroscopy provides a useful technique to determine changes in protein secondary structure. NTA provides useful information regarding aggregation. Both could be responsible for non-sigmoidal binding isotherms. </w:t>
      </w:r>
    </w:p>
    <w:p w:rsidR="00E61E35" w:rsidRDefault="00E61E35" w:rsidP="00F14FC6">
      <w:pPr>
        <w:spacing w:line="480" w:lineRule="auto"/>
        <w:jc w:val="both"/>
        <w:rPr>
          <w:iCs/>
        </w:rPr>
      </w:pPr>
    </w:p>
    <w:p w:rsidR="00C00A86" w:rsidRPr="006C2030" w:rsidRDefault="00C00A86" w:rsidP="00F14FC6">
      <w:pPr>
        <w:spacing w:line="480" w:lineRule="auto"/>
        <w:jc w:val="both"/>
        <w:rPr>
          <w:iCs/>
        </w:rPr>
      </w:pPr>
    </w:p>
    <w:p w:rsidR="00DB414E" w:rsidRPr="003661FA" w:rsidRDefault="00DB414E" w:rsidP="003661FA">
      <w:pPr>
        <w:pStyle w:val="Heading1"/>
        <w:spacing w:line="480" w:lineRule="auto"/>
        <w:ind w:left="431" w:hanging="431"/>
        <w:jc w:val="center"/>
      </w:pPr>
      <w:bookmarkStart w:id="53" w:name="_Toc459130673"/>
      <w:r w:rsidRPr="003661FA">
        <w:lastRenderedPageBreak/>
        <w:t>Chapter 2</w:t>
      </w:r>
      <w:r w:rsidR="003661FA" w:rsidRPr="003661FA">
        <w:t xml:space="preserve">: </w:t>
      </w:r>
      <w:r w:rsidRPr="003661FA">
        <w:t>Methodology for Is</w:t>
      </w:r>
      <w:r w:rsidR="00ED2D6C">
        <w:t xml:space="preserve">othermal Titration Calorimetry, </w:t>
      </w:r>
      <w:r w:rsidRPr="003661FA">
        <w:t>Circular Dichroism and Nanoparticle Tracking Analysis</w:t>
      </w:r>
      <w:bookmarkEnd w:id="53"/>
      <w:r w:rsidRPr="003661FA">
        <w:t xml:space="preserve"> </w:t>
      </w:r>
    </w:p>
    <w:p w:rsidR="00F14FC6" w:rsidRDefault="00F14FC6" w:rsidP="00F14FC6">
      <w:pPr>
        <w:spacing w:line="480" w:lineRule="auto"/>
        <w:jc w:val="both"/>
      </w:pPr>
    </w:p>
    <w:p w:rsidR="00F14FC6" w:rsidRDefault="00F14FC6" w:rsidP="00F14FC6">
      <w:pPr>
        <w:spacing w:line="480" w:lineRule="auto"/>
        <w:jc w:val="both"/>
      </w:pPr>
    </w:p>
    <w:p w:rsidR="00F14FC6" w:rsidRDefault="00F14FC6" w:rsidP="00F14FC6">
      <w:pPr>
        <w:spacing w:line="480" w:lineRule="auto"/>
        <w:jc w:val="both"/>
      </w:pPr>
    </w:p>
    <w:p w:rsidR="00F14FC6" w:rsidRDefault="00F14FC6" w:rsidP="00F14FC6">
      <w:pPr>
        <w:spacing w:line="480" w:lineRule="auto"/>
        <w:jc w:val="both"/>
      </w:pPr>
    </w:p>
    <w:p w:rsidR="00F14FC6" w:rsidRDefault="00F14FC6" w:rsidP="00F14FC6">
      <w:pPr>
        <w:spacing w:line="480" w:lineRule="auto"/>
        <w:jc w:val="both"/>
      </w:pPr>
    </w:p>
    <w:p w:rsidR="00F14FC6" w:rsidRDefault="00F14FC6" w:rsidP="00F14FC6">
      <w:pPr>
        <w:spacing w:line="480" w:lineRule="auto"/>
        <w:jc w:val="both"/>
      </w:pPr>
    </w:p>
    <w:p w:rsidR="00F14FC6" w:rsidRDefault="00F14FC6" w:rsidP="00F14FC6">
      <w:pPr>
        <w:spacing w:line="480" w:lineRule="auto"/>
        <w:jc w:val="both"/>
      </w:pPr>
    </w:p>
    <w:p w:rsidR="00F14FC6" w:rsidRDefault="00F14FC6" w:rsidP="00F14FC6">
      <w:pPr>
        <w:spacing w:line="480" w:lineRule="auto"/>
        <w:jc w:val="both"/>
      </w:pPr>
    </w:p>
    <w:p w:rsidR="00F14FC6" w:rsidRDefault="00F14FC6" w:rsidP="00F14FC6">
      <w:pPr>
        <w:spacing w:line="480" w:lineRule="auto"/>
        <w:jc w:val="both"/>
      </w:pPr>
    </w:p>
    <w:p w:rsidR="00F14FC6" w:rsidRDefault="00F14FC6" w:rsidP="00F14FC6">
      <w:pPr>
        <w:spacing w:line="480" w:lineRule="auto"/>
        <w:jc w:val="both"/>
      </w:pPr>
    </w:p>
    <w:p w:rsidR="00C00A86" w:rsidRDefault="00C00A86" w:rsidP="00F14FC6">
      <w:pPr>
        <w:spacing w:line="480" w:lineRule="auto"/>
        <w:jc w:val="both"/>
      </w:pPr>
    </w:p>
    <w:p w:rsidR="00C00A86" w:rsidRDefault="00C00A86" w:rsidP="00F14FC6">
      <w:pPr>
        <w:spacing w:line="480" w:lineRule="auto"/>
        <w:jc w:val="both"/>
      </w:pPr>
    </w:p>
    <w:p w:rsidR="00C00A86" w:rsidRDefault="00C00A86" w:rsidP="00F14FC6">
      <w:pPr>
        <w:spacing w:line="480" w:lineRule="auto"/>
        <w:jc w:val="both"/>
      </w:pPr>
    </w:p>
    <w:p w:rsidR="00C00A86" w:rsidRDefault="00C00A86" w:rsidP="00F14FC6">
      <w:pPr>
        <w:spacing w:line="480" w:lineRule="auto"/>
        <w:jc w:val="both"/>
      </w:pPr>
    </w:p>
    <w:p w:rsidR="00C00A86" w:rsidRDefault="00C00A86" w:rsidP="00F14FC6">
      <w:pPr>
        <w:spacing w:line="480" w:lineRule="auto"/>
        <w:jc w:val="both"/>
      </w:pPr>
    </w:p>
    <w:p w:rsidR="00F14FC6" w:rsidRDefault="00F14FC6" w:rsidP="00F14FC6">
      <w:pPr>
        <w:spacing w:line="480" w:lineRule="auto"/>
        <w:jc w:val="both"/>
      </w:pPr>
    </w:p>
    <w:p w:rsidR="00F14FC6" w:rsidRDefault="00DB414E" w:rsidP="00DB414E">
      <w:pPr>
        <w:pStyle w:val="Heading2"/>
      </w:pPr>
      <w:bookmarkStart w:id="54" w:name="_Toc459130674"/>
      <w:r>
        <w:lastRenderedPageBreak/>
        <w:t>Circular Dichroism</w:t>
      </w:r>
      <w:bookmarkEnd w:id="54"/>
      <w:r w:rsidR="00F14FC6">
        <w:t xml:space="preserve"> </w:t>
      </w:r>
    </w:p>
    <w:p w:rsidR="00DB414E" w:rsidRPr="00DB414E" w:rsidRDefault="00DB414E" w:rsidP="00DB414E"/>
    <w:p w:rsidR="00DB414E" w:rsidRDefault="00DB414E" w:rsidP="00DB414E">
      <w:pPr>
        <w:pStyle w:val="Heading3"/>
      </w:pPr>
      <w:bookmarkStart w:id="55" w:name="_Toc459130675"/>
      <w:r>
        <w:t>Introduction</w:t>
      </w:r>
      <w:bookmarkEnd w:id="55"/>
    </w:p>
    <w:p w:rsidR="00DB414E" w:rsidRPr="00DB414E" w:rsidRDefault="00DB414E" w:rsidP="00DB414E"/>
    <w:p w:rsidR="00F14FC6" w:rsidRDefault="000E6500" w:rsidP="00F14FC6">
      <w:pPr>
        <w:spacing w:line="480" w:lineRule="auto"/>
        <w:jc w:val="both"/>
      </w:pPr>
      <w:r>
        <w:t>Circular D</w:t>
      </w:r>
      <w:r w:rsidR="00F14FC6">
        <w:t xml:space="preserve">ichroism (CD) </w:t>
      </w:r>
      <w:r>
        <w:t xml:space="preserve">spectroscopy </w:t>
      </w:r>
      <w:r w:rsidR="00F14FC6">
        <w:t xml:space="preserve">is used to study chiral biological macromolecules such as DNA, proteins and carbohydrates. It is a spectroscopic technique that uses polarised light. Chiral molecules absorb polarised light in different ways.  Different secondary structures give characteristic CD signals. Analysis of these CD signals can provide an indication of the conformation of the biological macromolecule.   </w:t>
      </w:r>
    </w:p>
    <w:p w:rsidR="00F14FC6" w:rsidRDefault="00F14FC6" w:rsidP="00F14FC6">
      <w:pPr>
        <w:spacing w:line="480" w:lineRule="auto"/>
        <w:jc w:val="both"/>
      </w:pPr>
      <w:r w:rsidRPr="00017EE3">
        <w:t xml:space="preserve">A light source generates unpolarised light which becomes monochromated and linearly polarised by a series of mirrors known as a </w:t>
      </w:r>
      <w:r w:rsidRPr="00017EE3">
        <w:rPr>
          <w:bCs/>
        </w:rPr>
        <w:t>monochromator</w:t>
      </w:r>
      <w:r w:rsidRPr="00017EE3">
        <w:t>. The monochromatic linearly polarised light is then modulated into right and left circularised polarised beams of light by a photo-elastic modulator (PEM).</w:t>
      </w:r>
      <w:hyperlink w:anchor="_ENREF_151" w:tooltip="Pelton, 2000 #725" w:history="1">
        <w:r w:rsidR="00512D09">
          <w:fldChar w:fldCharType="begin"/>
        </w:r>
        <w:r w:rsidR="00512D09">
          <w:instrText xml:space="preserve"> ADDIN EN.CITE &lt;EndNote&gt;&lt;Cite&gt;&lt;Author&gt;Pelton&lt;/Author&gt;&lt;Year&gt;2000&lt;/Year&gt;&lt;RecNum&gt;725&lt;/RecNum&gt;&lt;DisplayText&gt;&lt;style face="superscript"&gt;151&lt;/style&gt;&lt;/DisplayText&gt;&lt;record&gt;&lt;rec-number&gt;725&lt;/rec-number&gt;&lt;foreign-keys&gt;&lt;key app="EN" db-id="5trrespwzsdr07efd5tx2w96x22re9s0fsdt"&gt;725&lt;/key&gt;&lt;/foreign-keys&gt;&lt;ref-type name="Journal Article"&gt;17&lt;/ref-type&gt;&lt;contributors&gt;&lt;authors&gt;&lt;author&gt;Pelton, John T&lt;/author&gt;&lt;author&gt;McLean, Larry R&lt;/author&gt;&lt;/authors&gt;&lt;/contributors&gt;&lt;titles&gt;&lt;title&gt;Spectroscopic methods for analysis of protein secondary structure&lt;/title&gt;&lt;secondary-title&gt;Analytical biochemistry&lt;/secondary-title&gt;&lt;/titles&gt;&lt;periodical&gt;&lt;full-title&gt;Analytical biochemistry&lt;/full-title&gt;&lt;/periodical&gt;&lt;pages&gt;167-176&lt;/pages&gt;&lt;volume&gt;277&lt;/volume&gt;&lt;number&gt;2&lt;/number&gt;&lt;dates&gt;&lt;year&gt;2000&lt;/year&gt;&lt;/dates&gt;&lt;isbn&gt;0003-2697&lt;/isbn&gt;&lt;urls&gt;&lt;/urls&gt;&lt;/record&gt;&lt;/Cite&gt;&lt;/EndNote&gt;</w:instrText>
        </w:r>
        <w:r w:rsidR="00512D09">
          <w:fldChar w:fldCharType="separate"/>
        </w:r>
        <w:r w:rsidR="00512D09" w:rsidRPr="00991167">
          <w:rPr>
            <w:noProof/>
            <w:vertAlign w:val="superscript"/>
          </w:rPr>
          <w:t>151</w:t>
        </w:r>
        <w:r w:rsidR="00512D09">
          <w:fldChar w:fldCharType="end"/>
        </w:r>
      </w:hyperlink>
      <w:r w:rsidRPr="00017EE3">
        <w:t xml:space="preserve"> A basic layout of a C</w:t>
      </w:r>
      <w:r w:rsidR="00C96D6C">
        <w:t>D spectrophotometer is shown in</w:t>
      </w:r>
      <w:r w:rsidR="00E95CC8">
        <w:t xml:space="preserve"> </w:t>
      </w:r>
      <w:r w:rsidR="0075172E">
        <w:fldChar w:fldCharType="begin"/>
      </w:r>
      <w:r w:rsidR="004F315E">
        <w:instrText xml:space="preserve"> REF _Ref442864657 \h </w:instrText>
      </w:r>
      <w:r w:rsidR="0075172E">
        <w:fldChar w:fldCharType="separate"/>
      </w:r>
      <w:r w:rsidR="00CB4EDC">
        <w:t xml:space="preserve">Figure </w:t>
      </w:r>
      <w:r w:rsidR="00CB4EDC">
        <w:rPr>
          <w:noProof/>
        </w:rPr>
        <w:t>2</w:t>
      </w:r>
      <w:r w:rsidR="00CB4EDC">
        <w:t>.</w:t>
      </w:r>
      <w:r w:rsidR="00CB4EDC">
        <w:rPr>
          <w:noProof/>
        </w:rPr>
        <w:t>1</w:t>
      </w:r>
      <w:r w:rsidR="0075172E">
        <w:fldChar w:fldCharType="end"/>
      </w:r>
    </w:p>
    <w:p w:rsidR="00F14FC6" w:rsidRDefault="00F14FC6" w:rsidP="00DB414E">
      <w:pPr>
        <w:pStyle w:val="Heading3"/>
      </w:pPr>
      <w:bookmarkStart w:id="56" w:name="_Toc459130676"/>
      <w:r>
        <w:t>Instrumentation</w:t>
      </w:r>
      <w:bookmarkEnd w:id="56"/>
      <w:r>
        <w:t xml:space="preserve"> </w:t>
      </w:r>
    </w:p>
    <w:p w:rsidR="00F14FC6" w:rsidRDefault="00F14FC6" w:rsidP="00F14FC6">
      <w:pPr>
        <w:keepNext/>
        <w:spacing w:line="480" w:lineRule="auto"/>
        <w:jc w:val="center"/>
      </w:pPr>
      <w:r>
        <w:rPr>
          <w:noProof/>
          <w:lang w:eastAsia="en-GB"/>
        </w:rPr>
        <w:drawing>
          <wp:inline distT="0" distB="0" distL="0" distR="0" wp14:anchorId="4700438D" wp14:editId="702C4805">
            <wp:extent cx="4693919" cy="2316480"/>
            <wp:effectExtent l="0" t="0" r="0" b="762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7584" t="11345" r="10456" b="8443"/>
                    <a:stretch/>
                  </pic:blipFill>
                  <pic:spPr bwMode="auto">
                    <a:xfrm>
                      <a:off x="0" y="0"/>
                      <a:ext cx="4697608" cy="2318300"/>
                    </a:xfrm>
                    <a:prstGeom prst="rect">
                      <a:avLst/>
                    </a:prstGeom>
                    <a:ln>
                      <a:noFill/>
                    </a:ln>
                    <a:extLst>
                      <a:ext uri="{53640926-AAD7-44D8-BBD7-CCE9431645EC}">
                        <a14:shadowObscured xmlns:a14="http://schemas.microsoft.com/office/drawing/2010/main"/>
                      </a:ext>
                    </a:extLst>
                  </pic:spPr>
                </pic:pic>
              </a:graphicData>
            </a:graphic>
          </wp:inline>
        </w:drawing>
      </w:r>
    </w:p>
    <w:p w:rsidR="00F14FC6" w:rsidRDefault="00911A38" w:rsidP="004F315E">
      <w:pPr>
        <w:pStyle w:val="Caption"/>
        <w:jc w:val="center"/>
      </w:pPr>
      <w:bookmarkStart w:id="57" w:name="_Ref442864657"/>
      <w:r>
        <w:t xml:space="preserve">Figure </w:t>
      </w:r>
      <w:r w:rsidR="0075172E">
        <w:fldChar w:fldCharType="begin"/>
      </w:r>
      <w:r w:rsidR="00AC2227">
        <w:instrText xml:space="preserve"> STYLEREF 1 \s </w:instrText>
      </w:r>
      <w:r w:rsidR="0075172E">
        <w:fldChar w:fldCharType="separate"/>
      </w:r>
      <w:r w:rsidR="00CB4EDC">
        <w:rPr>
          <w:noProof/>
        </w:rPr>
        <w:t>2</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w:t>
      </w:r>
      <w:r w:rsidR="0075172E">
        <w:fldChar w:fldCharType="end"/>
      </w:r>
      <w:bookmarkEnd w:id="57"/>
      <w:r w:rsidR="00F14FC6">
        <w:t xml:space="preserve"> Schematic of a CD spectrophotometer</w:t>
      </w:r>
      <w:r w:rsidR="00E30C0B">
        <w:t xml:space="preserve"> </w:t>
      </w:r>
      <w:hyperlink w:anchor="_ENREF_152" w:tooltip="Hui, 2006 #726" w:history="1">
        <w:r w:rsidR="00512D09">
          <w:fldChar w:fldCharType="begin"/>
        </w:r>
        <w:r w:rsidR="00512D09">
          <w:instrText xml:space="preserve"> ADDIN EN.CITE &lt;EndNote&gt;&lt;Cite&gt;&lt;Author&gt;Hui&lt;/Author&gt;&lt;Year&gt;2006&lt;/Year&gt;&lt;RecNum&gt;726&lt;/RecNum&gt;&lt;DisplayText&gt;&lt;style face="superscript"&gt;152&lt;/style&gt;&lt;/DisplayText&gt;&lt;record&gt;&lt;rec-number&gt;726&lt;/rec-number&gt;&lt;foreign-keys&gt;&lt;key app="EN" db-id="5trrespwzsdr07efd5tx2w96x22re9s0fsdt"&gt;726&lt;/key&gt;&lt;/foreign-keys&gt;&lt;ref-type name="Book Section"&gt;5&lt;/ref-type&gt;&lt;contributors&gt;&lt;authors&gt;&lt;author&gt;Hui, Yiu H&lt;/author&gt;&lt;/authors&gt;&lt;/contributors&gt;&lt;titles&gt;&lt;title&gt;Handbook of food science, technology, and engineering&lt;/title&gt;&lt;/titles&gt;&lt;pages&gt;19&lt;/pages&gt;&lt;volume&gt;149&lt;/volume&gt;&lt;number&gt;1&lt;/number&gt;&lt;section&gt;43&lt;/section&gt;&lt;dates&gt;&lt;year&gt;2006&lt;/year&gt;&lt;/dates&gt;&lt;publisher&gt;CRC press&lt;/publisher&gt;&lt;isbn&gt;0849398495&lt;/isbn&gt;&lt;urls&gt;&lt;/urls&gt;&lt;/record&gt;&lt;/Cite&gt;&lt;/EndNote&gt;</w:instrText>
        </w:r>
        <w:r w:rsidR="00512D09">
          <w:fldChar w:fldCharType="separate"/>
        </w:r>
        <w:r w:rsidR="00512D09" w:rsidRPr="00991167">
          <w:rPr>
            <w:noProof/>
            <w:vertAlign w:val="superscript"/>
          </w:rPr>
          <w:t>152</w:t>
        </w:r>
        <w:r w:rsidR="00512D09">
          <w:fldChar w:fldCharType="end"/>
        </w:r>
      </w:hyperlink>
    </w:p>
    <w:p w:rsidR="00F14FC6" w:rsidRDefault="00F14FC6" w:rsidP="00F14FC6">
      <w:pPr>
        <w:spacing w:line="480" w:lineRule="auto"/>
        <w:jc w:val="both"/>
      </w:pPr>
      <w:r>
        <w:t xml:space="preserve">The light detector will detect different amounts of left and right circularly polarised light that has passed through the sample. This will produce a signal that varies with the frequency of the PEM. This is termed vAC. The average light intensity over time is also </w:t>
      </w:r>
      <w:r>
        <w:lastRenderedPageBreak/>
        <w:t xml:space="preserve">measured and this is termed vDC. Dividing vAC by vDC yields a signal which can be converted into absorbance or </w:t>
      </w:r>
      <w:r w:rsidRPr="00390ED9">
        <w:t>millidegrees</w:t>
      </w:r>
      <w:r>
        <w:t xml:space="preserve"> using a calibration factor G</w:t>
      </w:r>
      <w:r w:rsidR="00E95CC8">
        <w:t xml:space="preserve"> (</w:t>
      </w:r>
      <w:r w:rsidR="00EE7DCC">
        <w:t>Equation 2.1</w:t>
      </w:r>
      <w:r w:rsidR="00E95CC8">
        <w:t>)</w:t>
      </w:r>
      <w: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3072"/>
      </w:tblGrid>
      <w:tr w:rsidR="0087008A" w:rsidRPr="00BF5905" w:rsidTr="006E62CB">
        <w:trPr>
          <w:trHeight w:val="564"/>
        </w:trPr>
        <w:tc>
          <w:tcPr>
            <w:tcW w:w="5372" w:type="dxa"/>
          </w:tcPr>
          <w:p w:rsidR="0087008A" w:rsidRPr="00BE7CB4" w:rsidRDefault="0087008A" w:rsidP="006E62CB">
            <w:pPr>
              <w:spacing w:line="480" w:lineRule="auto"/>
              <w:jc w:val="center"/>
              <w:rPr>
                <w:rFonts w:eastAsiaTheme="minorEastAsia"/>
              </w:rPr>
            </w:pPr>
            <m:oMathPara>
              <m:oMathParaPr>
                <m:jc m:val="right"/>
              </m:oMathParaPr>
              <m:oMath>
                <m:r>
                  <w:rPr>
                    <w:rFonts w:ascii="Cambria Math" w:hAnsi="Cambria Math"/>
                  </w:rPr>
                  <m:t>CD=</m:t>
                </m:r>
                <m:f>
                  <m:fPr>
                    <m:ctrlPr>
                      <w:rPr>
                        <w:rFonts w:ascii="Cambria Math" w:hAnsi="Cambria Math"/>
                        <w:i/>
                      </w:rPr>
                    </m:ctrlPr>
                  </m:fPr>
                  <m:num>
                    <m:r>
                      <m:rPr>
                        <m:sty m:val="p"/>
                      </m:rPr>
                      <w:rPr>
                        <w:rFonts w:ascii="Cambria Math" w:hAnsi="Cambria Math"/>
                      </w:rPr>
                      <m:t>v</m:t>
                    </m:r>
                    <m:r>
                      <w:rPr>
                        <w:rFonts w:ascii="Cambria Math" w:hAnsi="Cambria Math"/>
                      </w:rPr>
                      <m:t>AC</m:t>
                    </m:r>
                  </m:num>
                  <m:den>
                    <m:r>
                      <m:rPr>
                        <m:sty m:val="p"/>
                      </m:rPr>
                      <w:rPr>
                        <w:rFonts w:ascii="Cambria Math" w:hAnsi="Cambria Math"/>
                      </w:rPr>
                      <m:t>v</m:t>
                    </m:r>
                    <m:r>
                      <w:rPr>
                        <w:rFonts w:ascii="Cambria Math" w:hAnsi="Cambria Math"/>
                      </w:rPr>
                      <m:t>DC</m:t>
                    </m:r>
                  </m:den>
                </m:f>
                <m:r>
                  <w:rPr>
                    <w:rFonts w:ascii="Cambria Math" w:hAnsi="Cambria Math"/>
                  </w:rPr>
                  <m:t xml:space="preserve"> G</m:t>
                </m:r>
              </m:oMath>
            </m:oMathPara>
          </w:p>
        </w:tc>
        <w:tc>
          <w:tcPr>
            <w:tcW w:w="3072" w:type="dxa"/>
          </w:tcPr>
          <w:p w:rsidR="0087008A" w:rsidRPr="00BF5905" w:rsidRDefault="0087008A" w:rsidP="00EE7DCC">
            <w:pPr>
              <w:keepNext/>
              <w:spacing w:line="480" w:lineRule="auto"/>
              <w:jc w:val="right"/>
              <w:rPr>
                <w:rFonts w:eastAsiaTheme="minorEastAsia"/>
              </w:rPr>
            </w:pPr>
            <w:r>
              <w:rPr>
                <w:rFonts w:eastAsiaTheme="minorEastAsia"/>
              </w:rPr>
              <w:t>(</w:t>
            </w:r>
            <w:r w:rsidR="006E62CB">
              <w:rPr>
                <w:rFonts w:eastAsiaTheme="minorEastAsia"/>
                <w:i/>
              </w:rPr>
              <w:t>2.1</w:t>
            </w:r>
            <w:r>
              <w:rPr>
                <w:rFonts w:eastAsiaTheme="minorEastAsia"/>
              </w:rPr>
              <w:t>)</w:t>
            </w:r>
          </w:p>
        </w:tc>
      </w:tr>
    </w:tbl>
    <w:p w:rsidR="00F14FC6" w:rsidRDefault="00F14FC6" w:rsidP="006E62CB">
      <w:pPr>
        <w:pStyle w:val="Heading3"/>
      </w:pPr>
      <w:bookmarkStart w:id="58" w:name="_Toc459130677"/>
      <w:r>
        <w:t>Method</w:t>
      </w:r>
      <w:bookmarkEnd w:id="58"/>
    </w:p>
    <w:p w:rsidR="00DB414E" w:rsidRPr="00DB414E" w:rsidRDefault="00DB414E" w:rsidP="00DB414E"/>
    <w:p w:rsidR="00F14FC6" w:rsidRDefault="00F14FC6" w:rsidP="00F14FC6">
      <w:pPr>
        <w:spacing w:line="480" w:lineRule="auto"/>
        <w:jc w:val="both"/>
      </w:pPr>
      <w:r>
        <w:t xml:space="preserve">Before the machine is turned on, the optics compartment must be flushed with nitrogen. This is to prevent the ionisation of oxygen to ozone by the lamp, which can damage the machine. The macromolecule concentration required for a good CD spectrum is dependent on the amount of amino acids, the cell volume and the pathlength. Typically, concentrations of 1 mg/ml to 50 µg/ml of protein are used. If the protein concentration is too high the CD signal will be too high and will not reach the photomultiplier. A solution of buffer should be run as a baseline to which to subtract the absorbance of the protein. Running the buffer also provides an effective control to check if the buffer is compatible with UV absorbance. </w:t>
      </w:r>
    </w:p>
    <w:p w:rsidR="00F14FC6" w:rsidRDefault="00A316E2" w:rsidP="000B5460">
      <w:pPr>
        <w:pStyle w:val="Heading3"/>
      </w:pPr>
      <w:bookmarkStart w:id="59" w:name="_Toc459130678"/>
      <w:r>
        <w:t>Data C</w:t>
      </w:r>
      <w:r w:rsidR="00F14FC6">
        <w:t>ollection</w:t>
      </w:r>
      <w:bookmarkEnd w:id="59"/>
    </w:p>
    <w:p w:rsidR="00DB414E" w:rsidRPr="00DB414E" w:rsidRDefault="00DB414E" w:rsidP="00DB414E"/>
    <w:p w:rsidR="00F14FC6" w:rsidRDefault="00F14FC6" w:rsidP="00F14FC6">
      <w:pPr>
        <w:spacing w:line="480" w:lineRule="auto"/>
        <w:jc w:val="both"/>
      </w:pPr>
      <w:r>
        <w:t xml:space="preserve">The time constant is the time in which the data is averaged. When the signal is strong compared to the noise, the time constant does not need to be that large. For example, a signal of 10 mdeg would require a time constant of 0.8, whilst a signal that is 500 only needs a time constant of 0.25. </w:t>
      </w:r>
    </w:p>
    <w:p w:rsidR="00F14FC6" w:rsidRDefault="00F14FC6" w:rsidP="00F14FC6">
      <w:pPr>
        <w:spacing w:line="480" w:lineRule="auto"/>
        <w:jc w:val="both"/>
      </w:pPr>
      <w:r>
        <w:t xml:space="preserve">The scan rate is the rate at which the wavelength is changed. There is an interdependent relationship between scan speed and time constant. Faster scan rates mean the time constant will have to be smaller. Once the buffer and protein CD spectra have been produced, the CD spectra of the buffer can subtracted from the protein CD spectra.  </w:t>
      </w:r>
    </w:p>
    <w:p w:rsidR="00F14FC6" w:rsidRDefault="00F14FC6" w:rsidP="000B5460">
      <w:pPr>
        <w:pStyle w:val="Heading3"/>
      </w:pPr>
      <w:bookmarkStart w:id="60" w:name="_Toc459130679"/>
      <w:r>
        <w:lastRenderedPageBreak/>
        <w:t>Theory</w:t>
      </w:r>
      <w:bookmarkEnd w:id="60"/>
    </w:p>
    <w:p w:rsidR="000B5460" w:rsidRPr="000B5460" w:rsidRDefault="000B5460" w:rsidP="000B5460"/>
    <w:p w:rsidR="00F14FC6" w:rsidRDefault="00F14FC6" w:rsidP="00F14FC6">
      <w:pPr>
        <w:spacing w:line="480" w:lineRule="auto"/>
        <w:jc w:val="both"/>
      </w:pPr>
      <w:r>
        <w:t>Lineally polarised light is made up of oscillations that are confined to a single plane. It is composed of two lineally polarised states at right angles to each other. To generate circularly polarised light the two polarisation states must be out of phase. Chirality is property of many biological molecules. The lack of symmetry occurring in these molecules makes them chiral. Chiral molecules display circular birefringence, which means that a solution of chiral material presents an anistropic medium through with left circularly polarised light and right circularly polarised light pass through at different speeds. The anisotropy in absorption is called dichroism.</w:t>
      </w:r>
      <w:hyperlink w:anchor="_ENREF_153" w:tooltip="Kelly, 2005 #715" w:history="1">
        <w:r w:rsidR="00512D09">
          <w:fldChar w:fldCharType="begin"/>
        </w:r>
        <w:r w:rsidR="00512D09">
          <w:instrText xml:space="preserve"> ADDIN EN.CITE &lt;EndNote&gt;&lt;Cite&gt;&lt;Author&gt;Kelly&lt;/Author&gt;&lt;Year&gt;2005&lt;/Year&gt;&lt;RecNum&gt;715&lt;/RecNum&gt;&lt;DisplayText&gt;&lt;style face="superscript"&gt;153&lt;/style&gt;&lt;/DisplayText&gt;&lt;record&gt;&lt;rec-number&gt;715&lt;/rec-number&gt;&lt;foreign-keys&gt;&lt;key app="EN" db-id="5trrespwzsdr07efd5tx2w96x22re9s0fsdt"&gt;715&lt;/key&gt;&lt;/foreign-keys&gt;&lt;ref-type name="Journal Article"&gt;17&lt;/ref-type&gt;&lt;contributors&gt;&lt;authors&gt;&lt;author&gt;Kelly, Sharon M&lt;/author&gt;&lt;author&gt;Jess, Thomas J&lt;/author&gt;&lt;author&gt;Price, Nicholas C&lt;/author&gt;&lt;/authors&gt;&lt;/contributors&gt;&lt;titles&gt;&lt;title&gt;How to study proteins by circular dichroism&lt;/title&gt;&lt;secondary-title&gt;Biochimica et Biophysica Acta (BBA)-Proteins and Proteomics&lt;/secondary-title&gt;&lt;/titles&gt;&lt;periodical&gt;&lt;full-title&gt;Biochimica et Biophysica Acta (BBA)-Proteins and Proteomics&lt;/full-title&gt;&lt;/periodical&gt;&lt;pages&gt;119-139&lt;/pages&gt;&lt;volume&gt;1751&lt;/volume&gt;&lt;number&gt;2&lt;/number&gt;&lt;dates&gt;&lt;year&gt;2005&lt;/year&gt;&lt;/dates&gt;&lt;isbn&gt;1570-9639&lt;/isbn&gt;&lt;urls&gt;&lt;/urls&gt;&lt;/record&gt;&lt;/Cite&gt;&lt;/EndNote&gt;</w:instrText>
        </w:r>
        <w:r w:rsidR="00512D09">
          <w:fldChar w:fldCharType="separate"/>
        </w:r>
        <w:r w:rsidR="00512D09" w:rsidRPr="00991167">
          <w:rPr>
            <w:noProof/>
            <w:vertAlign w:val="superscript"/>
          </w:rPr>
          <w:t>153</w:t>
        </w:r>
        <w:r w:rsidR="00512D09">
          <w:fldChar w:fldCharType="end"/>
        </w:r>
      </w:hyperlink>
      <w:r>
        <w:t xml:space="preserve"> This is represented by </w:t>
      </w:r>
      <w:r w:rsidR="00EE7DCC">
        <w:t>Equation 2.2</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374"/>
      </w:tblGrid>
      <w:tr w:rsidR="006E62CB" w:rsidRPr="00BF5905" w:rsidTr="006E62CB">
        <w:trPr>
          <w:trHeight w:val="564"/>
        </w:trPr>
        <w:tc>
          <w:tcPr>
            <w:tcW w:w="5070" w:type="dxa"/>
          </w:tcPr>
          <w:p w:rsidR="006E62CB" w:rsidRPr="006E62CB" w:rsidRDefault="006E62CB" w:rsidP="006E62CB">
            <w:pPr>
              <w:spacing w:line="480" w:lineRule="auto"/>
              <w:jc w:val="center"/>
            </w:pPr>
            <m:oMathPara>
              <m:oMathParaPr>
                <m:jc m:val="right"/>
              </m:oMathParaP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m:t>
                    </m:r>
                  </m:sub>
                </m:sSub>
              </m:oMath>
            </m:oMathPara>
          </w:p>
        </w:tc>
        <w:tc>
          <w:tcPr>
            <w:tcW w:w="3374" w:type="dxa"/>
          </w:tcPr>
          <w:p w:rsidR="006E62CB" w:rsidRPr="00BF5905" w:rsidRDefault="006E62CB" w:rsidP="00EE7DCC">
            <w:pPr>
              <w:keepNext/>
              <w:spacing w:line="480" w:lineRule="auto"/>
              <w:jc w:val="right"/>
              <w:rPr>
                <w:rFonts w:eastAsiaTheme="minorEastAsia"/>
              </w:rPr>
            </w:pPr>
            <w:r>
              <w:rPr>
                <w:rFonts w:eastAsiaTheme="minorEastAsia"/>
              </w:rPr>
              <w:t>(</w:t>
            </w:r>
            <w:r>
              <w:rPr>
                <w:rFonts w:eastAsiaTheme="minorEastAsia"/>
                <w:i/>
              </w:rPr>
              <w:t>2.</w:t>
            </w:r>
            <w:r w:rsidR="00EE7DCC">
              <w:rPr>
                <w:rFonts w:eastAsiaTheme="minorEastAsia"/>
                <w:i/>
              </w:rPr>
              <w:t>2</w:t>
            </w:r>
            <w:r>
              <w:rPr>
                <w:rFonts w:eastAsiaTheme="minorEastAsia"/>
              </w:rPr>
              <w:t>)</w:t>
            </w:r>
          </w:p>
        </w:tc>
      </w:tr>
    </w:tbl>
    <w:p w:rsidR="00F14FC6" w:rsidRDefault="00F14FC6" w:rsidP="00F14FC6">
      <w:pPr>
        <w:spacing w:line="480" w:lineRule="auto"/>
        <w:jc w:val="both"/>
      </w:pPr>
      <w:r>
        <w:t xml:space="preserve">Where L is left circularised light and R is right circularised light. </w:t>
      </w:r>
      <w:r w:rsidRPr="00C158F1">
        <w:t>Δ</w:t>
      </w:r>
      <w:r w:rsidRPr="00A62310">
        <w:rPr>
          <w:i/>
        </w:rPr>
        <w:t>A</w:t>
      </w:r>
      <w:r w:rsidRPr="00C158F1">
        <w:t xml:space="preserve"> </w:t>
      </w:r>
      <w:r>
        <w:t xml:space="preserve">is absorbance by the sample. Fitting </w:t>
      </w:r>
      <w:r w:rsidRPr="001C1E49">
        <w:t>cell pathlength and compound concentration</w:t>
      </w:r>
      <w:r>
        <w:t xml:space="preserve"> into the equation</w:t>
      </w:r>
      <w:r w:rsidRPr="001C1E49">
        <w:t xml:space="preserve">, molar circular dichroism </w:t>
      </w:r>
      <w:r>
        <w:t>(Δ</w:t>
      </w:r>
      <w:r w:rsidRPr="00A62310">
        <w:rPr>
          <w:i/>
        </w:rPr>
        <w:t>ε</w:t>
      </w:r>
      <w:r>
        <w:t>)</w:t>
      </w:r>
      <w:r w:rsidR="00E95CC8">
        <w:t xml:space="preserve"> is obtained </w:t>
      </w:r>
      <w:r w:rsidR="00EE7DCC">
        <w:t>Equation 2.3</w:t>
      </w:r>
      <w:r>
        <w:t xml:space="preserve">. </w:t>
      </w:r>
      <w:hyperlink w:anchor="_ENREF_153" w:tooltip="Kelly, 2005 #715" w:history="1">
        <w:r w:rsidR="00512D09">
          <w:fldChar w:fldCharType="begin"/>
        </w:r>
        <w:r w:rsidR="00512D09">
          <w:instrText xml:space="preserve"> ADDIN EN.CITE &lt;EndNote&gt;&lt;Cite&gt;&lt;Author&gt;Kelly&lt;/Author&gt;&lt;Year&gt;2005&lt;/Year&gt;&lt;RecNum&gt;715&lt;/RecNum&gt;&lt;DisplayText&gt;&lt;style face="superscript"&gt;153&lt;/style&gt;&lt;/DisplayText&gt;&lt;record&gt;&lt;rec-number&gt;715&lt;/rec-number&gt;&lt;foreign-keys&gt;&lt;key app="EN" db-id="5trrespwzsdr07efd5tx2w96x22re9s0fsdt"&gt;715&lt;/key&gt;&lt;/foreign-keys&gt;&lt;ref-type name="Journal Article"&gt;17&lt;/ref-type&gt;&lt;contributors&gt;&lt;authors&gt;&lt;author&gt;Kelly, Sharon M&lt;/author&gt;&lt;author&gt;Jess, Thomas J&lt;/author&gt;&lt;author&gt;Price, Nicholas C&lt;/author&gt;&lt;/authors&gt;&lt;/contributors&gt;&lt;titles&gt;&lt;title&gt;How to study proteins by circular dichroism&lt;/title&gt;&lt;secondary-title&gt;Biochimica et Biophysica Acta (BBA)-Proteins and Proteomics&lt;/secondary-title&gt;&lt;/titles&gt;&lt;periodical&gt;&lt;full-title&gt;Biochimica et Biophysica Acta (BBA)-Proteins and Proteomics&lt;/full-title&gt;&lt;/periodical&gt;&lt;pages&gt;119-139&lt;/pages&gt;&lt;volume&gt;1751&lt;/volume&gt;&lt;number&gt;2&lt;/number&gt;&lt;dates&gt;&lt;year&gt;2005&lt;/year&gt;&lt;/dates&gt;&lt;isbn&gt;1570-9639&lt;/isbn&gt;&lt;urls&gt;&lt;/urls&gt;&lt;/record&gt;&lt;/Cite&gt;&lt;/EndNote&gt;</w:instrText>
        </w:r>
        <w:r w:rsidR="00512D09">
          <w:fldChar w:fldCharType="separate"/>
        </w:r>
        <w:r w:rsidR="00512D09" w:rsidRPr="00991167">
          <w:rPr>
            <w:noProof/>
            <w:vertAlign w:val="superscript"/>
          </w:rPr>
          <w:t>153</w:t>
        </w:r>
        <w:r w:rsidR="00512D09">
          <w:fldChar w:fldCharType="end"/>
        </w:r>
      </w:hyperlink>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382"/>
      </w:tblGrid>
      <w:tr w:rsidR="006E62CB" w:rsidRPr="00BF5905" w:rsidTr="006E62CB">
        <w:trPr>
          <w:trHeight w:val="564"/>
        </w:trPr>
        <w:tc>
          <w:tcPr>
            <w:tcW w:w="6062" w:type="dxa"/>
          </w:tcPr>
          <w:p w:rsidR="006E62CB" w:rsidRPr="006E62CB" w:rsidRDefault="006E62CB" w:rsidP="006E62CB">
            <w:pPr>
              <w:spacing w:line="480" w:lineRule="auto"/>
              <w:jc w:val="right"/>
            </w:pPr>
            <m:oMath>
              <m:r>
                <w:rPr>
                  <w:rFonts w:ascii="Cambria Math" w:hAnsi="Cambria Math"/>
                </w:rPr>
                <m:t>∆ε= εLCP- εRCP= ∆A/(C×l</m:t>
              </m:r>
            </m:oMath>
            <w:r>
              <w:t>)</w:t>
            </w:r>
          </w:p>
        </w:tc>
        <w:tc>
          <w:tcPr>
            <w:tcW w:w="2382" w:type="dxa"/>
          </w:tcPr>
          <w:p w:rsidR="006E62CB" w:rsidRPr="00BF5905" w:rsidRDefault="006E62CB" w:rsidP="00EE7DCC">
            <w:pPr>
              <w:keepNext/>
              <w:spacing w:line="480" w:lineRule="auto"/>
              <w:jc w:val="right"/>
              <w:rPr>
                <w:rFonts w:eastAsiaTheme="minorEastAsia"/>
              </w:rPr>
            </w:pPr>
            <w:r>
              <w:rPr>
                <w:rFonts w:eastAsiaTheme="minorEastAsia"/>
              </w:rPr>
              <w:t>(</w:t>
            </w:r>
            <w:r>
              <w:rPr>
                <w:rFonts w:eastAsiaTheme="minorEastAsia"/>
                <w:i/>
              </w:rPr>
              <w:t>2.</w:t>
            </w:r>
            <w:r w:rsidR="00EE7DCC">
              <w:rPr>
                <w:rFonts w:eastAsiaTheme="minorEastAsia"/>
                <w:i/>
              </w:rPr>
              <w:t>3</w:t>
            </w:r>
            <w:r>
              <w:rPr>
                <w:rFonts w:eastAsiaTheme="minorEastAsia"/>
              </w:rPr>
              <w:t>)</w:t>
            </w:r>
          </w:p>
        </w:tc>
      </w:tr>
    </w:tbl>
    <w:p w:rsidR="00F14FC6" w:rsidRDefault="00F14FC6" w:rsidP="00F14FC6">
      <w:pPr>
        <w:spacing w:line="480" w:lineRule="auto"/>
        <w:jc w:val="both"/>
      </w:pPr>
      <w:r>
        <w:t xml:space="preserve">Where </w:t>
      </w:r>
      <w:r w:rsidRPr="005C1AE8">
        <w:t>εLCP and εRCP are the molar extinction coefficients for LCP and RCP light respectively, C is the molar concentration, and l is the pathlength in centimeters.</w:t>
      </w:r>
      <w:r>
        <w:t xml:space="preserve"> Degrees of ellipticity (θ) is a common measure in CD spectroscopy. It is related to </w:t>
      </w:r>
      <w:r w:rsidRPr="00195300">
        <w:t>Δ</w:t>
      </w:r>
      <w:r w:rsidRPr="00A62310">
        <w:rPr>
          <w:i/>
        </w:rPr>
        <w:t>A</w:t>
      </w:r>
      <w:r>
        <w:t xml:space="preserve"> by</w:t>
      </w:r>
      <w:r w:rsidR="00E95CC8">
        <w:t xml:space="preserve"> </w:t>
      </w:r>
      <w:r w:rsidR="00EE7DCC">
        <w:t>Equation 2.4</w:t>
      </w:r>
      <w:r w:rsidR="00E95CC8">
        <w:t xml:space="preserve">. </w:t>
      </w:r>
      <w:r>
        <w:t xml:space="preserve"> </w:t>
      </w:r>
      <w:hyperlink w:anchor="_ENREF_153" w:tooltip="Kelly, 2005 #715" w:history="1">
        <w:r w:rsidR="00512D09">
          <w:fldChar w:fldCharType="begin"/>
        </w:r>
        <w:r w:rsidR="00512D09">
          <w:instrText xml:space="preserve"> ADDIN EN.CITE &lt;EndNote&gt;&lt;Cite&gt;&lt;Author&gt;Kelly&lt;/Author&gt;&lt;Year&gt;2005&lt;/Year&gt;&lt;RecNum&gt;715&lt;/RecNum&gt;&lt;DisplayText&gt;&lt;style face="superscript"&gt;153&lt;/style&gt;&lt;/DisplayText&gt;&lt;record&gt;&lt;rec-number&gt;715&lt;/rec-number&gt;&lt;foreign-keys&gt;&lt;key app="EN" db-id="5trrespwzsdr07efd5tx2w96x22re9s0fsdt"&gt;715&lt;/key&gt;&lt;/foreign-keys&gt;&lt;ref-type name="Journal Article"&gt;17&lt;/ref-type&gt;&lt;contributors&gt;&lt;authors&gt;&lt;author&gt;Kelly, Sharon M&lt;/author&gt;&lt;author&gt;Jess, Thomas J&lt;/author&gt;&lt;author&gt;Price, Nicholas C&lt;/author&gt;&lt;/authors&gt;&lt;/contributors&gt;&lt;titles&gt;&lt;title&gt;How to study proteins by circular dichroism&lt;/title&gt;&lt;secondary-title&gt;Biochimica et Biophysica Acta (BBA)-Proteins and Proteomics&lt;/secondary-title&gt;&lt;/titles&gt;&lt;periodical&gt;&lt;full-title&gt;Biochimica et Biophysica Acta (BBA)-Proteins and Proteomics&lt;/full-title&gt;&lt;/periodical&gt;&lt;pages&gt;119-139&lt;/pages&gt;&lt;volume&gt;1751&lt;/volume&gt;&lt;number&gt;2&lt;/number&gt;&lt;dates&gt;&lt;year&gt;2005&lt;/year&gt;&lt;/dates&gt;&lt;isbn&gt;1570-9639&lt;/isbn&gt;&lt;urls&gt;&lt;/urls&gt;&lt;/record&gt;&lt;/Cite&gt;&lt;/EndNote&gt;</w:instrText>
        </w:r>
        <w:r w:rsidR="00512D09">
          <w:fldChar w:fldCharType="separate"/>
        </w:r>
        <w:r w:rsidR="00512D09" w:rsidRPr="00991167">
          <w:rPr>
            <w:noProof/>
            <w:vertAlign w:val="superscript"/>
          </w:rPr>
          <w:t>153</w:t>
        </w:r>
        <w:r w:rsidR="00512D09">
          <w:fldChar w:fldCharType="end"/>
        </w:r>
      </w:hyperlink>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516"/>
      </w:tblGrid>
      <w:tr w:rsidR="006E62CB" w:rsidRPr="00BF5905" w:rsidTr="006E62CB">
        <w:trPr>
          <w:trHeight w:val="564"/>
        </w:trPr>
        <w:tc>
          <w:tcPr>
            <w:tcW w:w="4928" w:type="dxa"/>
          </w:tcPr>
          <w:p w:rsidR="006E62CB" w:rsidRPr="006E62CB" w:rsidRDefault="006E62CB" w:rsidP="006E62CB">
            <w:pPr>
              <w:spacing w:line="480" w:lineRule="auto"/>
              <w:jc w:val="center"/>
              <w:rPr>
                <w:rFonts w:eastAsiaTheme="minorEastAsia"/>
              </w:rPr>
            </w:pPr>
            <m:oMathPara>
              <m:oMathParaPr>
                <m:jc m:val="right"/>
              </m:oMathParaPr>
              <m:oMath>
                <m:r>
                  <w:rPr>
                    <w:rFonts w:ascii="Cambria Math" w:hAnsi="Cambria Math"/>
                  </w:rPr>
                  <m:t>∆A= θ/32.982</m:t>
                </m:r>
              </m:oMath>
            </m:oMathPara>
          </w:p>
        </w:tc>
        <w:tc>
          <w:tcPr>
            <w:tcW w:w="3516" w:type="dxa"/>
          </w:tcPr>
          <w:p w:rsidR="006E62CB" w:rsidRPr="00BF5905" w:rsidRDefault="006E62CB" w:rsidP="00EE7DCC">
            <w:pPr>
              <w:keepNext/>
              <w:spacing w:line="480" w:lineRule="auto"/>
              <w:jc w:val="right"/>
              <w:rPr>
                <w:rFonts w:eastAsiaTheme="minorEastAsia"/>
              </w:rPr>
            </w:pPr>
            <w:r>
              <w:rPr>
                <w:rFonts w:eastAsiaTheme="minorEastAsia"/>
              </w:rPr>
              <w:t>(</w:t>
            </w:r>
            <w:r>
              <w:rPr>
                <w:rFonts w:eastAsiaTheme="minorEastAsia"/>
                <w:i/>
              </w:rPr>
              <w:t>2.</w:t>
            </w:r>
            <w:r w:rsidR="00EE7DCC">
              <w:rPr>
                <w:rFonts w:eastAsiaTheme="minorEastAsia"/>
                <w:i/>
              </w:rPr>
              <w:t>4</w:t>
            </w:r>
            <w:r>
              <w:rPr>
                <w:rFonts w:eastAsiaTheme="minorEastAsia"/>
              </w:rPr>
              <w:t>)</w:t>
            </w:r>
          </w:p>
        </w:tc>
      </w:tr>
    </w:tbl>
    <w:p w:rsidR="00F14FC6" w:rsidRDefault="00F14FC6" w:rsidP="00F14FC6">
      <w:pPr>
        <w:spacing w:line="480" w:lineRule="auto"/>
        <w:jc w:val="both"/>
      </w:pPr>
      <w:r>
        <w:t xml:space="preserve">Combing equations </w:t>
      </w:r>
      <w:r w:rsidR="00EE7DCC">
        <w:t xml:space="preserve">Equation 2.3 </w:t>
      </w:r>
      <w:r>
        <w:t xml:space="preserve">and </w:t>
      </w:r>
      <w:r w:rsidR="00EE7DCC">
        <w:t>Equation 2.4</w:t>
      </w:r>
      <w:r w:rsidR="00E95CC8">
        <w:t xml:space="preserve"> </w:t>
      </w:r>
      <w:r>
        <w:t xml:space="preserve">with introduction of a concentration term yields the equation for molar ellipticity [θ]: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516"/>
      </w:tblGrid>
      <w:tr w:rsidR="006E62CB" w:rsidRPr="00BF5905" w:rsidTr="006E62CB">
        <w:trPr>
          <w:trHeight w:val="564"/>
        </w:trPr>
        <w:tc>
          <w:tcPr>
            <w:tcW w:w="4928" w:type="dxa"/>
          </w:tcPr>
          <w:p w:rsidR="006E62CB" w:rsidRPr="00CA529E" w:rsidRDefault="00040F10" w:rsidP="006E62CB">
            <w:pPr>
              <w:spacing w:line="480" w:lineRule="auto"/>
              <w:jc w:val="center"/>
              <w:rPr>
                <w:rFonts w:eastAsiaTheme="minorEastAsia"/>
              </w:rPr>
            </w:pPr>
            <m:oMathPara>
              <m:oMathParaPr>
                <m:jc m:val="right"/>
              </m:oMathParaPr>
              <m:oMath>
                <m:d>
                  <m:dPr>
                    <m:begChr m:val="["/>
                    <m:endChr m:val="]"/>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 xml:space="preserve">= </m:t>
                </m:r>
                <m:f>
                  <m:fPr>
                    <m:ctrlPr>
                      <w:rPr>
                        <w:rFonts w:ascii="Cambria Math" w:hAnsi="Cambria Math"/>
                        <w:i/>
                      </w:rPr>
                    </m:ctrlPr>
                  </m:fPr>
                  <m:num>
                    <m:r>
                      <w:rPr>
                        <w:rFonts w:ascii="Cambria Math" w:hAnsi="Cambria Math"/>
                      </w:rPr>
                      <m:t>θ ×100 ×M</m:t>
                    </m:r>
                  </m:num>
                  <m:den>
                    <m:r>
                      <w:rPr>
                        <w:rFonts w:ascii="Cambria Math" w:hAnsi="Cambria Math"/>
                      </w:rPr>
                      <m:t>C ×l ×n</m:t>
                    </m:r>
                  </m:den>
                </m:f>
              </m:oMath>
            </m:oMathPara>
          </w:p>
          <w:p w:rsidR="006E62CB" w:rsidRPr="006E62CB" w:rsidRDefault="006E62CB" w:rsidP="006E62CB">
            <w:pPr>
              <w:spacing w:line="480" w:lineRule="auto"/>
              <w:jc w:val="center"/>
              <w:rPr>
                <w:rFonts w:eastAsiaTheme="minorEastAsia"/>
              </w:rPr>
            </w:pPr>
          </w:p>
        </w:tc>
        <w:tc>
          <w:tcPr>
            <w:tcW w:w="3516" w:type="dxa"/>
          </w:tcPr>
          <w:p w:rsidR="006E62CB" w:rsidRPr="00BF5905" w:rsidRDefault="006E62CB" w:rsidP="00EE7DCC">
            <w:pPr>
              <w:keepNext/>
              <w:spacing w:line="480" w:lineRule="auto"/>
              <w:jc w:val="right"/>
              <w:rPr>
                <w:rFonts w:eastAsiaTheme="minorEastAsia"/>
              </w:rPr>
            </w:pPr>
            <w:r>
              <w:rPr>
                <w:rFonts w:eastAsiaTheme="minorEastAsia"/>
              </w:rPr>
              <w:t>(</w:t>
            </w:r>
            <w:r>
              <w:rPr>
                <w:rFonts w:eastAsiaTheme="minorEastAsia"/>
                <w:i/>
              </w:rPr>
              <w:t>2.</w:t>
            </w:r>
            <w:r w:rsidR="00EE7DCC">
              <w:rPr>
                <w:rFonts w:eastAsiaTheme="minorEastAsia"/>
                <w:i/>
              </w:rPr>
              <w:t>5</w:t>
            </w:r>
            <w:r>
              <w:rPr>
                <w:rFonts w:eastAsiaTheme="minorEastAsia"/>
              </w:rPr>
              <w:t>)</w:t>
            </w:r>
          </w:p>
        </w:tc>
      </w:tr>
    </w:tbl>
    <w:p w:rsidR="00F14FC6" w:rsidRDefault="00F14FC6" w:rsidP="00F14FC6">
      <w:pPr>
        <w:spacing w:line="480" w:lineRule="auto"/>
        <w:jc w:val="both"/>
      </w:pPr>
      <w:r>
        <w:lastRenderedPageBreak/>
        <w:t xml:space="preserve">Where C </w:t>
      </w:r>
      <w:r w:rsidRPr="00CA529E">
        <w:t>is the concentration in mg/ml, M is the molecular mass of the molecule, θ is the ellipticity in degrees, l us the optical path length in cm and in the case of proteins, n is the number of amino acid residues.</w:t>
      </w:r>
      <w:r>
        <w:t xml:space="preserve"> </w:t>
      </w:r>
      <w:r w:rsidR="00EE7DCC">
        <w:t>Equation 2.5</w:t>
      </w:r>
      <w:r>
        <w:t xml:space="preserve"> allows for easy comparison of results if other protein concentrations are used. Effectively this equation standardises the results. </w:t>
      </w:r>
      <w:hyperlink w:anchor="_ENREF_153" w:tooltip="Kelly, 2005 #715" w:history="1">
        <w:r w:rsidR="00512D09">
          <w:fldChar w:fldCharType="begin"/>
        </w:r>
        <w:r w:rsidR="00512D09">
          <w:instrText xml:space="preserve"> ADDIN EN.CITE &lt;EndNote&gt;&lt;Cite&gt;&lt;Author&gt;Kelly&lt;/Author&gt;&lt;Year&gt;2005&lt;/Year&gt;&lt;RecNum&gt;715&lt;/RecNum&gt;&lt;DisplayText&gt;&lt;style face="superscript"&gt;153&lt;/style&gt;&lt;/DisplayText&gt;&lt;record&gt;&lt;rec-number&gt;715&lt;/rec-number&gt;&lt;foreign-keys&gt;&lt;key app="EN" db-id="5trrespwzsdr07efd5tx2w96x22re9s0fsdt"&gt;715&lt;/key&gt;&lt;/foreign-keys&gt;&lt;ref-type name="Journal Article"&gt;17&lt;/ref-type&gt;&lt;contributors&gt;&lt;authors&gt;&lt;author&gt;Kelly, Sharon M&lt;/author&gt;&lt;author&gt;Jess, Thomas J&lt;/author&gt;&lt;author&gt;Price, Nicholas C&lt;/author&gt;&lt;/authors&gt;&lt;/contributors&gt;&lt;titles&gt;&lt;title&gt;How to study proteins by circular dichroism&lt;/title&gt;&lt;secondary-title&gt;Biochimica et Biophysica Acta (BBA)-Proteins and Proteomics&lt;/secondary-title&gt;&lt;/titles&gt;&lt;periodical&gt;&lt;full-title&gt;Biochimica et Biophysica Acta (BBA)-Proteins and Proteomics&lt;/full-title&gt;&lt;/periodical&gt;&lt;pages&gt;119-139&lt;/pages&gt;&lt;volume&gt;1751&lt;/volume&gt;&lt;number&gt;2&lt;/number&gt;&lt;dates&gt;&lt;year&gt;2005&lt;/year&gt;&lt;/dates&gt;&lt;isbn&gt;1570-9639&lt;/isbn&gt;&lt;urls&gt;&lt;/urls&gt;&lt;/record&gt;&lt;/Cite&gt;&lt;/EndNote&gt;</w:instrText>
        </w:r>
        <w:r w:rsidR="00512D09">
          <w:fldChar w:fldCharType="separate"/>
        </w:r>
        <w:r w:rsidR="00512D09" w:rsidRPr="00991167">
          <w:rPr>
            <w:noProof/>
            <w:vertAlign w:val="superscript"/>
          </w:rPr>
          <w:t>153</w:t>
        </w:r>
        <w:r w:rsidR="00512D09">
          <w:fldChar w:fldCharType="end"/>
        </w:r>
      </w:hyperlink>
    </w:p>
    <w:p w:rsidR="001F66BF" w:rsidRDefault="00F14FC6" w:rsidP="001F66BF">
      <w:pPr>
        <w:spacing w:line="480" w:lineRule="auto"/>
        <w:jc w:val="both"/>
      </w:pPr>
      <w:r>
        <w:t>Electronic transitions are responsible for the characteristic absorptions in CD spectra</w:t>
      </w:r>
      <w:r w:rsidR="00C96C5F">
        <w:t xml:space="preserve">. </w:t>
      </w:r>
      <w:r>
        <w:t xml:space="preserve">The peptide bond is responsible for the absorption below 250 nm. Lone pairs of electrons found in oxygen, sulphur and nitrogen  when in the excited state transit into antibonding orbitals yielding negative bands at </w:t>
      </w:r>
      <w:r w:rsidRPr="00C4018E">
        <w:t xml:space="preserve">≈ </w:t>
      </w:r>
      <w:r>
        <w:t xml:space="preserve">222 nm for the α-helix and 216-218 for the β-pleated sheet. </w:t>
      </w:r>
      <w:hyperlink w:anchor="_ENREF_154" w:tooltip="Ranjbar, 2009 #615" w:history="1">
        <w:r w:rsidR="00512D09">
          <w:fldChar w:fldCharType="begin"/>
        </w:r>
        <w:r w:rsidR="00512D09">
          <w:instrText xml:space="preserve"> ADDIN EN.CITE &lt;EndNote&gt;&lt;Cite&gt;&lt;Author&gt;Ranjbar&lt;/Author&gt;&lt;Year&gt;2009&lt;/Year&gt;&lt;RecNum&gt;615&lt;/RecNum&gt;&lt;DisplayText&gt;&lt;style face="superscript"&gt;154&lt;/style&gt;&lt;/DisplayText&gt;&lt;record&gt;&lt;rec-number&gt;615&lt;/rec-number&gt;&lt;foreign-keys&gt;&lt;key app="EN" db-id="5trrespwzsdr07efd5tx2w96x22re9s0fsdt"&gt;615&lt;/key&gt;&lt;/foreign-keys&gt;&lt;ref-type name="Journal Article"&gt;17&lt;/ref-type&gt;&lt;contributors&gt;&lt;authors&gt;&lt;author&gt;Ranjbar, Bijan&lt;/author&gt;&lt;author&gt;Gill, Pooria&lt;/author&gt;&lt;/authors&gt;&lt;/contributors&gt;&lt;titles&gt;&lt;title&gt;Circular Dichroism Techniques: Biomolecular and Nanostructural Analyses- A Review&lt;/title&gt;&lt;secondary-title&gt;Chem Biol Drug Des&lt;/secondary-title&gt;&lt;/titles&gt;&lt;periodical&gt;&lt;full-title&gt;Chem Biol Drug Des&lt;/full-title&gt;&lt;abbr-1&gt;Chemical biology &amp;amp; drug design&lt;/abbr-1&gt;&lt;/periodical&gt;&lt;pages&gt;101-120&lt;/pages&gt;&lt;volume&gt;74&lt;/volume&gt;&lt;number&gt;2&lt;/number&gt;&lt;keywords&gt;&lt;keyword&gt;biomolecular analysis&lt;/keyword&gt;&lt;keyword&gt;chirality&lt;/keyword&gt;&lt;keyword&gt;circular dichroism&lt;/keyword&gt;&lt;keyword&gt;FDCD&lt;/keyword&gt;&lt;keyword&gt;FTIR-VCD&lt;/keyword&gt;&lt;keyword&gt;HPLC-CD&lt;/keyword&gt;&lt;keyword&gt;MCD&lt;/keyword&gt;&lt;keyword&gt;MVCD&lt;/keyword&gt;&lt;keyword&gt;nanostructural analysis&lt;/keyword&gt;&lt;keyword&gt;NIR-CD&lt;/keyword&gt;&lt;keyword&gt;SRCD&lt;/keyword&gt;&lt;keyword&gt;stopped-flow CD&lt;/keyword&gt;&lt;keyword&gt;VCD&lt;/keyword&gt;&lt;keyword&gt;XMCD&lt;/keyword&gt;&lt;/keywords&gt;&lt;dates&gt;&lt;year&gt;2009&lt;/year&gt;&lt;/dates&gt;&lt;publisher&gt;Blackwell Publishing Ltd&lt;/publisher&gt;&lt;isbn&gt;1747-0285&lt;/isbn&gt;&lt;urls&gt;&lt;related-urls&gt;&lt;url&gt;http://dx.doi.org/10.1111/j.1747-0285.2009.00847.x&lt;/url&gt;&lt;/related-urls&gt;&lt;/urls&gt;&lt;electronic-resource-num&gt;10.1111/j.1747-0285.2009.00847.x&lt;/electronic-resource-num&gt;&lt;/record&gt;&lt;/Cite&gt;&lt;/EndNote&gt;</w:instrText>
        </w:r>
        <w:r w:rsidR="00512D09">
          <w:fldChar w:fldCharType="separate"/>
        </w:r>
        <w:r w:rsidR="00512D09" w:rsidRPr="00991167">
          <w:rPr>
            <w:noProof/>
            <w:vertAlign w:val="superscript"/>
          </w:rPr>
          <w:t>154</w:t>
        </w:r>
        <w:r w:rsidR="00512D09">
          <w:fldChar w:fldCharType="end"/>
        </w:r>
      </w:hyperlink>
      <w:r w:rsidR="005D4B0A">
        <w:t xml:space="preserve"> </w:t>
      </w:r>
      <w:r>
        <w:t xml:space="preserve">Electrons, when excited leave the </w:t>
      </w:r>
      <w:r w:rsidRPr="00D74A6C">
        <w:t>π </w:t>
      </w:r>
      <w:r>
        <w:t xml:space="preserve">orbital and go into the </w:t>
      </w:r>
      <w:r w:rsidRPr="00D74A6C">
        <w:t>π </w:t>
      </w:r>
      <w:r>
        <w:t xml:space="preserve">antibonding orbital. For the α-helix this produces a positive band at </w:t>
      </w:r>
      <w:r w:rsidRPr="00C4018E">
        <w:t xml:space="preserve">≈ </w:t>
      </w:r>
      <w:r>
        <w:t xml:space="preserve">190 nm and a negative band at </w:t>
      </w:r>
      <w:r w:rsidRPr="00C4018E">
        <w:t xml:space="preserve">≈ </w:t>
      </w:r>
      <w:r>
        <w:t xml:space="preserve">208 nm. For the β-pleated sheet there is a positive band at </w:t>
      </w:r>
      <w:r w:rsidRPr="00C4018E">
        <w:t xml:space="preserve">≈ </w:t>
      </w:r>
      <w:r>
        <w:t>198 nm.  The characteristic negative absorption at 200 nm for random coil peptides is due to electron coupling between the carbonyl α-carbon and the peptide bond.</w:t>
      </w:r>
      <w:hyperlink w:anchor="_ENREF_155" w:tooltip="Gokce, 2005 #613" w:history="1">
        <w:r w:rsidR="00512D09">
          <w:fldChar w:fldCharType="begin"/>
        </w:r>
        <w:r w:rsidR="00512D09">
          <w:instrText xml:space="preserve"> ADDIN EN.CITE &lt;EndNote&gt;&lt;Cite&gt;&lt;Author&gt;Gokce&lt;/Author&gt;&lt;Year&gt;2005&lt;/Year&gt;&lt;RecNum&gt;613&lt;/RecNum&gt;&lt;DisplayText&gt;&lt;style face="superscript"&gt;155&lt;/style&gt;&lt;/DisplayText&gt;&lt;record&gt;&lt;rec-number&gt;613&lt;/rec-number&gt;&lt;foreign-keys&gt;&lt;key app="EN" db-id="5trrespwzsdr07efd5tx2w96x22re9s0fsdt"&gt;613&lt;/key&gt;&lt;/foreign-keys&gt;&lt;ref-type name="Journal Article"&gt;17&lt;/ref-type&gt;&lt;contributors&gt;&lt;authors&gt;&lt;author&gt;Gokce, Isa&lt;/author&gt;&lt;author&gt;Woody, Robert W&lt;/author&gt;&lt;author&gt;Anderluh, Gregor&lt;/author&gt;&lt;author&gt;Lakey, Jeremy H&lt;/author&gt;&lt;/authors&gt;&lt;/contributors&gt;&lt;titles&gt;&lt;title&gt;Single peptide bonds exhibit poly (pro) II (“random coil”) circular dichroism spectra&lt;/title&gt;&lt;secondary-title&gt;J Am Chem Soc&lt;/secondary-title&gt;&lt;/titles&gt;&lt;periodical&gt;&lt;full-title&gt;J Am Chem Soc&lt;/full-title&gt;&lt;abbr-1&gt;Journal of the American Chemical Society&lt;/abbr-1&gt;&lt;/periodical&gt;&lt;pages&gt;9700-9701&lt;/pages&gt;&lt;volume&gt;127&lt;/volume&gt;&lt;number&gt;27&lt;/number&gt;&lt;dates&gt;&lt;year&gt;2005&lt;/year&gt;&lt;/dates&gt;&lt;isbn&gt;0002-7863&lt;/isbn&gt;&lt;urls&gt;&lt;/urls&gt;&lt;/record&gt;&lt;/Cite&gt;&lt;/EndNote&gt;</w:instrText>
        </w:r>
        <w:r w:rsidR="00512D09">
          <w:fldChar w:fldCharType="separate"/>
        </w:r>
        <w:r w:rsidR="00512D09" w:rsidRPr="00991167">
          <w:rPr>
            <w:noProof/>
            <w:vertAlign w:val="superscript"/>
          </w:rPr>
          <w:t>155</w:t>
        </w:r>
        <w:r w:rsidR="00512D09">
          <w:fldChar w:fldCharType="end"/>
        </w:r>
      </w:hyperlink>
      <w:r>
        <w:t xml:space="preserve"> The electronic transition thought to be responsible are electrons moving from the π orbital to the antibonding π orbital. A negative band</w:t>
      </w:r>
      <w:r w:rsidRPr="00574ED4">
        <w:t xml:space="preserve"> </w:t>
      </w:r>
      <w:r>
        <w:t>necessitates</w:t>
      </w:r>
      <w:r w:rsidRPr="00574ED4">
        <w:t xml:space="preserve"> absor</w:t>
      </w:r>
      <w:r w:rsidR="00DF451E">
        <w:t>ption of left circularly polaris</w:t>
      </w:r>
      <w:r w:rsidRPr="00574ED4">
        <w:t xml:space="preserve">ed light, and a positive </w:t>
      </w:r>
      <w:r>
        <w:t>band</w:t>
      </w:r>
      <w:r w:rsidRPr="00574ED4">
        <w:t xml:space="preserve"> necessitates absorption of right circularly polarized light</w:t>
      </w:r>
      <w:r>
        <w:t>.</w:t>
      </w:r>
      <w:hyperlink w:anchor="_ENREF_156" w:tooltip="Corrêa, 2009 #614" w:history="1">
        <w:r w:rsidR="00512D09">
          <w:fldChar w:fldCharType="begin"/>
        </w:r>
        <w:r w:rsidR="00512D09">
          <w:instrText xml:space="preserve"> ADDIN EN.CITE &lt;EndNote&gt;&lt;Cite&gt;&lt;Author&gt;Corrêa&lt;/Author&gt;&lt;Year&gt;2009&lt;/Year&gt;&lt;RecNum&gt;614&lt;/RecNum&gt;&lt;DisplayText&gt;&lt;style face="superscript"&gt;156&lt;/style&gt;&lt;/DisplayText&gt;&lt;record&gt;&lt;rec-number&gt;614&lt;/rec-number&gt;&lt;foreign-keys&gt;&lt;key app="EN" db-id="5trrespwzsdr07efd5tx2w96x22re9s0fsdt"&gt;614&lt;/key&gt;&lt;/foreign-keys&gt;&lt;ref-type name="Journal Article"&gt;17&lt;/ref-type&gt;&lt;contributors&gt;&lt;authors&gt;&lt;author&gt;Corrêa, Daniel HA&lt;/author&gt;&lt;author&gt;Ramos, Carlos HI&lt;/author&gt;&lt;/authors&gt;&lt;/contributors&gt;&lt;titles&gt;&lt;title&gt;The use of circular dichroism spectroscopy to study protein folding, form and function&lt;/title&gt;&lt;secondary-title&gt;African Journal of Biochemistry Research&lt;/secondary-title&gt;&lt;/titles&gt;&lt;periodical&gt;&lt;full-title&gt;African Journal of Biochemistry Research&lt;/full-title&gt;&lt;/periodical&gt;&lt;pages&gt;164-173&lt;/pages&gt;&lt;volume&gt;3&lt;/volume&gt;&lt;number&gt;5&lt;/number&gt;&lt;dates&gt;&lt;year&gt;2009&lt;/year&gt;&lt;/dates&gt;&lt;urls&gt;&lt;/urls&gt;&lt;/record&gt;&lt;/Cite&gt;&lt;/EndNote&gt;</w:instrText>
        </w:r>
        <w:r w:rsidR="00512D09">
          <w:fldChar w:fldCharType="separate"/>
        </w:r>
        <w:r w:rsidR="00512D09" w:rsidRPr="00991167">
          <w:rPr>
            <w:noProof/>
            <w:vertAlign w:val="superscript"/>
          </w:rPr>
          <w:t>156</w:t>
        </w:r>
        <w:r w:rsidR="00512D09">
          <w:fldChar w:fldCharType="end"/>
        </w:r>
      </w:hyperlink>
      <w:r w:rsidR="00C96C5F">
        <w:t xml:space="preserve"> </w:t>
      </w:r>
      <w:r w:rsidR="001F66BF">
        <w:t xml:space="preserve">The derivation of the equations used for CD spectroscopy were taken from Kelly </w:t>
      </w:r>
      <w:r w:rsidR="001F66BF" w:rsidRPr="002D4FF8">
        <w:rPr>
          <w:i/>
        </w:rPr>
        <w:t>et al</w:t>
      </w:r>
      <w:r w:rsidR="001F66BF">
        <w:t>.</w:t>
      </w:r>
      <w:hyperlink w:anchor="_ENREF_153" w:tooltip="Kelly, 2005 #715" w:history="1">
        <w:r w:rsidR="00512D09">
          <w:fldChar w:fldCharType="begin"/>
        </w:r>
        <w:r w:rsidR="00512D09">
          <w:instrText xml:space="preserve"> ADDIN EN.CITE &lt;EndNote&gt;&lt;Cite&gt;&lt;Author&gt;Kelly&lt;/Author&gt;&lt;Year&gt;2005&lt;/Year&gt;&lt;RecNum&gt;715&lt;/RecNum&gt;&lt;DisplayText&gt;&lt;style face="superscript"&gt;153&lt;/style&gt;&lt;/DisplayText&gt;&lt;record&gt;&lt;rec-number&gt;715&lt;/rec-number&gt;&lt;foreign-keys&gt;&lt;key app="EN" db-id="5trrespwzsdr07efd5tx2w96x22re9s0fsdt"&gt;715&lt;/key&gt;&lt;/foreign-keys&gt;&lt;ref-type name="Journal Article"&gt;17&lt;/ref-type&gt;&lt;contributors&gt;&lt;authors&gt;&lt;author&gt;Kelly, Sharon M&lt;/author&gt;&lt;author&gt;Jess, Thomas J&lt;/author&gt;&lt;author&gt;Price, Nicholas C&lt;/author&gt;&lt;/authors&gt;&lt;/contributors&gt;&lt;titles&gt;&lt;title&gt;How to study proteins by circular dichroism&lt;/title&gt;&lt;secondary-title&gt;Biochimica et Biophysica Acta (BBA)-Proteins and Proteomics&lt;/secondary-title&gt;&lt;/titles&gt;&lt;periodical&gt;&lt;full-title&gt;Biochimica et Biophysica Acta (BBA)-Proteins and Proteomics&lt;/full-title&gt;&lt;/periodical&gt;&lt;pages&gt;119-139&lt;/pages&gt;&lt;volume&gt;1751&lt;/volume&gt;&lt;number&gt;2&lt;/number&gt;&lt;dates&gt;&lt;year&gt;2005&lt;/year&gt;&lt;/dates&gt;&lt;isbn&gt;1570-9639&lt;/isbn&gt;&lt;urls&gt;&lt;/urls&gt;&lt;/record&gt;&lt;/Cite&gt;&lt;/EndNote&gt;</w:instrText>
        </w:r>
        <w:r w:rsidR="00512D09">
          <w:fldChar w:fldCharType="separate"/>
        </w:r>
        <w:r w:rsidR="00512D09" w:rsidRPr="00991167">
          <w:rPr>
            <w:noProof/>
            <w:vertAlign w:val="superscript"/>
          </w:rPr>
          <w:t>153</w:t>
        </w:r>
        <w:r w:rsidR="00512D09">
          <w:fldChar w:fldCharType="end"/>
        </w:r>
      </w:hyperlink>
    </w:p>
    <w:p w:rsidR="00C96C5F" w:rsidRDefault="00C96C5F" w:rsidP="001F66BF">
      <w:pPr>
        <w:spacing w:line="480" w:lineRule="auto"/>
        <w:jc w:val="both"/>
      </w:pPr>
    </w:p>
    <w:p w:rsidR="00C96C5F" w:rsidRDefault="00C96C5F" w:rsidP="001F66BF">
      <w:pPr>
        <w:spacing w:line="480" w:lineRule="auto"/>
        <w:jc w:val="both"/>
      </w:pPr>
    </w:p>
    <w:p w:rsidR="00C96C5F" w:rsidRDefault="00C96C5F" w:rsidP="001F66BF">
      <w:pPr>
        <w:spacing w:line="480" w:lineRule="auto"/>
        <w:jc w:val="both"/>
      </w:pPr>
    </w:p>
    <w:p w:rsidR="00C96C5F" w:rsidRDefault="00C96C5F" w:rsidP="001F66BF">
      <w:pPr>
        <w:spacing w:line="480" w:lineRule="auto"/>
        <w:jc w:val="both"/>
      </w:pPr>
    </w:p>
    <w:p w:rsidR="00C96C5F" w:rsidRDefault="00C96C5F" w:rsidP="001F66BF">
      <w:pPr>
        <w:spacing w:line="480" w:lineRule="auto"/>
        <w:jc w:val="both"/>
      </w:pPr>
    </w:p>
    <w:p w:rsidR="001F66BF" w:rsidRPr="001F66BF" w:rsidRDefault="001F66BF" w:rsidP="001F66BF"/>
    <w:p w:rsidR="00F14FC6" w:rsidRDefault="00F14FC6" w:rsidP="000B5460">
      <w:pPr>
        <w:pStyle w:val="Heading2"/>
      </w:pPr>
      <w:bookmarkStart w:id="61" w:name="_Toc459130680"/>
      <w:r>
        <w:lastRenderedPageBreak/>
        <w:t>Isothermal Titration Calorimetry</w:t>
      </w:r>
      <w:bookmarkEnd w:id="61"/>
      <w:r>
        <w:t xml:space="preserve"> </w:t>
      </w:r>
    </w:p>
    <w:p w:rsidR="000B5460" w:rsidRPr="000B5460" w:rsidRDefault="000B5460" w:rsidP="000B5460"/>
    <w:p w:rsidR="00F14FC6" w:rsidRDefault="00F14FC6" w:rsidP="00F14FC6">
      <w:pPr>
        <w:spacing w:line="480" w:lineRule="auto"/>
        <w:jc w:val="both"/>
        <w:rPr>
          <w:bCs/>
        </w:rPr>
      </w:pPr>
      <w:r w:rsidRPr="00957E3C">
        <w:rPr>
          <w:bCs/>
        </w:rPr>
        <w:t>Isothermal Titration Calorimetry (ITC) is technique capable of measuring the heats absorbed or realised when molecules interact in solution</w:t>
      </w:r>
      <w:r>
        <w:rPr>
          <w:bCs/>
        </w:rPr>
        <w:t xml:space="preserve"> at a constant temperature</w:t>
      </w:r>
      <w:r w:rsidRPr="00957E3C">
        <w:rPr>
          <w:bCs/>
        </w:rPr>
        <w:t xml:space="preserve">. </w:t>
      </w:r>
      <w:r>
        <w:rPr>
          <w:bCs/>
        </w:rPr>
        <w:t>The reaction is started by the titration of one chemical species into a solution of a different chemical species. I</w:t>
      </w:r>
      <w:r w:rsidRPr="00F175C3">
        <w:rPr>
          <w:bCs/>
        </w:rPr>
        <w:t xml:space="preserve">f the chemical species interact </w:t>
      </w:r>
      <w:r>
        <w:rPr>
          <w:bCs/>
        </w:rPr>
        <w:t xml:space="preserve">the direct thermodynamic observable is the heat associated with the reaction. </w:t>
      </w:r>
      <w:r w:rsidR="00BA7E7A">
        <w:rPr>
          <w:bCs/>
        </w:rPr>
        <w:t>Therefore,</w:t>
      </w:r>
      <w:r>
        <w:rPr>
          <w:bCs/>
        </w:rPr>
        <w:t xml:space="preserve"> the independent variable is the total concentration of reactant. </w:t>
      </w:r>
    </w:p>
    <w:p w:rsidR="00F14FC6" w:rsidRDefault="00F14FC6" w:rsidP="00BD1AFA">
      <w:pPr>
        <w:pStyle w:val="Heading3"/>
      </w:pPr>
      <w:bookmarkStart w:id="62" w:name="_Toc459130681"/>
      <w:r w:rsidRPr="006539C5">
        <w:t>Instrumentation</w:t>
      </w:r>
      <w:bookmarkEnd w:id="62"/>
    </w:p>
    <w:p w:rsidR="00BD1AFA" w:rsidRPr="00BD1AFA" w:rsidRDefault="00BD1AFA" w:rsidP="00BD1AFA"/>
    <w:p w:rsidR="00F14FC6" w:rsidRDefault="00F14FC6" w:rsidP="00F14FC6">
      <w:pPr>
        <w:spacing w:line="480" w:lineRule="auto"/>
        <w:jc w:val="both"/>
        <w:rPr>
          <w:bCs/>
        </w:rPr>
      </w:pPr>
      <w:r w:rsidRPr="002D762E">
        <w:rPr>
          <w:bCs/>
        </w:rPr>
        <w:t>The TA instruments Nano calorimeter</w:t>
      </w:r>
      <w:r>
        <w:rPr>
          <w:bCs/>
        </w:rPr>
        <w:t xml:space="preserve"> uses two matched 197 µL gold reaction vessels: a reference cell and a sample cell. The calorimeter</w:t>
      </w:r>
      <w:r w:rsidRPr="00765B1D">
        <w:rPr>
          <w:bCs/>
        </w:rPr>
        <w:t xml:space="preserve"> uses a differential compensation design where the production of heat (μ</w:t>
      </w:r>
      <w:r>
        <w:rPr>
          <w:bCs/>
        </w:rPr>
        <w:t>J</w:t>
      </w:r>
      <w:r w:rsidRPr="00765B1D">
        <w:rPr>
          <w:bCs/>
        </w:rPr>
        <w:t xml:space="preserve">) in the sample cell is monitored through power consumption </w:t>
      </w:r>
      <w:r>
        <w:rPr>
          <w:bCs/>
        </w:rPr>
        <w:t>(</w:t>
      </w:r>
      <w:r w:rsidRPr="00765B1D">
        <w:rPr>
          <w:bCs/>
        </w:rPr>
        <w:t>μWatts</w:t>
      </w:r>
      <w:r>
        <w:rPr>
          <w:bCs/>
        </w:rPr>
        <w:t>)</w:t>
      </w:r>
      <w:r w:rsidRPr="00765B1D">
        <w:rPr>
          <w:bCs/>
        </w:rPr>
        <w:t xml:space="preserve"> to the sample cell to maintain it as the same temperature as the reference cell.</w:t>
      </w:r>
      <w:r>
        <w:rPr>
          <w:bCs/>
        </w:rPr>
        <w:t xml:space="preserve"> Semiconducting thermoelectric devices (TED) are used for temperature control and to detect temperature changes between the two cells. To match the thermal properties of the sample cell, the reference cell is built to match it as close as possible. To help with this, a reference needle is entered into the reference cell as the sample cell contains the syringe in addition to filling the reference cell with a solution of a similar heat capacity to that of the sample. </w:t>
      </w:r>
      <w:r w:rsidR="004B3926">
        <w:rPr>
          <w:bCs/>
        </w:rPr>
        <w:t>Therefore,</w:t>
      </w:r>
      <w:r>
        <w:rPr>
          <w:bCs/>
        </w:rPr>
        <w:t xml:space="preserve"> if the sample buffer contains an organic solvent or is high in ionic strength the reference cell should contain the buffer rather than water. </w:t>
      </w:r>
    </w:p>
    <w:p w:rsidR="00BA50F4" w:rsidRDefault="00F14FC6" w:rsidP="00F14FC6">
      <w:pPr>
        <w:spacing w:line="480" w:lineRule="auto"/>
        <w:jc w:val="both"/>
        <w:rPr>
          <w:bCs/>
        </w:rPr>
      </w:pPr>
      <w:r>
        <w:rPr>
          <w:bCs/>
        </w:rPr>
        <w:t>The burette handle fixes the syringe into the sample cell. Appropriately fitted, and once the titration has begun, the syringe can mix the chemical species together producing a ho</w:t>
      </w:r>
      <w:r w:rsidR="00E61E35">
        <w:rPr>
          <w:bCs/>
        </w:rPr>
        <w:t xml:space="preserve">mogeneity within the cell.  </w:t>
      </w:r>
    </w:p>
    <w:p w:rsidR="00E61E35" w:rsidRDefault="00E61E35" w:rsidP="00F14FC6">
      <w:pPr>
        <w:spacing w:line="480" w:lineRule="auto"/>
        <w:jc w:val="both"/>
        <w:rPr>
          <w:bCs/>
        </w:rPr>
      </w:pPr>
    </w:p>
    <w:p w:rsidR="00F14FC6" w:rsidRDefault="00F14FC6" w:rsidP="00BD1AFA">
      <w:pPr>
        <w:pStyle w:val="Heading3"/>
      </w:pPr>
      <w:bookmarkStart w:id="63" w:name="_Toc459130682"/>
      <w:r>
        <w:lastRenderedPageBreak/>
        <w:t>Method</w:t>
      </w:r>
      <w:bookmarkEnd w:id="63"/>
    </w:p>
    <w:p w:rsidR="00BD1AFA" w:rsidRPr="00BD1AFA" w:rsidRDefault="00BD1AFA" w:rsidP="00BD1AFA"/>
    <w:p w:rsidR="00F14FC6" w:rsidRDefault="00F14FC6" w:rsidP="00E61E35">
      <w:pPr>
        <w:spacing w:line="480" w:lineRule="auto"/>
        <w:jc w:val="both"/>
        <w:rPr>
          <w:bCs/>
        </w:rPr>
      </w:pPr>
      <w:r w:rsidRPr="006539C5">
        <w:rPr>
          <w:bCs/>
        </w:rPr>
        <w:t>The sample cell contains the molecule of interest in solution. Invariably it is the host, for instance a protein or DNA. However, in the case of reverse titrations, the sample cell will contain the ligand. In an incremental titration, one of the reactants (the ligand</w:t>
      </w:r>
      <w:r>
        <w:rPr>
          <w:bCs/>
        </w:rPr>
        <w:t xml:space="preserve"> in case of normal titrations</w:t>
      </w:r>
      <w:r w:rsidRPr="006539C5">
        <w:rPr>
          <w:bCs/>
        </w:rPr>
        <w:t xml:space="preserve">) is placed in the syringe. The syringe is inserted into the burette handle. This is then fixed into the calorimeter. The heat signal i.e. the baseline, is then left to stabilise to below 0.1 μWatts whilst the syringe is rotating within the cell. This will ensure that the ligand and the host are mixed effectively during the course of the titration. The baseline is used to calculate the area of the heat from each pulse in the reaction vessel from the titration forming a thermogram. </w:t>
      </w:r>
      <w:r>
        <w:rPr>
          <w:bCs/>
        </w:rPr>
        <w:t xml:space="preserve">During the course of the titration the amount of heat will decrease as the host becomes saturated with ligand. Eventually, the macromolecule will become saturated and the detected heats will represent ligand dilution. A schematic of an ITC is shown in </w:t>
      </w:r>
      <w:r w:rsidR="0075172E">
        <w:rPr>
          <w:bCs/>
        </w:rPr>
        <w:fldChar w:fldCharType="begin"/>
      </w:r>
      <w:r w:rsidR="005D4B0A">
        <w:rPr>
          <w:bCs/>
        </w:rPr>
        <w:instrText xml:space="preserve"> REF _Ref442865650 \h </w:instrText>
      </w:r>
      <w:r w:rsidR="0075172E">
        <w:rPr>
          <w:bCs/>
        </w:rPr>
      </w:r>
      <w:r w:rsidR="0075172E">
        <w:rPr>
          <w:bCs/>
        </w:rPr>
        <w:fldChar w:fldCharType="separate"/>
      </w:r>
      <w:r w:rsidR="00CB4EDC">
        <w:t xml:space="preserve">Figure </w:t>
      </w:r>
      <w:r w:rsidR="00CB4EDC">
        <w:rPr>
          <w:noProof/>
        </w:rPr>
        <w:t>2</w:t>
      </w:r>
      <w:r w:rsidR="00CB4EDC">
        <w:t>.</w:t>
      </w:r>
      <w:r w:rsidR="00CB4EDC">
        <w:rPr>
          <w:noProof/>
        </w:rPr>
        <w:t>3</w:t>
      </w:r>
      <w:r w:rsidR="0075172E">
        <w:rPr>
          <w:bCs/>
        </w:rPr>
        <w:fldChar w:fldCharType="end"/>
      </w:r>
      <w:r>
        <w:rPr>
          <w:bCs/>
        </w:rPr>
        <w:t xml:space="preserve">. </w:t>
      </w:r>
    </w:p>
    <w:p w:rsidR="00F14FC6" w:rsidRDefault="00F14FC6" w:rsidP="00E61E35">
      <w:pPr>
        <w:keepNext/>
        <w:spacing w:line="480" w:lineRule="auto"/>
        <w:jc w:val="center"/>
      </w:pPr>
      <w:r>
        <w:rPr>
          <w:noProof/>
          <w:lang w:eastAsia="en-GB"/>
        </w:rPr>
        <w:drawing>
          <wp:inline distT="0" distB="0" distL="0" distR="0" wp14:anchorId="6DD3D2D0" wp14:editId="724B5E16">
            <wp:extent cx="4676775" cy="2714492"/>
            <wp:effectExtent l="1905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9" cstate="print">
                      <a:extLst>
                        <a:ext uri="{28A0092B-C50C-407E-A947-70E740481C1C}">
                          <a14:useLocalDpi xmlns:a14="http://schemas.microsoft.com/office/drawing/2010/main" val="0"/>
                        </a:ext>
                      </a:extLst>
                    </a:blip>
                    <a:srcRect b="14341"/>
                    <a:stretch/>
                  </pic:blipFill>
                  <pic:spPr bwMode="auto">
                    <a:xfrm>
                      <a:off x="0" y="0"/>
                      <a:ext cx="4680873" cy="2716871"/>
                    </a:xfrm>
                    <a:prstGeom prst="rect">
                      <a:avLst/>
                    </a:prstGeom>
                    <a:noFill/>
                    <a:ln>
                      <a:noFill/>
                    </a:ln>
                    <a:extLst/>
                  </pic:spPr>
                </pic:pic>
              </a:graphicData>
            </a:graphic>
          </wp:inline>
        </w:drawing>
      </w:r>
    </w:p>
    <w:p w:rsidR="00F14FC6" w:rsidRDefault="00F14FC6" w:rsidP="005D4B0A">
      <w:pPr>
        <w:pStyle w:val="Caption"/>
        <w:keepNext/>
        <w:spacing w:line="480" w:lineRule="auto"/>
        <w:jc w:val="center"/>
      </w:pPr>
      <w:bookmarkStart w:id="64" w:name="_Ref442865650"/>
      <w:r>
        <w:t>Figure</w:t>
      </w:r>
      <w:r w:rsidR="005D4B0A">
        <w:t xml:space="preserve"> </w:t>
      </w:r>
      <w:r w:rsidR="0075172E">
        <w:fldChar w:fldCharType="begin"/>
      </w:r>
      <w:r w:rsidR="00AC2227">
        <w:instrText xml:space="preserve"> STYLEREF 1 \s </w:instrText>
      </w:r>
      <w:r w:rsidR="0075172E">
        <w:fldChar w:fldCharType="separate"/>
      </w:r>
      <w:r w:rsidR="00CB4EDC">
        <w:rPr>
          <w:noProof/>
        </w:rPr>
        <w:t>2</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3</w:t>
      </w:r>
      <w:r w:rsidR="0075172E">
        <w:fldChar w:fldCharType="end"/>
      </w:r>
      <w:bookmarkEnd w:id="64"/>
      <w:r>
        <w:t xml:space="preserve">: Schematic of an isothermal titration calorimeter. The ligand is represented by a red diamond and the macromolecule is represented by a blue circle. </w:t>
      </w:r>
      <w:r w:rsidR="006E3017">
        <w:t>Adapted from</w:t>
      </w:r>
      <w:r w:rsidR="00957825">
        <w:t xml:space="preserve"> Pierce </w:t>
      </w:r>
      <w:r w:rsidR="00957825" w:rsidRPr="002D4FF8">
        <w:rPr>
          <w:i/>
        </w:rPr>
        <w:t>et al</w:t>
      </w:r>
      <w:r w:rsidR="002D4FF8" w:rsidRPr="002D4FF8">
        <w:rPr>
          <w:i/>
        </w:rPr>
        <w:t>.</w:t>
      </w:r>
      <w:r w:rsidR="00957825">
        <w:t xml:space="preserve"> </w:t>
      </w:r>
      <w:hyperlink w:anchor="_ENREF_157" w:tooltip="Pierce, 1999 #721" w:history="1">
        <w:r w:rsidR="00512D09">
          <w:fldChar w:fldCharType="begin"/>
        </w:r>
        <w:r w:rsidR="00512D09">
          <w:instrText xml:space="preserve"> ADDIN EN.CITE &lt;EndNote&gt;&lt;Cite&gt;&lt;Author&gt;Pierce&lt;/Author&gt;&lt;Year&gt;1999&lt;/Year&gt;&lt;RecNum&gt;721&lt;/RecNum&gt;&lt;DisplayText&gt;&lt;style face="superscript"&gt;157&lt;/style&gt;&lt;/DisplayText&gt;&lt;record&gt;&lt;rec-number&gt;721&lt;/rec-number&gt;&lt;foreign-keys&gt;&lt;key app="EN" db-id="5trrespwzsdr07efd5tx2w96x22re9s0fsdt"&gt;721&lt;/key&gt;&lt;/foreign-keys&gt;&lt;ref-type name="Journal Article"&gt;17&lt;/ref-type&gt;&lt;contributors&gt;&lt;authors&gt;&lt;author&gt;Pierce, Michael M&lt;/author&gt;&lt;author&gt;Raman, CS&lt;/author&gt;&lt;author&gt;Nall, Barry T&lt;/author&gt;&lt;/authors&gt;&lt;/contributors&gt;&lt;titles&gt;&lt;title&gt;Isothermal titration calorimetry of protein–protein interactions&lt;/title&gt;&lt;secondary-title&gt;Methods&lt;/secondary-title&gt;&lt;/titles&gt;&lt;periodical&gt;&lt;full-title&gt;Methods&lt;/full-title&gt;&lt;/periodical&gt;&lt;pages&gt;213-221&lt;/pages&gt;&lt;volume&gt;19&lt;/volume&gt;&lt;number&gt;2&lt;/number&gt;&lt;dates&gt;&lt;year&gt;1999&lt;/year&gt;&lt;/dates&gt;&lt;isbn&gt;1046-2023&lt;/isbn&gt;&lt;urls&gt;&lt;/urls&gt;&lt;/record&gt;&lt;/Cite&gt;&lt;/EndNote&gt;</w:instrText>
        </w:r>
        <w:r w:rsidR="00512D09">
          <w:fldChar w:fldCharType="separate"/>
        </w:r>
        <w:r w:rsidR="00512D09" w:rsidRPr="00991167">
          <w:rPr>
            <w:noProof/>
            <w:vertAlign w:val="superscript"/>
          </w:rPr>
          <w:t>157</w:t>
        </w:r>
        <w:r w:rsidR="00512D09">
          <w:fldChar w:fldCharType="end"/>
        </w:r>
      </w:hyperlink>
    </w:p>
    <w:p w:rsidR="00E61E35" w:rsidRPr="00E61E35" w:rsidRDefault="00E61E35" w:rsidP="00E61E35"/>
    <w:p w:rsidR="00F14FC6" w:rsidRDefault="00F14FC6" w:rsidP="00BD1AFA">
      <w:pPr>
        <w:pStyle w:val="Heading3"/>
      </w:pPr>
      <w:bookmarkStart w:id="65" w:name="_Toc459130683"/>
      <w:r>
        <w:lastRenderedPageBreak/>
        <w:t>Analysis of the I</w:t>
      </w:r>
      <w:r w:rsidR="00ED2D6C">
        <w:t xml:space="preserve">sothermal </w:t>
      </w:r>
      <w:r>
        <w:t>T</w:t>
      </w:r>
      <w:r w:rsidR="00ED2D6C">
        <w:t>itration Calorimetry Data</w:t>
      </w:r>
      <w:bookmarkEnd w:id="65"/>
    </w:p>
    <w:p w:rsidR="00BD1AFA" w:rsidRPr="00BD1AFA" w:rsidRDefault="00BD1AFA" w:rsidP="00BD1AFA"/>
    <w:p w:rsidR="003E1068" w:rsidRDefault="00F14FC6" w:rsidP="003E1068">
      <w:pPr>
        <w:spacing w:line="480" w:lineRule="auto"/>
        <w:jc w:val="both"/>
        <w:rPr>
          <w:bCs/>
        </w:rPr>
      </w:pPr>
      <w:r>
        <w:rPr>
          <w:bCs/>
        </w:rPr>
        <w:t>Binding</w:t>
      </w:r>
      <w:r w:rsidRPr="00957E3C">
        <w:rPr>
          <w:bCs/>
        </w:rPr>
        <w:t xml:space="preserve"> equilibrium is the state at which</w:t>
      </w:r>
      <w:r>
        <w:rPr>
          <w:bCs/>
        </w:rPr>
        <w:t xml:space="preserve"> </w:t>
      </w:r>
      <w:r w:rsidRPr="00957E3C">
        <w:rPr>
          <w:bCs/>
        </w:rPr>
        <w:t xml:space="preserve">both the concentrations </w:t>
      </w:r>
      <w:r>
        <w:rPr>
          <w:bCs/>
        </w:rPr>
        <w:t xml:space="preserve">of the host (H) and guest (G) individually and host-guest complex (H:G) </w:t>
      </w:r>
      <w:r w:rsidRPr="00957E3C">
        <w:rPr>
          <w:bCs/>
        </w:rPr>
        <w:t>no longer change with time</w:t>
      </w:r>
      <w:r w:rsidR="005D4B0A">
        <w:rPr>
          <w:bCs/>
        </w:rPr>
        <w:t xml:space="preserve"> </w:t>
      </w:r>
      <w:r w:rsidR="003E1068">
        <w:rPr>
          <w:bCs/>
        </w:rPr>
        <w:t xml:space="preserve">(Equation </w:t>
      </w:r>
      <w:r w:rsidR="00EE7DCC">
        <w:rPr>
          <w:bCs/>
        </w:rPr>
        <w:t>2.6</w:t>
      </w:r>
      <w:r w:rsidR="005D4B0A">
        <w:rPr>
          <w:bCs/>
        </w:rPr>
        <w:t>)</w:t>
      </w:r>
      <w:r>
        <w:rPr>
          <w:bCs/>
        </w:rPr>
        <w:t xml:space="preserve">. Since this work investigates how ligands interact with macromolecules, this terminology will be used instead. In </w:t>
      </w:r>
      <w:r w:rsidR="005D4B0A">
        <w:rPr>
          <w:bCs/>
        </w:rPr>
        <w:t>the case presented here</w:t>
      </w:r>
      <w:r>
        <w:rPr>
          <w:bCs/>
        </w:rPr>
        <w:t>, the host is the macromolecule (M) and the guest is the ligand (X)</w:t>
      </w:r>
      <w:r w:rsidR="003E1068">
        <w:rPr>
          <w:bCs/>
        </w:rPr>
        <w:t xml:space="preserve">(Equation </w:t>
      </w:r>
      <w:r w:rsidR="00EE7DCC">
        <w:rPr>
          <w:bCs/>
        </w:rPr>
        <w:t>2.7</w:t>
      </w:r>
      <w:r w:rsidR="003E1068">
        <w:rPr>
          <w:bCs/>
        </w:rP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516"/>
      </w:tblGrid>
      <w:tr w:rsidR="003E1068" w:rsidRPr="00BF5905" w:rsidTr="003E1068">
        <w:trPr>
          <w:trHeight w:val="812"/>
        </w:trPr>
        <w:tc>
          <w:tcPr>
            <w:tcW w:w="4928" w:type="dxa"/>
          </w:tcPr>
          <w:p w:rsidR="003E1068" w:rsidRPr="003E1068" w:rsidRDefault="003E1068" w:rsidP="003E1068">
            <w:pPr>
              <w:spacing w:line="480" w:lineRule="auto"/>
              <w:jc w:val="both"/>
              <w:rPr>
                <w:bCs/>
              </w:rPr>
            </w:pPr>
            <m:oMathPara>
              <m:oMathParaPr>
                <m:jc m:val="right"/>
              </m:oMathParaPr>
              <m:oMath>
                <m:r>
                  <w:rPr>
                    <w:rFonts w:ascii="Cambria Math" w:hAnsi="Cambria Math"/>
                  </w:rPr>
                  <m:t>H+G →H:G</m:t>
                </m:r>
              </m:oMath>
            </m:oMathPara>
          </w:p>
          <w:p w:rsidR="003E1068" w:rsidRPr="003E1068" w:rsidRDefault="003E1068" w:rsidP="003E1068">
            <w:pPr>
              <w:spacing w:line="480" w:lineRule="auto"/>
              <w:jc w:val="center"/>
              <w:rPr>
                <w:bCs/>
              </w:rPr>
            </w:pPr>
            <m:oMathPara>
              <m:oMathParaPr>
                <m:jc m:val="right"/>
              </m:oMathParaPr>
              <m:oMath>
                <m:r>
                  <w:rPr>
                    <w:rFonts w:ascii="Cambria Math" w:hAnsi="Cambria Math"/>
                  </w:rPr>
                  <m:t>M+ X →M:X</m:t>
                </m:r>
              </m:oMath>
            </m:oMathPara>
          </w:p>
        </w:tc>
        <w:tc>
          <w:tcPr>
            <w:tcW w:w="3516" w:type="dxa"/>
          </w:tcPr>
          <w:p w:rsidR="003E1068" w:rsidRDefault="003E1068" w:rsidP="00B63EDE">
            <w:pPr>
              <w:keepNext/>
              <w:spacing w:line="480" w:lineRule="auto"/>
              <w:jc w:val="right"/>
              <w:rPr>
                <w:rFonts w:eastAsiaTheme="minorEastAsia"/>
              </w:rPr>
            </w:pPr>
            <w:r>
              <w:rPr>
                <w:rFonts w:eastAsiaTheme="minorEastAsia"/>
              </w:rPr>
              <w:t>(</w:t>
            </w:r>
            <w:r w:rsidR="00EE7DCC">
              <w:rPr>
                <w:rFonts w:eastAsiaTheme="minorEastAsia"/>
                <w:i/>
              </w:rPr>
              <w:t>2.6</w:t>
            </w:r>
            <w:r>
              <w:rPr>
                <w:rFonts w:eastAsiaTheme="minorEastAsia"/>
              </w:rPr>
              <w:t>)</w:t>
            </w:r>
          </w:p>
          <w:p w:rsidR="003E1068" w:rsidRPr="003E1068" w:rsidRDefault="003E1068" w:rsidP="00EE7DCC">
            <w:pPr>
              <w:keepNext/>
              <w:spacing w:line="480" w:lineRule="auto"/>
              <w:jc w:val="right"/>
              <w:rPr>
                <w:rFonts w:eastAsiaTheme="minorEastAsia"/>
                <w:i/>
              </w:rPr>
            </w:pPr>
            <w:r w:rsidRPr="003E1068">
              <w:rPr>
                <w:rFonts w:eastAsiaTheme="minorEastAsia"/>
                <w:i/>
              </w:rPr>
              <w:t>(</w:t>
            </w:r>
            <w:r w:rsidR="00EE7DCC">
              <w:rPr>
                <w:rFonts w:eastAsiaTheme="minorEastAsia"/>
                <w:i/>
              </w:rPr>
              <w:t>2.7</w:t>
            </w:r>
            <w:r w:rsidRPr="003E1068">
              <w:rPr>
                <w:rFonts w:eastAsiaTheme="minorEastAsia"/>
                <w:i/>
              </w:rPr>
              <w:t>)</w:t>
            </w:r>
          </w:p>
        </w:tc>
      </w:tr>
    </w:tbl>
    <w:p w:rsidR="00F14FC6" w:rsidRDefault="00A62310" w:rsidP="00F14FC6">
      <w:pPr>
        <w:spacing w:line="480" w:lineRule="auto"/>
        <w:jc w:val="both"/>
        <w:rPr>
          <w:bCs/>
        </w:rPr>
      </w:pPr>
      <w:r>
        <w:rPr>
          <w:bCs/>
        </w:rPr>
        <w:t>Where i</w:t>
      </w:r>
      <w:r w:rsidR="00F14FC6">
        <w:rPr>
          <w:bCs/>
        </w:rPr>
        <w:t xml:space="preserve">n many biological processes, there exists a particular mixture of products and reactants. </w:t>
      </w:r>
      <w:r w:rsidR="00F14FC6" w:rsidRPr="00F447A5">
        <w:rPr>
          <w:bCs/>
        </w:rPr>
        <w:t>The </w:t>
      </w:r>
      <w:r w:rsidR="00F14FC6">
        <w:rPr>
          <w:bCs/>
        </w:rPr>
        <w:t>binding</w:t>
      </w:r>
      <w:r w:rsidR="00F14FC6" w:rsidRPr="00F447A5">
        <w:rPr>
          <w:bCs/>
        </w:rPr>
        <w:t xml:space="preserve"> constant </w:t>
      </w:r>
      <w:r w:rsidR="00F14FC6">
        <w:rPr>
          <w:bCs/>
        </w:rPr>
        <w:t>(</w:t>
      </w:r>
      <w:r w:rsidR="00F14FC6" w:rsidRPr="00F447A5">
        <w:rPr>
          <w:bCs/>
          <w:i/>
        </w:rPr>
        <w:t>K</w:t>
      </w:r>
      <w:r w:rsidR="00F14FC6">
        <w:rPr>
          <w:bCs/>
        </w:rPr>
        <w:t>) i</w:t>
      </w:r>
      <w:r w:rsidR="00F14FC6" w:rsidRPr="00F447A5">
        <w:rPr>
          <w:bCs/>
        </w:rPr>
        <w:t xml:space="preserve">s a ratio of the concentration of the products to the concentration of the reactants. If the </w:t>
      </w:r>
      <w:r w:rsidR="00F14FC6" w:rsidRPr="00C409F1">
        <w:rPr>
          <w:bCs/>
          <w:i/>
        </w:rPr>
        <w:t>K</w:t>
      </w:r>
      <w:r w:rsidR="00F14FC6" w:rsidRPr="00F447A5">
        <w:rPr>
          <w:bCs/>
        </w:rPr>
        <w:t xml:space="preserve"> value is less than </w:t>
      </w:r>
      <w:r>
        <w:rPr>
          <w:bCs/>
        </w:rPr>
        <w:t>1</w:t>
      </w:r>
      <w:r w:rsidR="00F14FC6" w:rsidRPr="00F447A5">
        <w:rPr>
          <w:bCs/>
        </w:rPr>
        <w:t xml:space="preserve"> the reaction will move </w:t>
      </w:r>
      <w:r w:rsidR="00F14FC6">
        <w:rPr>
          <w:bCs/>
        </w:rPr>
        <w:t>towards the reactants</w:t>
      </w:r>
      <w:r w:rsidR="00F14FC6" w:rsidRPr="00F447A5">
        <w:rPr>
          <w:bCs/>
        </w:rPr>
        <w:t xml:space="preserve"> and if the </w:t>
      </w:r>
      <w:r w:rsidR="00F14FC6" w:rsidRPr="00C409F1">
        <w:rPr>
          <w:bCs/>
          <w:i/>
        </w:rPr>
        <w:t>K</w:t>
      </w:r>
      <w:r w:rsidR="00F14FC6" w:rsidRPr="00F447A5">
        <w:rPr>
          <w:bCs/>
        </w:rPr>
        <w:t xml:space="preserve"> value is greater than one the reaction will move </w:t>
      </w:r>
      <w:r w:rsidR="00F14FC6">
        <w:rPr>
          <w:bCs/>
        </w:rPr>
        <w:t>towards the products</w:t>
      </w:r>
      <w:r w:rsidR="00F14FC6" w:rsidRPr="00F447A5">
        <w:rPr>
          <w:bCs/>
        </w:rPr>
        <w:t>.</w:t>
      </w:r>
    </w:p>
    <w:p w:rsidR="00F14FC6" w:rsidRDefault="00F14FC6" w:rsidP="00F14FC6">
      <w:pPr>
        <w:spacing w:line="480" w:lineRule="auto"/>
        <w:jc w:val="both"/>
        <w:rPr>
          <w:noProof/>
        </w:rPr>
      </w:pPr>
      <w:r>
        <w:rPr>
          <w:bCs/>
        </w:rPr>
        <w:t>The Gibbs free energy of binding (</w:t>
      </w:r>
      <w:r w:rsidRPr="00886C8B">
        <w:rPr>
          <w:bCs/>
          <w:i/>
        </w:rPr>
        <w:t>ΔG</w:t>
      </w:r>
      <w:r>
        <w:rPr>
          <w:bCs/>
        </w:rPr>
        <w:t xml:space="preserve">) gives a numerical value of the affinity of the macromolecule for the ligand. It is related to </w:t>
      </w:r>
      <w:r w:rsidRPr="00C409F1">
        <w:rPr>
          <w:bCs/>
          <w:i/>
        </w:rPr>
        <w:t>K</w:t>
      </w:r>
      <w:r>
        <w:rPr>
          <w:bCs/>
        </w:rPr>
        <w:t xml:space="preserve"> by </w:t>
      </w:r>
      <w:r w:rsidR="003E1068">
        <w:rPr>
          <w:bCs/>
        </w:rPr>
        <w:t xml:space="preserve">Equation </w:t>
      </w:r>
      <w:r w:rsidR="00EE7DCC">
        <w:rPr>
          <w:bCs/>
        </w:rPr>
        <w:t>2.8</w:t>
      </w:r>
      <w:r w:rsidR="003E1068">
        <w:rPr>
          <w:bCs/>
        </w:rPr>
        <w:t xml:space="preserve"> </w:t>
      </w:r>
      <w:r>
        <w:rPr>
          <w:bCs/>
        </w:rPr>
        <w:t xml:space="preserve">where </w:t>
      </w:r>
      <w:r w:rsidRPr="00E10618">
        <w:rPr>
          <w:i/>
          <w:noProof/>
        </w:rPr>
        <w:t>R</w:t>
      </w:r>
      <w:r w:rsidRPr="00E10618">
        <w:rPr>
          <w:noProof/>
        </w:rPr>
        <w:t xml:space="preserve"> is the gas constant 8.314</w:t>
      </w:r>
      <w:r w:rsidR="003E1068">
        <w:rPr>
          <w:noProof/>
        </w:rPr>
        <w:t xml:space="preserve"> J</w:t>
      </w:r>
      <w:r w:rsidR="0069214C">
        <w:rPr>
          <w:noProof/>
        </w:rPr>
        <w:t>(</w:t>
      </w:r>
      <w:r w:rsidR="003E1068">
        <w:rPr>
          <w:noProof/>
        </w:rPr>
        <w:t>/mol∙K</w:t>
      </w:r>
      <w:r w:rsidR="0069214C">
        <w:rPr>
          <w:noProof/>
        </w:rPr>
        <w:t>)</w:t>
      </w:r>
      <w:r w:rsidR="003E1068">
        <w:rPr>
          <w:noProof/>
        </w:rPr>
        <w:t xml:space="preserve"> and </w:t>
      </w:r>
      <w:r w:rsidRPr="00E10618">
        <w:rPr>
          <w:noProof/>
        </w:rPr>
        <w:t xml:space="preserve"> </w:t>
      </w:r>
      <w:r w:rsidRPr="00817C57">
        <w:rPr>
          <w:noProof/>
        </w:rPr>
        <w:t>T</w:t>
      </w:r>
      <w:r w:rsidRPr="00E10618">
        <w:rPr>
          <w:i/>
          <w:noProof/>
        </w:rPr>
        <w:t xml:space="preserve"> </w:t>
      </w:r>
      <w:r w:rsidRPr="00E10618">
        <w:rPr>
          <w:noProof/>
        </w:rPr>
        <w:t>is the temperature of the reaction.</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516"/>
      </w:tblGrid>
      <w:tr w:rsidR="003E1068" w:rsidRPr="003E1068" w:rsidTr="003E1068">
        <w:trPr>
          <w:trHeight w:val="582"/>
        </w:trPr>
        <w:tc>
          <w:tcPr>
            <w:tcW w:w="4928" w:type="dxa"/>
          </w:tcPr>
          <w:p w:rsidR="003E1068" w:rsidRPr="003E1068" w:rsidRDefault="003E1068" w:rsidP="003E1068">
            <w:pPr>
              <w:spacing w:line="480" w:lineRule="auto"/>
              <w:jc w:val="both"/>
              <w:rPr>
                <w:rFonts w:eastAsiaTheme="minorEastAsia"/>
              </w:rPr>
            </w:pPr>
            <m:oMathPara>
              <m:oMathParaPr>
                <m:jc m:val="right"/>
              </m:oMathParaPr>
              <m:oMath>
                <m:r>
                  <w:rPr>
                    <w:rFonts w:ascii="Cambria Math" w:hAnsi="Cambria Math"/>
                  </w:rPr>
                  <m:t xml:space="preserve">∆G= -RT </m:t>
                </m:r>
                <m:r>
                  <m:rPr>
                    <m:sty m:val="p"/>
                  </m:rPr>
                  <w:rPr>
                    <w:rFonts w:ascii="Cambria Math" w:hAnsi="Cambria Math"/>
                  </w:rPr>
                  <m:t>In</m:t>
                </m:r>
                <m:r>
                  <w:rPr>
                    <w:rFonts w:ascii="Cambria Math" w:hAnsi="Cambria Math"/>
                  </w:rPr>
                  <m:t>K</m:t>
                </m:r>
              </m:oMath>
            </m:oMathPara>
          </w:p>
        </w:tc>
        <w:tc>
          <w:tcPr>
            <w:tcW w:w="3516" w:type="dxa"/>
          </w:tcPr>
          <w:p w:rsidR="003E1068" w:rsidRPr="003E1068" w:rsidRDefault="003E1068" w:rsidP="00EE7DCC">
            <w:pPr>
              <w:keepNext/>
              <w:spacing w:line="480" w:lineRule="auto"/>
              <w:jc w:val="right"/>
              <w:rPr>
                <w:rFonts w:eastAsiaTheme="minorEastAsia"/>
              </w:rPr>
            </w:pPr>
            <w:r>
              <w:rPr>
                <w:rFonts w:eastAsiaTheme="minorEastAsia"/>
              </w:rPr>
              <w:t>(</w:t>
            </w:r>
            <w:r>
              <w:rPr>
                <w:rFonts w:eastAsiaTheme="minorEastAsia"/>
                <w:i/>
              </w:rPr>
              <w:t>2.</w:t>
            </w:r>
            <w:r w:rsidR="00EE7DCC">
              <w:rPr>
                <w:rFonts w:eastAsiaTheme="minorEastAsia"/>
                <w:i/>
              </w:rPr>
              <w:t>8</w:t>
            </w:r>
            <w:r>
              <w:rPr>
                <w:rFonts w:eastAsiaTheme="minorEastAsia"/>
              </w:rPr>
              <w:t>)</w:t>
            </w:r>
          </w:p>
        </w:tc>
      </w:tr>
    </w:tbl>
    <w:p w:rsidR="00F14FC6" w:rsidRDefault="00F14FC6" w:rsidP="00F14FC6">
      <w:pPr>
        <w:spacing w:line="480" w:lineRule="auto"/>
        <w:jc w:val="both"/>
        <w:rPr>
          <w:bCs/>
        </w:rPr>
      </w:pPr>
      <w:r w:rsidRPr="00AB2053">
        <w:rPr>
          <w:bCs/>
        </w:rPr>
        <w:t>Since ITC binding isotherms yield a value for the binding constant</w:t>
      </w:r>
      <w:r>
        <w:rPr>
          <w:bCs/>
        </w:rPr>
        <w:t>,</w:t>
      </w:r>
      <w:r w:rsidRPr="00AB2053">
        <w:rPr>
          <w:bCs/>
        </w:rPr>
        <w:t xml:space="preserve"> </w:t>
      </w:r>
      <w:r w:rsidRPr="00AB2053">
        <w:rPr>
          <w:bCs/>
          <w:i/>
        </w:rPr>
        <w:t xml:space="preserve">ΔG </w:t>
      </w:r>
      <w:r w:rsidRPr="00AB2053">
        <w:rPr>
          <w:bCs/>
        </w:rPr>
        <w:t xml:space="preserve">can be derived using </w:t>
      </w:r>
      <w:r w:rsidR="003E1068">
        <w:rPr>
          <w:bCs/>
        </w:rPr>
        <w:t>Equation 2.</w:t>
      </w:r>
      <w:r w:rsidR="004403F3">
        <w:rPr>
          <w:bCs/>
        </w:rPr>
        <w:t>8</w:t>
      </w:r>
      <w:r w:rsidR="003E1068">
        <w:rPr>
          <w:bCs/>
        </w:rPr>
        <w:t xml:space="preserve">. </w:t>
      </w:r>
    </w:p>
    <w:p w:rsidR="00F14FC6" w:rsidRDefault="00F14FC6" w:rsidP="00F14FC6">
      <w:pPr>
        <w:spacing w:line="480" w:lineRule="auto"/>
        <w:jc w:val="both"/>
        <w:rPr>
          <w:bCs/>
        </w:rPr>
      </w:pPr>
      <w:r>
        <w:rPr>
          <w:bCs/>
        </w:rPr>
        <w:t xml:space="preserve">ITC measures the heat of all possible interactions within the cell such as the heats </w:t>
      </w:r>
      <w:r w:rsidRPr="001C4FCD">
        <w:rPr>
          <w:bCs/>
        </w:rPr>
        <w:t>of ionisation</w:t>
      </w:r>
      <w:r>
        <w:rPr>
          <w:bCs/>
        </w:rPr>
        <w:t xml:space="preserve">, ligand and macromolecule dilution. Both the heats of ligand and macromolecule dilution can be corrected for. To determine the heats of ligand dilution, the ligand solution is titrated into the buffer. To determine the heats of macromolecule dilution, the buffer is titrated into a solution of macromolecule. Normally the heats of ligand dilution are larger </w:t>
      </w:r>
      <w:r>
        <w:rPr>
          <w:bCs/>
        </w:rPr>
        <w:lastRenderedPageBreak/>
        <w:t>than the heats of macromolecule dilution and so this is subtracted from the heats produced from the ligand being titrated into the macromolecule. Due to this, only the buffer into ligand titration is done as a control. However, in this work, both controls have been done. Since it is not possible to effectively separate out the heats of binding from the heats of macromolecule conformational change, desolvation or solvation the enthalpy measured by ITC should be termed the observed enthalpy (</w:t>
      </w:r>
      <m:oMath>
        <m:sSub>
          <m:sSubPr>
            <m:ctrlPr>
              <w:rPr>
                <w:rFonts w:ascii="Cambria Math" w:hAnsi="Cambria Math"/>
                <w:bCs/>
                <w:i/>
              </w:rPr>
            </m:ctrlPr>
          </m:sSubPr>
          <m:e>
            <m:r>
              <w:rPr>
                <w:rFonts w:ascii="Cambria Math" w:hAnsi="Cambria Math"/>
              </w:rPr>
              <m:t>ΔH</m:t>
            </m:r>
          </m:e>
          <m:sub>
            <m:r>
              <w:rPr>
                <w:rFonts w:ascii="Cambria Math" w:hAnsi="Cambria Math"/>
              </w:rPr>
              <m:t xml:space="preserve">observed </m:t>
            </m:r>
          </m:sub>
        </m:sSub>
      </m:oMath>
      <w:r>
        <w:rPr>
          <w:rFonts w:eastAsiaTheme="minorEastAsia"/>
          <w:bCs/>
        </w:rPr>
        <w:t xml:space="preserve">) </w:t>
      </w:r>
      <w:r>
        <w:rPr>
          <w:bCs/>
        </w:rPr>
        <w:t xml:space="preserve">since it measures global (all heat changes in the cell) heat changes.  </w:t>
      </w:r>
    </w:p>
    <w:p w:rsidR="00F14FC6" w:rsidRDefault="00F14FC6" w:rsidP="00F14FC6">
      <w:pPr>
        <w:spacing w:line="480" w:lineRule="auto"/>
        <w:jc w:val="both"/>
        <w:rPr>
          <w:bCs/>
        </w:rPr>
      </w:pPr>
      <w:r>
        <w:rPr>
          <w:bCs/>
        </w:rPr>
        <w:t xml:space="preserve">Since ITC cannot directly measure entropy changes it has to be calculated from the subtraction of </w:t>
      </w:r>
      <w:r>
        <w:rPr>
          <w:bCs/>
          <w:i/>
        </w:rPr>
        <w:t xml:space="preserve">ΔG </w:t>
      </w:r>
      <w:r>
        <w:rPr>
          <w:bCs/>
        </w:rPr>
        <w:t xml:space="preserve">from </w:t>
      </w:r>
      <w:r w:rsidRPr="005A4A21">
        <w:rPr>
          <w:bCs/>
          <w:i/>
        </w:rPr>
        <w:t>ΔH</w:t>
      </w:r>
      <w:r>
        <w:rPr>
          <w:bCs/>
        </w:rPr>
        <w:t xml:space="preserve">, meaning it is </w:t>
      </w:r>
      <w:r w:rsidRPr="00817C57">
        <w:rPr>
          <w:bCs/>
        </w:rPr>
        <w:t>T</w:t>
      </w:r>
      <w:r>
        <w:rPr>
          <w:bCs/>
          <w:i/>
        </w:rPr>
        <w:t>ΔS</w:t>
      </w:r>
      <w:r>
        <w:rPr>
          <w:bCs/>
          <w:vertAlign w:val="subscript"/>
        </w:rPr>
        <w:t>calculated</w:t>
      </w:r>
      <w:r w:rsidR="00AE58D4">
        <w:rPr>
          <w:bCs/>
          <w:vertAlign w:val="subscript"/>
        </w:rPr>
        <w:t>(</w:t>
      </w:r>
      <w:r w:rsidR="00882765">
        <w:rPr>
          <w:bCs/>
          <w:vertAlign w:val="subscript"/>
        </w:rPr>
        <w:t xml:space="preserve"> </w:t>
      </w:r>
      <w:r w:rsidR="00AE58D4">
        <w:rPr>
          <w:bCs/>
        </w:rPr>
        <w:t>(Equation 2.</w:t>
      </w:r>
      <w:r w:rsidR="004403F3">
        <w:rPr>
          <w:bCs/>
        </w:rPr>
        <w:t>9</w:t>
      </w:r>
      <w:r w:rsidR="00AE58D4">
        <w:rPr>
          <w:bCs/>
        </w:rPr>
        <w:t>)</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099"/>
      </w:tblGrid>
      <w:tr w:rsidR="003E1068" w:rsidRPr="003E1068" w:rsidTr="00AE58D4">
        <w:trPr>
          <w:trHeight w:val="582"/>
        </w:trPr>
        <w:tc>
          <w:tcPr>
            <w:tcW w:w="6345" w:type="dxa"/>
          </w:tcPr>
          <w:p w:rsidR="00AE58D4" w:rsidRPr="00EB0BAD" w:rsidRDefault="00040F10" w:rsidP="00AE58D4">
            <w:pPr>
              <w:spacing w:line="480" w:lineRule="auto"/>
              <w:jc w:val="center"/>
              <w:rPr>
                <w:rFonts w:eastAsiaTheme="minorEastAsia"/>
                <w:bCs/>
              </w:rPr>
            </w:pPr>
            <m:oMathPara>
              <m:oMathParaPr>
                <m:jc m:val="right"/>
              </m:oMathParaPr>
              <m:oMath>
                <m:sSub>
                  <m:sSubPr>
                    <m:ctrlPr>
                      <w:rPr>
                        <w:rFonts w:ascii="Cambria Math" w:hAnsi="Cambria Math"/>
                        <w:bCs/>
                        <w:i/>
                      </w:rPr>
                    </m:ctrlPr>
                  </m:sSubPr>
                  <m:e>
                    <m:r>
                      <w:rPr>
                        <w:rFonts w:ascii="Cambria Math" w:hAnsi="Cambria Math"/>
                      </w:rPr>
                      <m:t>ΔS</m:t>
                    </m:r>
                  </m:e>
                  <m:sub>
                    <m:r>
                      <w:rPr>
                        <w:rFonts w:ascii="Cambria Math" w:hAnsi="Cambria Math"/>
                      </w:rPr>
                      <m:t>calculated</m:t>
                    </m:r>
                  </m:sub>
                </m:sSub>
                <m:r>
                  <w:rPr>
                    <w:rFonts w:ascii="Cambria Math" w:hAnsi="Cambria Math"/>
                  </w:rPr>
                  <m:t xml:space="preserve">= </m:t>
                </m:r>
                <m:f>
                  <m:fPr>
                    <m:ctrlPr>
                      <w:rPr>
                        <w:rFonts w:ascii="Cambria Math" w:hAnsi="Cambria Math"/>
                        <w:bCs/>
                        <w:i/>
                      </w:rPr>
                    </m:ctrlPr>
                  </m:fPr>
                  <m:num>
                    <m:sSub>
                      <m:sSubPr>
                        <m:ctrlPr>
                          <w:rPr>
                            <w:rFonts w:ascii="Cambria Math" w:hAnsi="Cambria Math"/>
                            <w:bCs/>
                            <w:i/>
                          </w:rPr>
                        </m:ctrlPr>
                      </m:sSubPr>
                      <m:e>
                        <m:r>
                          <w:rPr>
                            <w:rFonts w:ascii="Cambria Math" w:hAnsi="Cambria Math"/>
                          </w:rPr>
                          <m:t>ΔG</m:t>
                        </m:r>
                      </m:e>
                      <m:sub>
                        <m:r>
                          <w:rPr>
                            <w:rFonts w:ascii="Cambria Math" w:hAnsi="Cambria Math"/>
                          </w:rPr>
                          <m:t>system</m:t>
                        </m:r>
                      </m:sub>
                    </m:sSub>
                    <m:r>
                      <w:rPr>
                        <w:rFonts w:ascii="Cambria Math" w:hAnsi="Cambria Math"/>
                      </w:rPr>
                      <m:t xml:space="preserve">- </m:t>
                    </m:r>
                    <m:sSub>
                      <m:sSubPr>
                        <m:ctrlPr>
                          <w:rPr>
                            <w:rFonts w:ascii="Cambria Math" w:hAnsi="Cambria Math"/>
                            <w:bCs/>
                            <w:i/>
                          </w:rPr>
                        </m:ctrlPr>
                      </m:sSubPr>
                      <m:e>
                        <m:r>
                          <w:rPr>
                            <w:rFonts w:ascii="Cambria Math" w:hAnsi="Cambria Math"/>
                          </w:rPr>
                          <m:t>ΔH</m:t>
                        </m:r>
                      </m:e>
                      <m:sub>
                        <m:r>
                          <w:rPr>
                            <w:rFonts w:ascii="Cambria Math" w:hAnsi="Cambria Math"/>
                          </w:rPr>
                          <m:t xml:space="preserve">observed </m:t>
                        </m:r>
                      </m:sub>
                    </m:sSub>
                  </m:num>
                  <m:den>
                    <m:r>
                      <w:rPr>
                        <w:rFonts w:ascii="Cambria Math" w:hAnsi="Cambria Math"/>
                      </w:rPr>
                      <m:t>T</m:t>
                    </m:r>
                  </m:den>
                </m:f>
              </m:oMath>
            </m:oMathPara>
          </w:p>
          <w:p w:rsidR="003E1068" w:rsidRPr="003E1068" w:rsidRDefault="003E1068" w:rsidP="00B63EDE">
            <w:pPr>
              <w:spacing w:line="480" w:lineRule="auto"/>
              <w:jc w:val="both"/>
              <w:rPr>
                <w:rFonts w:eastAsiaTheme="minorEastAsia"/>
              </w:rPr>
            </w:pPr>
          </w:p>
        </w:tc>
        <w:tc>
          <w:tcPr>
            <w:tcW w:w="2099" w:type="dxa"/>
          </w:tcPr>
          <w:p w:rsidR="003E1068" w:rsidRPr="003E1068" w:rsidRDefault="003E1068" w:rsidP="004403F3">
            <w:pPr>
              <w:keepNext/>
              <w:spacing w:line="480" w:lineRule="auto"/>
              <w:jc w:val="right"/>
              <w:rPr>
                <w:rFonts w:eastAsiaTheme="minorEastAsia"/>
              </w:rPr>
            </w:pPr>
            <w:r>
              <w:rPr>
                <w:rFonts w:eastAsiaTheme="minorEastAsia"/>
              </w:rPr>
              <w:t>(</w:t>
            </w:r>
            <w:r>
              <w:rPr>
                <w:rFonts w:eastAsiaTheme="minorEastAsia"/>
                <w:i/>
              </w:rPr>
              <w:t>2.</w:t>
            </w:r>
            <w:r w:rsidR="004403F3">
              <w:rPr>
                <w:rFonts w:eastAsiaTheme="minorEastAsia"/>
                <w:i/>
              </w:rPr>
              <w:t>9</w:t>
            </w:r>
            <w:r>
              <w:rPr>
                <w:rFonts w:eastAsiaTheme="minorEastAsia"/>
              </w:rPr>
              <w:t>)</w:t>
            </w:r>
          </w:p>
        </w:tc>
      </w:tr>
    </w:tbl>
    <w:p w:rsidR="00F14FC6" w:rsidRDefault="00F14FC6" w:rsidP="00F14FC6">
      <w:pPr>
        <w:spacing w:line="480" w:lineRule="auto"/>
        <w:jc w:val="both"/>
        <w:rPr>
          <w:bCs/>
        </w:rPr>
      </w:pPr>
      <w:r>
        <w:rPr>
          <w:bCs/>
        </w:rPr>
        <w:t>In order to derive the binding constants (</w:t>
      </w:r>
      <w:r w:rsidRPr="005F4696">
        <w:rPr>
          <w:bCs/>
          <w:i/>
        </w:rPr>
        <w:t>K</w:t>
      </w:r>
      <w:r>
        <w:rPr>
          <w:bCs/>
        </w:rPr>
        <w:t>) and the enthalpy changes (</w:t>
      </w:r>
      <w:r w:rsidRPr="00817C57">
        <w:rPr>
          <w:bCs/>
        </w:rPr>
        <w:t>Δ</w:t>
      </w:r>
      <w:r w:rsidRPr="00534018">
        <w:rPr>
          <w:bCs/>
          <w:i/>
        </w:rPr>
        <w:t>H</w:t>
      </w:r>
      <w:r>
        <w:rPr>
          <w:bCs/>
        </w:rPr>
        <w:t>) the heat has to be modelled. The simplest model is where one ligand binds to one protein with a single binding enthalpy and binding constant</w:t>
      </w:r>
      <w:r w:rsidR="00882765">
        <w:rPr>
          <w:bCs/>
        </w:rPr>
        <w:t xml:space="preserve"> yielding the association constant </w:t>
      </w:r>
      <w:r w:rsidR="00AE58D4">
        <w:rPr>
          <w:bCs/>
        </w:rPr>
        <w:t xml:space="preserve">(Equation </w:t>
      </w:r>
      <w:r w:rsidR="0037064F">
        <w:rPr>
          <w:bCs/>
        </w:rPr>
        <w:t>2.10</w:t>
      </w:r>
      <w:r w:rsidR="00AE58D4">
        <w:rPr>
          <w:bCs/>
        </w:rPr>
        <w:t>)</w:t>
      </w:r>
      <w:r w:rsidR="00882765">
        <w:rPr>
          <w:bCs/>
        </w:rPr>
        <w:t xml:space="preserve"> or by taking the inverse the dissociation constant (</w:t>
      </w:r>
      <w:r w:rsidR="0037064F">
        <w:rPr>
          <w:bCs/>
        </w:rPr>
        <w:t>2.11</w:t>
      </w:r>
      <w:r w:rsidR="00882765">
        <w:rPr>
          <w:bCs/>
        </w:rPr>
        <w:t>)</w:t>
      </w:r>
      <w:r>
        <w:rPr>
          <w:bCs/>
        </w:rP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516"/>
      </w:tblGrid>
      <w:tr w:rsidR="00AE58D4" w:rsidRPr="003E1068" w:rsidTr="00AE58D4">
        <w:trPr>
          <w:trHeight w:val="1327"/>
        </w:trPr>
        <w:tc>
          <w:tcPr>
            <w:tcW w:w="4928" w:type="dxa"/>
          </w:tcPr>
          <w:p w:rsidR="00AE58D4" w:rsidRPr="00EB0BAD" w:rsidRDefault="00040F10" w:rsidP="00AE58D4">
            <w:pPr>
              <w:spacing w:line="480" w:lineRule="auto"/>
              <w:jc w:val="center"/>
              <w:rPr>
                <w:rFonts w:eastAsiaTheme="minorEastAsia"/>
                <w:bCs/>
              </w:rPr>
            </w:pPr>
            <m:oMathPara>
              <m:oMathParaPr>
                <m:jc m:val="right"/>
              </m:oMathParaPr>
              <m:oMath>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f>
                  <m:fPr>
                    <m:ctrlPr>
                      <w:rPr>
                        <w:rFonts w:ascii="Cambria Math" w:hAnsi="Cambria Math"/>
                        <w:bCs/>
                        <w:i/>
                      </w:rPr>
                    </m:ctrlPr>
                  </m:fPr>
                  <m:num>
                    <m:d>
                      <m:dPr>
                        <m:begChr m:val="["/>
                        <m:endChr m:val="]"/>
                        <m:ctrlPr>
                          <w:rPr>
                            <w:rFonts w:ascii="Cambria Math" w:hAnsi="Cambria Math"/>
                            <w:bCs/>
                            <w:i/>
                          </w:rPr>
                        </m:ctrlPr>
                      </m:dPr>
                      <m:e>
                        <m:r>
                          <w:rPr>
                            <w:rFonts w:ascii="Cambria Math" w:hAnsi="Cambria Math"/>
                          </w:rPr>
                          <m:t>MX</m:t>
                        </m:r>
                      </m:e>
                    </m:d>
                  </m:num>
                  <m:den>
                    <m:d>
                      <m:dPr>
                        <m:begChr m:val="["/>
                        <m:endChr m:val="]"/>
                        <m:ctrlPr>
                          <w:rPr>
                            <w:rFonts w:ascii="Cambria Math" w:hAnsi="Cambria Math"/>
                            <w:bCs/>
                            <w:i/>
                          </w:rPr>
                        </m:ctrlPr>
                      </m:dPr>
                      <m:e>
                        <m:r>
                          <w:rPr>
                            <w:rFonts w:ascii="Cambria Math" w:hAnsi="Cambria Math"/>
                          </w:rPr>
                          <m:t>M</m:t>
                        </m:r>
                      </m:e>
                    </m:d>
                    <m:r>
                      <w:rPr>
                        <w:rFonts w:ascii="Cambria Math" w:hAnsi="Cambria Math"/>
                      </w:rPr>
                      <m:t>[X]</m:t>
                    </m:r>
                  </m:den>
                </m:f>
              </m:oMath>
            </m:oMathPara>
          </w:p>
          <w:p w:rsidR="00AE58D4" w:rsidRPr="00AE58D4" w:rsidRDefault="00040F10" w:rsidP="00140CA5">
            <w:pPr>
              <w:spacing w:line="480" w:lineRule="auto"/>
              <w:jc w:val="center"/>
              <w:rPr>
                <w:rFonts w:eastAsiaTheme="minorEastAsia"/>
                <w:bCs/>
              </w:rPr>
            </w:pPr>
            <m:oMathPara>
              <m:oMathParaPr>
                <m:jc m:val="right"/>
              </m:oMathParaPr>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f>
                  <m:fPr>
                    <m:ctrlPr>
                      <w:rPr>
                        <w:rFonts w:ascii="Cambria Math" w:hAnsi="Cambria Math"/>
                        <w:bCs/>
                        <w:i/>
                      </w:rPr>
                    </m:ctrlPr>
                  </m:fPr>
                  <m:num>
                    <m:d>
                      <m:dPr>
                        <m:begChr m:val="["/>
                        <m:endChr m:val="]"/>
                        <m:ctrlPr>
                          <w:rPr>
                            <w:rFonts w:ascii="Cambria Math" w:hAnsi="Cambria Math"/>
                            <w:bCs/>
                            <w:i/>
                          </w:rPr>
                        </m:ctrlPr>
                      </m:dPr>
                      <m:e>
                        <m:r>
                          <w:rPr>
                            <w:rFonts w:ascii="Cambria Math" w:hAnsi="Cambria Math"/>
                          </w:rPr>
                          <m:t>M</m:t>
                        </m:r>
                      </m:e>
                    </m:d>
                    <m:r>
                      <w:rPr>
                        <w:rFonts w:ascii="Cambria Math" w:hAnsi="Cambria Math"/>
                      </w:rPr>
                      <m:t>[X]</m:t>
                    </m:r>
                  </m:num>
                  <m:den>
                    <m:d>
                      <m:dPr>
                        <m:begChr m:val="["/>
                        <m:endChr m:val="]"/>
                        <m:ctrlPr>
                          <w:rPr>
                            <w:rFonts w:ascii="Cambria Math" w:hAnsi="Cambria Math"/>
                            <w:bCs/>
                            <w:i/>
                          </w:rPr>
                        </m:ctrlPr>
                      </m:dPr>
                      <m:e>
                        <m:r>
                          <w:rPr>
                            <w:rFonts w:ascii="Cambria Math" w:hAnsi="Cambria Math"/>
                          </w:rPr>
                          <m:t>MX</m:t>
                        </m:r>
                      </m:e>
                    </m:d>
                  </m:den>
                </m:f>
              </m:oMath>
            </m:oMathPara>
          </w:p>
        </w:tc>
        <w:tc>
          <w:tcPr>
            <w:tcW w:w="3516" w:type="dxa"/>
          </w:tcPr>
          <w:p w:rsidR="00AE58D4" w:rsidRDefault="00AE58D4" w:rsidP="00AE58D4">
            <w:pPr>
              <w:keepNext/>
              <w:spacing w:line="480" w:lineRule="auto"/>
              <w:jc w:val="right"/>
              <w:rPr>
                <w:rFonts w:eastAsiaTheme="minorEastAsia"/>
              </w:rPr>
            </w:pPr>
            <w:r>
              <w:rPr>
                <w:rFonts w:eastAsiaTheme="minorEastAsia"/>
              </w:rPr>
              <w:t>(</w:t>
            </w:r>
            <w:r w:rsidR="0037064F">
              <w:rPr>
                <w:rFonts w:eastAsiaTheme="minorEastAsia"/>
                <w:i/>
              </w:rPr>
              <w:t>2.10</w:t>
            </w:r>
            <w:r>
              <w:rPr>
                <w:rFonts w:eastAsiaTheme="minorEastAsia"/>
              </w:rPr>
              <w:t>)</w:t>
            </w:r>
          </w:p>
          <w:p w:rsidR="00AE58D4" w:rsidRDefault="00AE58D4" w:rsidP="00AE58D4">
            <w:pPr>
              <w:keepNext/>
              <w:spacing w:line="480" w:lineRule="auto"/>
              <w:jc w:val="right"/>
              <w:rPr>
                <w:rFonts w:eastAsiaTheme="minorEastAsia"/>
              </w:rPr>
            </w:pPr>
          </w:p>
          <w:p w:rsidR="00AE58D4" w:rsidRPr="003E1068" w:rsidRDefault="00AE58D4" w:rsidP="0037064F">
            <w:pPr>
              <w:keepNext/>
              <w:spacing w:line="480" w:lineRule="auto"/>
              <w:jc w:val="right"/>
              <w:rPr>
                <w:rFonts w:eastAsiaTheme="minorEastAsia"/>
              </w:rPr>
            </w:pPr>
            <w:r>
              <w:rPr>
                <w:rFonts w:eastAsiaTheme="minorEastAsia"/>
              </w:rPr>
              <w:t>(</w:t>
            </w:r>
            <w:r w:rsidR="0037064F">
              <w:rPr>
                <w:rFonts w:eastAsiaTheme="minorEastAsia"/>
                <w:i/>
              </w:rPr>
              <w:t>2.11</w:t>
            </w:r>
            <w:r>
              <w:rPr>
                <w:rFonts w:eastAsiaTheme="minorEastAsia"/>
              </w:rPr>
              <w:t>)</w:t>
            </w:r>
          </w:p>
        </w:tc>
      </w:tr>
    </w:tbl>
    <w:p w:rsidR="00F14FC6" w:rsidRDefault="00F14FC6" w:rsidP="00F14FC6">
      <w:pPr>
        <w:spacing w:line="480" w:lineRule="auto"/>
        <w:jc w:val="both"/>
        <w:rPr>
          <w:bCs/>
        </w:rPr>
      </w:pPr>
      <w:r>
        <w:rPr>
          <w:bCs/>
        </w:rPr>
        <w:t xml:space="preserve">Where M indicates the macromolecule and X is the ligand. </w:t>
      </w:r>
      <w:r w:rsidR="0024052B">
        <w:rPr>
          <w:bCs/>
        </w:rPr>
        <w:t>This leads to the expressions for the total amount of macromolecule</w:t>
      </w:r>
      <w:r>
        <w:rPr>
          <w:bCs/>
        </w:rPr>
        <w:t xml:space="preserve"> </w:t>
      </w:r>
      <w:r w:rsidR="005431EF">
        <w:rPr>
          <w:bCs/>
        </w:rPr>
        <w:t xml:space="preserve">(Equation </w:t>
      </w:r>
      <w:r w:rsidR="0037064F">
        <w:rPr>
          <w:bCs/>
        </w:rPr>
        <w:t>2.13</w:t>
      </w:r>
      <w:r w:rsidR="005431EF">
        <w:rPr>
          <w:bCs/>
        </w:rPr>
        <w:t>)</w:t>
      </w:r>
      <w:r w:rsidR="00882765">
        <w:rPr>
          <w:bCs/>
        </w:rPr>
        <w:t xml:space="preserve"> </w:t>
      </w:r>
      <w:r w:rsidR="0024052B">
        <w:rPr>
          <w:bCs/>
        </w:rPr>
        <w:t>and ligand</w:t>
      </w:r>
      <w:r w:rsidR="00882765">
        <w:rPr>
          <w:bCs/>
        </w:rPr>
        <w:t xml:space="preserve"> (</w:t>
      </w:r>
      <w:r w:rsidR="005431EF">
        <w:rPr>
          <w:bCs/>
        </w:rPr>
        <w:t>Equation 2.</w:t>
      </w:r>
      <w:r w:rsidR="0037064F">
        <w:rPr>
          <w:bCs/>
        </w:rPr>
        <w:t>14</w:t>
      </w:r>
      <w:r w:rsidR="00882765">
        <w:rPr>
          <w:bCs/>
        </w:rPr>
        <w:t>)</w:t>
      </w:r>
      <w:r>
        <w:rPr>
          <w:bCs/>
        </w:rP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382"/>
      </w:tblGrid>
      <w:tr w:rsidR="005431EF" w:rsidRPr="003E1068" w:rsidTr="005431EF">
        <w:trPr>
          <w:trHeight w:val="582"/>
        </w:trPr>
        <w:tc>
          <w:tcPr>
            <w:tcW w:w="6062" w:type="dxa"/>
          </w:tcPr>
          <w:p w:rsidR="005431EF" w:rsidRPr="005431EF" w:rsidRDefault="00040F10" w:rsidP="005431EF">
            <w:pPr>
              <w:spacing w:line="480" w:lineRule="auto"/>
              <w:jc w:val="right"/>
              <w:rPr>
                <w:rFonts w:eastAsiaTheme="minorEastAsia"/>
              </w:rPr>
            </w:pPr>
            <m:oMath>
              <m:sSub>
                <m:sSubPr>
                  <m:ctrlPr>
                    <w:rPr>
                      <w:rFonts w:ascii="Cambria Math" w:hAnsi="Cambria Math"/>
                      <w:bCs/>
                      <w:i/>
                    </w:rPr>
                  </m:ctrlPr>
                </m:sSubPr>
                <m:e>
                  <m:r>
                    <w:rPr>
                      <w:rFonts w:ascii="Cambria Math" w:hAnsi="Cambria Math"/>
                    </w:rPr>
                    <m:t>M</m:t>
                  </m:r>
                </m:e>
                <m:sub>
                  <m:r>
                    <w:rPr>
                      <w:rFonts w:ascii="Cambria Math" w:hAnsi="Cambria Math"/>
                    </w:rPr>
                    <m:t>TOT</m:t>
                  </m:r>
                </m:sub>
              </m:sSub>
            </m:oMath>
            <w:r w:rsidR="005431EF">
              <w:rPr>
                <w:rFonts w:eastAsiaTheme="minorEastAsia"/>
                <w:bCs/>
              </w:rPr>
              <w:t xml:space="preserve">= </w:t>
            </w:r>
            <m:oMath>
              <m:d>
                <m:dPr>
                  <m:begChr m:val="["/>
                  <m:endChr m:val="]"/>
                  <m:ctrlPr>
                    <w:rPr>
                      <w:rFonts w:ascii="Cambria Math" w:eastAsiaTheme="minorEastAsia" w:hAnsi="Cambria Math"/>
                      <w:bCs/>
                      <w:i/>
                    </w:rPr>
                  </m:ctrlPr>
                </m:dPr>
                <m:e>
                  <m:r>
                    <w:rPr>
                      <w:rFonts w:ascii="Cambria Math" w:eastAsiaTheme="minorEastAsia" w:hAnsi="Cambria Math"/>
                    </w:rPr>
                    <m:t>M</m:t>
                  </m:r>
                </m:e>
              </m:d>
              <m:r>
                <w:rPr>
                  <w:rFonts w:ascii="Cambria Math" w:eastAsiaTheme="minorEastAsia" w:hAnsi="Cambria Math"/>
                </w:rPr>
                <m:t>+</m:t>
              </m:r>
              <m:d>
                <m:dPr>
                  <m:begChr m:val="["/>
                  <m:endChr m:val="]"/>
                  <m:ctrlPr>
                    <w:rPr>
                      <w:rFonts w:ascii="Cambria Math" w:eastAsiaTheme="minorEastAsia" w:hAnsi="Cambria Math"/>
                      <w:bCs/>
                      <w:i/>
                    </w:rPr>
                  </m:ctrlPr>
                </m:dPr>
                <m:e>
                  <m:r>
                    <w:rPr>
                      <w:rFonts w:ascii="Cambria Math" w:eastAsiaTheme="minorEastAsia" w:hAnsi="Cambria Math"/>
                    </w:rPr>
                    <m:t>MX</m:t>
                  </m:r>
                </m:e>
              </m:d>
              <m:r>
                <w:rPr>
                  <w:rFonts w:ascii="Cambria Math" w:eastAsiaTheme="minorEastAsia" w:hAnsi="Cambria Math"/>
                </w:rPr>
                <m:t>=</m:t>
              </m:r>
              <m:d>
                <m:dPr>
                  <m:begChr m:val="["/>
                  <m:endChr m:val="]"/>
                  <m:ctrlPr>
                    <w:rPr>
                      <w:rFonts w:ascii="Cambria Math" w:eastAsiaTheme="minorEastAsia" w:hAnsi="Cambria Math"/>
                      <w:bCs/>
                      <w:i/>
                    </w:rPr>
                  </m:ctrlPr>
                </m:dPr>
                <m:e>
                  <m:r>
                    <w:rPr>
                      <w:rFonts w:ascii="Cambria Math" w:eastAsiaTheme="minorEastAsia" w:hAnsi="Cambria Math"/>
                    </w:rPr>
                    <m:t>M</m:t>
                  </m:r>
                </m:e>
              </m:d>
              <m:d>
                <m:dPr>
                  <m:ctrlPr>
                    <w:rPr>
                      <w:rFonts w:ascii="Cambria Math" w:eastAsiaTheme="minorEastAsia" w:hAnsi="Cambria Math"/>
                      <w:i/>
                    </w:rPr>
                  </m:ctrlPr>
                </m:dPr>
                <m:e>
                  <m:r>
                    <w:rPr>
                      <w:rFonts w:ascii="Cambria Math" w:eastAsiaTheme="minorEastAsia" w:hAnsi="Cambria Math"/>
                    </w:rPr>
                    <m:t>1+K</m:t>
                  </m:r>
                  <m:d>
                    <m:dPr>
                      <m:begChr m:val="["/>
                      <m:endChr m:val="]"/>
                      <m:ctrlPr>
                        <w:rPr>
                          <w:rFonts w:ascii="Cambria Math" w:eastAsiaTheme="minorEastAsia" w:hAnsi="Cambria Math"/>
                          <w:bCs/>
                          <w:i/>
                        </w:rPr>
                      </m:ctrlPr>
                    </m:dPr>
                    <m:e>
                      <m:r>
                        <w:rPr>
                          <w:rFonts w:ascii="Cambria Math" w:eastAsiaTheme="minorEastAsia" w:hAnsi="Cambria Math"/>
                        </w:rPr>
                        <m:t>X</m:t>
                      </m:r>
                    </m:e>
                  </m:d>
                </m:e>
              </m:d>
            </m:oMath>
          </w:p>
          <w:p w:rsidR="005431EF" w:rsidRPr="003E1068" w:rsidRDefault="00040F10" w:rsidP="003C7DF4">
            <w:pPr>
              <w:spacing w:line="480" w:lineRule="auto"/>
              <w:jc w:val="right"/>
              <w:rPr>
                <w:rFonts w:eastAsiaTheme="minorEastAsia"/>
              </w:rPr>
            </w:pPr>
            <m:oMath>
              <m:sSub>
                <m:sSubPr>
                  <m:ctrlPr>
                    <w:rPr>
                      <w:rFonts w:ascii="Cambria Math" w:hAnsi="Cambria Math"/>
                      <w:bCs/>
                      <w:i/>
                    </w:rPr>
                  </m:ctrlPr>
                </m:sSubPr>
                <m:e>
                  <m:r>
                    <w:rPr>
                      <w:rFonts w:ascii="Cambria Math" w:hAnsi="Cambria Math"/>
                    </w:rPr>
                    <m:t>X</m:t>
                  </m:r>
                </m:e>
                <m:sub>
                  <m:r>
                    <w:rPr>
                      <w:rFonts w:ascii="Cambria Math" w:hAnsi="Cambria Math"/>
                    </w:rPr>
                    <m:t>TOT</m:t>
                  </m:r>
                </m:sub>
              </m:sSub>
            </m:oMath>
            <w:r w:rsidR="005431EF" w:rsidRPr="00A247B9">
              <w:rPr>
                <w:bCs/>
              </w:rPr>
              <w:t xml:space="preserve">= </w:t>
            </w:r>
            <m:oMath>
              <m:d>
                <m:dPr>
                  <m:begChr m:val="["/>
                  <m:endChr m:val="]"/>
                  <m:ctrlPr>
                    <w:rPr>
                      <w:rFonts w:ascii="Cambria Math" w:hAnsi="Cambria Math"/>
                      <w:bCs/>
                      <w:i/>
                    </w:rPr>
                  </m:ctrlPr>
                </m:dPr>
                <m:e>
                  <m:r>
                    <w:rPr>
                      <w:rFonts w:ascii="Cambria Math" w:hAnsi="Cambria Math"/>
                    </w:rPr>
                    <m:t>X</m:t>
                  </m:r>
                </m:e>
              </m:d>
              <m:r>
                <w:rPr>
                  <w:rFonts w:ascii="Cambria Math" w:hAnsi="Cambria Math"/>
                </w:rPr>
                <m:t>+</m:t>
              </m:r>
              <m:d>
                <m:dPr>
                  <m:begChr m:val="["/>
                  <m:endChr m:val="]"/>
                  <m:ctrlPr>
                    <w:rPr>
                      <w:rFonts w:ascii="Cambria Math" w:hAnsi="Cambria Math"/>
                      <w:bCs/>
                      <w:i/>
                    </w:rPr>
                  </m:ctrlPr>
                </m:dPr>
                <m:e>
                  <m:r>
                    <w:rPr>
                      <w:rFonts w:ascii="Cambria Math" w:hAnsi="Cambria Math"/>
                    </w:rPr>
                    <m:t>MX</m:t>
                  </m:r>
                </m:e>
              </m:d>
              <m:r>
                <w:rPr>
                  <w:rFonts w:ascii="Cambria Math" w:hAnsi="Cambria Math"/>
                </w:rPr>
                <m:t xml:space="preserve">= </m:t>
              </m:r>
              <m:d>
                <m:dPr>
                  <m:begChr m:val="["/>
                  <m:endChr m:val="]"/>
                  <m:ctrlPr>
                    <w:rPr>
                      <w:rFonts w:ascii="Cambria Math" w:hAnsi="Cambria Math"/>
                      <w:bCs/>
                      <w:i/>
                    </w:rPr>
                  </m:ctrlPr>
                </m:dPr>
                <m:e>
                  <m:r>
                    <w:rPr>
                      <w:rFonts w:ascii="Cambria Math" w:hAnsi="Cambria Math"/>
                    </w:rPr>
                    <m:t>X</m:t>
                  </m:r>
                </m:e>
              </m:d>
              <m:r>
                <w:rPr>
                  <w:rFonts w:ascii="Cambria Math" w:hAnsi="Cambria Math"/>
                </w:rPr>
                <m:t xml:space="preserve"> (1+K</m:t>
              </m:r>
              <m:d>
                <m:dPr>
                  <m:begChr m:val="["/>
                  <m:endChr m:val="]"/>
                  <m:ctrlPr>
                    <w:rPr>
                      <w:rFonts w:ascii="Cambria Math" w:hAnsi="Cambria Math"/>
                      <w:bCs/>
                      <w:i/>
                    </w:rPr>
                  </m:ctrlPr>
                </m:dPr>
                <m:e>
                  <m:r>
                    <w:rPr>
                      <w:rFonts w:ascii="Cambria Math" w:hAnsi="Cambria Math"/>
                    </w:rPr>
                    <m:t>M</m:t>
                  </m:r>
                </m:e>
              </m:d>
              <m:r>
                <w:rPr>
                  <w:rFonts w:ascii="Cambria Math" w:hAnsi="Cambria Math"/>
                </w:rPr>
                <m:t>)</m:t>
              </m:r>
            </m:oMath>
          </w:p>
        </w:tc>
        <w:tc>
          <w:tcPr>
            <w:tcW w:w="2382" w:type="dxa"/>
          </w:tcPr>
          <w:p w:rsidR="005431EF" w:rsidRDefault="005431EF" w:rsidP="00B63EDE">
            <w:pPr>
              <w:keepNext/>
              <w:spacing w:line="480" w:lineRule="auto"/>
              <w:jc w:val="right"/>
              <w:rPr>
                <w:rFonts w:eastAsiaTheme="minorEastAsia"/>
              </w:rPr>
            </w:pPr>
            <w:r>
              <w:rPr>
                <w:rFonts w:eastAsiaTheme="minorEastAsia"/>
              </w:rPr>
              <w:t>(</w:t>
            </w:r>
            <w:r>
              <w:rPr>
                <w:rFonts w:eastAsiaTheme="minorEastAsia"/>
                <w:i/>
              </w:rPr>
              <w:t>2.</w:t>
            </w:r>
            <w:r w:rsidR="0037064F">
              <w:rPr>
                <w:rFonts w:eastAsiaTheme="minorEastAsia"/>
                <w:i/>
              </w:rPr>
              <w:t>13</w:t>
            </w:r>
            <w:r>
              <w:rPr>
                <w:rFonts w:eastAsiaTheme="minorEastAsia"/>
              </w:rPr>
              <w:t>)</w:t>
            </w:r>
          </w:p>
          <w:p w:rsidR="005431EF" w:rsidRPr="003E1068" w:rsidRDefault="005431EF" w:rsidP="0037064F">
            <w:pPr>
              <w:keepNext/>
              <w:spacing w:line="480" w:lineRule="auto"/>
              <w:jc w:val="right"/>
              <w:rPr>
                <w:rFonts w:eastAsiaTheme="minorEastAsia"/>
              </w:rPr>
            </w:pPr>
            <w:r>
              <w:rPr>
                <w:rFonts w:eastAsiaTheme="minorEastAsia"/>
              </w:rPr>
              <w:t>(</w:t>
            </w:r>
            <w:r w:rsidRPr="005431EF">
              <w:rPr>
                <w:rFonts w:eastAsiaTheme="minorEastAsia"/>
                <w:i/>
              </w:rPr>
              <w:t>2.</w:t>
            </w:r>
            <w:r w:rsidR="0037064F">
              <w:rPr>
                <w:rFonts w:eastAsiaTheme="minorEastAsia"/>
                <w:i/>
              </w:rPr>
              <w:t>14</w:t>
            </w:r>
            <w:r>
              <w:rPr>
                <w:rFonts w:eastAsiaTheme="minorEastAsia"/>
              </w:rPr>
              <w:t>)</w:t>
            </w:r>
          </w:p>
        </w:tc>
      </w:tr>
    </w:tbl>
    <w:p w:rsidR="00F14FC6" w:rsidRDefault="00F14FC6" w:rsidP="00F14FC6">
      <w:pPr>
        <w:spacing w:line="480" w:lineRule="auto"/>
        <w:rPr>
          <w:rFonts w:eastAsiaTheme="minorEastAsia"/>
          <w:bCs/>
        </w:rPr>
      </w:pPr>
    </w:p>
    <w:p w:rsidR="00F14FC6" w:rsidRDefault="00F14FC6" w:rsidP="00F14FC6">
      <w:pPr>
        <w:spacing w:line="480" w:lineRule="auto"/>
        <w:jc w:val="both"/>
        <w:rPr>
          <w:bCs/>
        </w:rPr>
      </w:pPr>
      <w:r>
        <w:rPr>
          <w:bCs/>
        </w:rPr>
        <w:lastRenderedPageBreak/>
        <w:t>When two molecules interact heat will be absorbed (endothermic) or produced (exothermic). For each injection, the heat released or absorbed is given by</w:t>
      </w:r>
      <w:r w:rsidR="005431EF">
        <w:rPr>
          <w:bCs/>
        </w:rPr>
        <w:t xml:space="preserve"> </w:t>
      </w:r>
      <w:r w:rsidR="00E07012">
        <w:rPr>
          <w:bCs/>
        </w:rPr>
        <w:t>E</w:t>
      </w:r>
      <w:r w:rsidR="005431EF">
        <w:rPr>
          <w:bCs/>
        </w:rPr>
        <w:t>quation 2.</w:t>
      </w:r>
      <w:r w:rsidR="0054174A">
        <w:rPr>
          <w:bCs/>
        </w:rPr>
        <w:t>15</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374"/>
      </w:tblGrid>
      <w:tr w:rsidR="005431EF" w:rsidRPr="003E1068" w:rsidTr="005431EF">
        <w:trPr>
          <w:trHeight w:val="582"/>
        </w:trPr>
        <w:tc>
          <w:tcPr>
            <w:tcW w:w="5070" w:type="dxa"/>
          </w:tcPr>
          <w:p w:rsidR="005431EF" w:rsidRPr="00EB0BAD" w:rsidRDefault="00BB58A7" w:rsidP="005431EF">
            <w:pPr>
              <w:spacing w:line="480" w:lineRule="auto"/>
              <w:rPr>
                <w:rFonts w:eastAsiaTheme="minorEastAsia"/>
                <w:bCs/>
              </w:rPr>
            </w:pPr>
            <m:oMathPara>
              <m:oMathParaPr>
                <m:jc m:val="right"/>
              </m:oMathParaPr>
              <m:oMath>
                <m:r>
                  <w:rPr>
                    <w:rFonts w:ascii="Cambria Math" w:hAnsi="Cambria Math"/>
                  </w:rPr>
                  <m:t>Q=V ∆H  ∆</m:t>
                </m:r>
                <m:d>
                  <m:dPr>
                    <m:begChr m:val="["/>
                    <m:endChr m:val="]"/>
                    <m:ctrlPr>
                      <w:rPr>
                        <w:rFonts w:ascii="Cambria Math" w:hAnsi="Cambria Math"/>
                        <w:bCs/>
                        <w:i/>
                      </w:rPr>
                    </m:ctrlPr>
                  </m:dPr>
                  <m:e>
                    <m:r>
                      <w:rPr>
                        <w:rFonts w:ascii="Cambria Math" w:eastAsiaTheme="minorEastAsia" w:hAnsi="Cambria Math"/>
                      </w:rPr>
                      <m:t>MX</m:t>
                    </m:r>
                  </m:e>
                </m:d>
              </m:oMath>
            </m:oMathPara>
          </w:p>
          <w:p w:rsidR="005431EF" w:rsidRPr="005431EF" w:rsidRDefault="005431EF" w:rsidP="00B63EDE">
            <w:pPr>
              <w:spacing w:line="480" w:lineRule="auto"/>
              <w:jc w:val="center"/>
              <w:rPr>
                <w:rFonts w:eastAsiaTheme="minorEastAsia"/>
                <w:bCs/>
              </w:rPr>
            </w:pPr>
          </w:p>
        </w:tc>
        <w:tc>
          <w:tcPr>
            <w:tcW w:w="3374" w:type="dxa"/>
          </w:tcPr>
          <w:p w:rsidR="005431EF" w:rsidRPr="003E1068" w:rsidRDefault="005431EF" w:rsidP="0037064F">
            <w:pPr>
              <w:keepNext/>
              <w:spacing w:line="480" w:lineRule="auto"/>
              <w:jc w:val="right"/>
              <w:rPr>
                <w:rFonts w:eastAsiaTheme="minorEastAsia"/>
              </w:rPr>
            </w:pPr>
            <w:r>
              <w:rPr>
                <w:rFonts w:eastAsiaTheme="minorEastAsia"/>
              </w:rPr>
              <w:t>(</w:t>
            </w:r>
            <w:r>
              <w:rPr>
                <w:rFonts w:eastAsiaTheme="minorEastAsia"/>
                <w:i/>
              </w:rPr>
              <w:t>2.</w:t>
            </w:r>
            <w:r w:rsidR="0037064F">
              <w:rPr>
                <w:rFonts w:eastAsiaTheme="minorEastAsia"/>
                <w:i/>
              </w:rPr>
              <w:t>1</w:t>
            </w:r>
            <w:r w:rsidR="0054174A">
              <w:rPr>
                <w:rFonts w:eastAsiaTheme="minorEastAsia"/>
                <w:i/>
              </w:rPr>
              <w:t>5</w:t>
            </w:r>
            <w:r>
              <w:rPr>
                <w:rFonts w:eastAsiaTheme="minorEastAsia"/>
              </w:rPr>
              <w:t>)</w:t>
            </w:r>
          </w:p>
        </w:tc>
      </w:tr>
    </w:tbl>
    <w:p w:rsidR="00F14FC6" w:rsidRDefault="00F14FC6" w:rsidP="00F14FC6">
      <w:pPr>
        <w:spacing w:line="480" w:lineRule="auto"/>
        <w:jc w:val="both"/>
        <w:rPr>
          <w:rFonts w:eastAsiaTheme="minorEastAsia"/>
          <w:bCs/>
        </w:rPr>
      </w:pPr>
      <w:r>
        <w:rPr>
          <w:rFonts w:eastAsiaTheme="minorEastAsia"/>
          <w:bCs/>
        </w:rPr>
        <w:t xml:space="preserve">Where </w:t>
      </w:r>
      <w:r w:rsidR="00BB58A7">
        <w:rPr>
          <w:rFonts w:eastAsiaTheme="minorEastAsia"/>
          <w:bCs/>
          <w:i/>
        </w:rPr>
        <w:t>Q</w:t>
      </w:r>
      <w:r>
        <w:rPr>
          <w:rFonts w:eastAsiaTheme="minorEastAsia"/>
          <w:bCs/>
        </w:rPr>
        <w:t xml:space="preserve"> is the heat accompanying the change in the ligand bound concentration, </w:t>
      </w:r>
      <m:oMath>
        <m:r>
          <w:rPr>
            <w:rFonts w:ascii="Cambria Math" w:hAnsi="Cambria Math"/>
          </w:rPr>
          <m:t>∆</m:t>
        </m:r>
        <m:d>
          <m:dPr>
            <m:begChr m:val="["/>
            <m:endChr m:val="]"/>
            <m:ctrlPr>
              <w:rPr>
                <w:rFonts w:ascii="Cambria Math" w:hAnsi="Cambria Math"/>
                <w:bCs/>
                <w:i/>
              </w:rPr>
            </m:ctrlPr>
          </m:dPr>
          <m:e>
            <m:r>
              <w:rPr>
                <w:rFonts w:ascii="Cambria Math" w:eastAsiaTheme="minorEastAsia" w:hAnsi="Cambria Math"/>
              </w:rPr>
              <m:t>MX</m:t>
            </m:r>
          </m:e>
        </m:d>
      </m:oMath>
      <w:r>
        <w:rPr>
          <w:rFonts w:eastAsiaTheme="minorEastAsia"/>
          <w:bCs/>
        </w:rPr>
        <w:t xml:space="preserve"> is the change in </w:t>
      </w:r>
      <w:r w:rsidR="00734318">
        <w:rPr>
          <w:rFonts w:eastAsiaTheme="minorEastAsia"/>
          <w:bCs/>
        </w:rPr>
        <w:t>macromolecule-ligand complex</w:t>
      </w:r>
      <w:r>
        <w:rPr>
          <w:rFonts w:eastAsiaTheme="minorEastAsia"/>
          <w:bCs/>
        </w:rPr>
        <w:t xml:space="preserve">, </w:t>
      </w:r>
      <m:oMath>
        <m:r>
          <w:rPr>
            <w:rFonts w:ascii="Cambria Math" w:eastAsiaTheme="minorEastAsia" w:hAnsi="Cambria Math"/>
          </w:rPr>
          <m:t>∆H</m:t>
        </m:r>
      </m:oMath>
      <w:r>
        <w:rPr>
          <w:rFonts w:eastAsiaTheme="minorEastAsia"/>
          <w:bCs/>
        </w:rPr>
        <w:t xml:space="preserve"> is the enthalpy of binding and </w:t>
      </w:r>
      <m:oMath>
        <m:r>
          <w:rPr>
            <w:rFonts w:ascii="Cambria Math" w:eastAsiaTheme="minorEastAsia" w:hAnsi="Cambria Math"/>
          </w:rPr>
          <m:t>V</m:t>
        </m:r>
      </m:oMath>
      <w:r>
        <w:rPr>
          <w:rFonts w:eastAsiaTheme="minorEastAsia"/>
          <w:bCs/>
        </w:rPr>
        <w:t xml:space="preserve"> is the reaction volume. </w:t>
      </w:r>
    </w:p>
    <w:p w:rsidR="00F14FC6" w:rsidRDefault="00F14FC6" w:rsidP="00665143">
      <w:pPr>
        <w:spacing w:line="480" w:lineRule="auto"/>
        <w:jc w:val="both"/>
        <w:rPr>
          <w:rFonts w:eastAsiaTheme="minorEastAsia"/>
          <w:bCs/>
        </w:rPr>
      </w:pPr>
      <w:r>
        <w:rPr>
          <w:rFonts w:eastAsiaTheme="minorEastAsia"/>
          <w:bCs/>
        </w:rPr>
        <w:t>Taking into account how the MX concentration changes over the course of the titration leads to</w:t>
      </w:r>
      <w:r w:rsidR="0054174A">
        <w:rPr>
          <w:rFonts w:eastAsiaTheme="minorEastAsia"/>
          <w:bCs/>
        </w:rPr>
        <w:t xml:space="preserve"> Equation 2.16</w:t>
      </w:r>
      <w:r>
        <w:rPr>
          <w:rFonts w:eastAsiaTheme="minorEastAsia"/>
          <w:bCs/>
        </w:rPr>
        <w:t>.</w:t>
      </w:r>
      <w:hyperlink w:anchor="_ENREF_158" w:tooltip="Wiseman, 1989 #636" w:history="1">
        <w:r w:rsidR="00512D09">
          <w:rPr>
            <w:rFonts w:eastAsiaTheme="minorEastAsia"/>
            <w:bCs/>
          </w:rPr>
          <w:fldChar w:fldCharType="begin"/>
        </w:r>
        <w:r w:rsidR="00512D09">
          <w:rPr>
            <w:rFonts w:eastAsiaTheme="minorEastAsia"/>
            <w:bCs/>
          </w:rPr>
          <w:instrText xml:space="preserve"> ADDIN EN.CITE &lt;EndNote&gt;&lt;Cite&gt;&lt;Author&gt;Wiseman&lt;/Author&gt;&lt;Year&gt;1989&lt;/Year&gt;&lt;RecNum&gt;636&lt;/RecNum&gt;&lt;DisplayText&gt;&lt;style face="superscript"&gt;158&lt;/style&gt;&lt;/DisplayText&gt;&lt;record&gt;&lt;rec-number&gt;636&lt;/rec-number&gt;&lt;foreign-keys&gt;&lt;key app="EN" db-id="5trrespwzsdr07efd5tx2w96x22re9s0fsdt"&gt;636&lt;/key&gt;&lt;/foreign-keys&gt;&lt;ref-type name="Journal Article"&gt;17&lt;/ref-type&gt;&lt;contributors&gt;&lt;authors&gt;&lt;author&gt;Wiseman, T.&lt;/author&gt;&lt;author&gt;Williston, S.&lt;/author&gt;&lt;author&gt;Brandts, J. F.&lt;/author&gt;&lt;author&gt;Lin, L. N.&lt;/author&gt;&lt;/authors&gt;&lt;/contributors&gt;&lt;auth-address&gt;Microcal Inc,22 Ind Dr E,Northampton,Ma 01060&amp;#xD;Univ Massachusetts,Dept Chem,Amherst,Ma 01003&lt;/auth-address&gt;&lt;titles&gt;&lt;title&gt;Rapid Measurement of Binding Constants and Heats of Binding Using a New Titration Calorimeter&lt;/title&gt;&lt;secondary-title&gt;Analytical biochemistry&lt;/secondary-title&gt;&lt;alt-title&gt;Anal Biochem&lt;/alt-title&gt;&lt;/titles&gt;&lt;periodical&gt;&lt;full-title&gt;Analytical biochemistry&lt;/full-title&gt;&lt;/periodical&gt;&lt;pages&gt;131-137&lt;/pages&gt;&lt;volume&gt;179&lt;/volume&gt;&lt;number&gt;1&lt;/number&gt;&lt;dates&gt;&lt;year&gt;1989&lt;/year&gt;&lt;pub-dates&gt;&lt;date&gt;May 15&lt;/date&gt;&lt;/pub-dates&gt;&lt;/dates&gt;&lt;isbn&gt;0003-2697&lt;/isbn&gt;&lt;accession-num&gt;ISI:A1989U664800023&lt;/accession-num&gt;&lt;urls&gt;&lt;related-urls&gt;&lt;url&gt;&amp;lt;Go to ISI&amp;gt;://A1989U664800023&lt;/url&gt;&lt;/related-urls&gt;&lt;/urls&gt;&lt;electronic-resource-num&gt;Doi 10.1016/0003-2697(89)90213-3&lt;/electronic-resource-num&gt;&lt;language&gt;English&lt;/language&gt;&lt;/record&gt;&lt;/Cite&gt;&lt;/EndNote&gt;</w:instrText>
        </w:r>
        <w:r w:rsidR="00512D09">
          <w:rPr>
            <w:rFonts w:eastAsiaTheme="minorEastAsia"/>
            <w:bCs/>
          </w:rPr>
          <w:fldChar w:fldCharType="separate"/>
        </w:r>
        <w:r w:rsidR="00512D09" w:rsidRPr="00991167">
          <w:rPr>
            <w:rFonts w:eastAsiaTheme="minorEastAsia"/>
            <w:bCs/>
            <w:noProof/>
            <w:vertAlign w:val="superscript"/>
          </w:rPr>
          <w:t>158</w:t>
        </w:r>
        <w:r w:rsidR="00512D09">
          <w:rPr>
            <w:rFonts w:eastAsiaTheme="minorEastAsia"/>
            <w:bCs/>
          </w:rPr>
          <w:fldChar w:fldCharType="end"/>
        </w:r>
      </w:hyperlink>
      <w:r>
        <w:rPr>
          <w:rFonts w:eastAsiaTheme="minorEastAsia"/>
          <w:bCs/>
        </w:rP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815"/>
      </w:tblGrid>
      <w:tr w:rsidR="00E07012" w:rsidRPr="003E1068" w:rsidTr="00E07012">
        <w:trPr>
          <w:trHeight w:val="582"/>
        </w:trPr>
        <w:tc>
          <w:tcPr>
            <w:tcW w:w="6629" w:type="dxa"/>
          </w:tcPr>
          <w:p w:rsidR="00E07012" w:rsidRPr="005431EF" w:rsidRDefault="00040F10" w:rsidP="00E36A42">
            <w:pPr>
              <w:spacing w:line="480" w:lineRule="auto"/>
              <w:rPr>
                <w:rFonts w:eastAsiaTheme="minorEastAsia"/>
                <w:bCs/>
              </w:rPr>
            </w:pPr>
            <m:oMathPara>
              <m:oMathParaPr>
                <m:jc m:val="right"/>
              </m:oMathParaPr>
              <m:oMath>
                <m:f>
                  <m:fPr>
                    <m:ctrlPr>
                      <w:rPr>
                        <w:rFonts w:ascii="Cambria Math" w:eastAsiaTheme="minorEastAsia" w:hAnsi="Cambria Math"/>
                        <w:bCs/>
                        <w:i/>
                      </w:rPr>
                    </m:ctrlPr>
                  </m:fPr>
                  <m:num>
                    <m:r>
                      <w:rPr>
                        <w:rFonts w:ascii="Cambria Math" w:eastAsiaTheme="minorEastAsia" w:hAnsi="Cambria Math"/>
                      </w:rPr>
                      <m:t>∆</m:t>
                    </m:r>
                    <m:d>
                      <m:dPr>
                        <m:begChr m:val="["/>
                        <m:endChr m:val="]"/>
                        <m:ctrlPr>
                          <w:rPr>
                            <w:rFonts w:ascii="Cambria Math" w:eastAsiaTheme="minorEastAsia" w:hAnsi="Cambria Math"/>
                            <w:bCs/>
                            <w:i/>
                          </w:rPr>
                        </m:ctrlPr>
                      </m:dPr>
                      <m:e>
                        <m:r>
                          <w:rPr>
                            <w:rFonts w:ascii="Cambria Math" w:eastAsiaTheme="minorEastAsia" w:hAnsi="Cambria Math"/>
                          </w:rPr>
                          <m:t>MX</m:t>
                        </m:r>
                      </m:e>
                    </m:d>
                  </m:num>
                  <m:den>
                    <m:sSub>
                      <m:sSubPr>
                        <m:ctrlPr>
                          <w:rPr>
                            <w:rFonts w:ascii="Cambria Math" w:eastAsiaTheme="minorEastAsia" w:hAnsi="Cambria Math"/>
                            <w:bCs/>
                            <w:i/>
                          </w:rPr>
                        </m:ctrlPr>
                      </m:sSubPr>
                      <m:e>
                        <m:r>
                          <w:rPr>
                            <w:rFonts w:ascii="Cambria Math" w:eastAsiaTheme="minorEastAsia" w:hAnsi="Cambria Math"/>
                          </w:rPr>
                          <m:t>∆X</m:t>
                        </m:r>
                      </m:e>
                      <m:sub>
                        <m:r>
                          <w:rPr>
                            <w:rFonts w:ascii="Cambria Math" w:eastAsiaTheme="minorEastAsia" w:hAnsi="Cambria Math"/>
                          </w:rPr>
                          <m:t>tot</m:t>
                        </m:r>
                      </m:sub>
                    </m:sSub>
                  </m:den>
                </m:f>
                <m:r>
                  <w:rPr>
                    <w:rFonts w:ascii="Cambria Math" w:eastAsiaTheme="minorEastAsia" w:hAnsi="Cambria Math"/>
                  </w:rPr>
                  <m:t>=0.5+</m:t>
                </m:r>
                <m:f>
                  <m:fPr>
                    <m:ctrlPr>
                      <w:rPr>
                        <w:rFonts w:ascii="Cambria Math" w:eastAsiaTheme="minorEastAsia" w:hAnsi="Cambria Math"/>
                        <w:bCs/>
                        <w:i/>
                      </w:rPr>
                    </m:ctrlPr>
                  </m:fPr>
                  <m:num>
                    <m:r>
                      <w:rPr>
                        <w:rFonts w:ascii="Cambria Math" w:eastAsiaTheme="minorEastAsia" w:hAnsi="Cambria Math"/>
                      </w:rPr>
                      <m:t>1-(1+r)/2-</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r</m:t>
                        </m:r>
                      </m:sub>
                    </m:sSub>
                    <m:r>
                      <w:rPr>
                        <w:rFonts w:ascii="Cambria Math" w:eastAsiaTheme="minorEastAsia" w:hAnsi="Cambria Math"/>
                      </w:rPr>
                      <m:t>/2)</m:t>
                    </m:r>
                  </m:num>
                  <m:den>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r</m:t>
                        </m:r>
                      </m:sub>
                      <m:sup>
                        <m:r>
                          <w:rPr>
                            <w:rFonts w:ascii="Cambria Math" w:eastAsiaTheme="minorEastAsia" w:hAnsi="Cambria Math"/>
                          </w:rPr>
                          <m:t>2</m:t>
                        </m:r>
                      </m:sup>
                    </m:sSub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1-r</m:t>
                        </m:r>
                      </m:e>
                    </m:d>
                    <m:r>
                      <w:rPr>
                        <w:rFonts w:ascii="Cambria Math" w:eastAsiaTheme="minorEastAsia" w:hAnsi="Cambria Math"/>
                      </w:rPr>
                      <m:t>+(1+r</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0.5</m:t>
                        </m:r>
                      </m:sup>
                    </m:sSup>
                  </m:den>
                </m:f>
              </m:oMath>
            </m:oMathPara>
          </w:p>
        </w:tc>
        <w:tc>
          <w:tcPr>
            <w:tcW w:w="1815" w:type="dxa"/>
          </w:tcPr>
          <w:p w:rsidR="00E07012" w:rsidRPr="003E1068" w:rsidRDefault="00E07012" w:rsidP="0037064F">
            <w:pPr>
              <w:keepNext/>
              <w:spacing w:line="480" w:lineRule="auto"/>
              <w:jc w:val="right"/>
              <w:rPr>
                <w:rFonts w:eastAsiaTheme="minorEastAsia"/>
              </w:rPr>
            </w:pPr>
            <w:r>
              <w:rPr>
                <w:rFonts w:eastAsiaTheme="minorEastAsia"/>
              </w:rPr>
              <w:t>(</w:t>
            </w:r>
            <w:r>
              <w:rPr>
                <w:rFonts w:eastAsiaTheme="minorEastAsia"/>
                <w:i/>
              </w:rPr>
              <w:t>2.</w:t>
            </w:r>
            <w:r w:rsidR="0037064F">
              <w:rPr>
                <w:rFonts w:eastAsiaTheme="minorEastAsia"/>
                <w:i/>
              </w:rPr>
              <w:t>1</w:t>
            </w:r>
            <w:r w:rsidR="0054174A">
              <w:rPr>
                <w:rFonts w:eastAsiaTheme="minorEastAsia"/>
                <w:i/>
              </w:rPr>
              <w:t>6</w:t>
            </w:r>
            <w:r>
              <w:rPr>
                <w:rFonts w:eastAsiaTheme="minorEastAsia"/>
              </w:rPr>
              <w:t>)</w:t>
            </w:r>
          </w:p>
        </w:tc>
      </w:tr>
    </w:tbl>
    <w:p w:rsidR="00F14FC6" w:rsidRDefault="00F14FC6" w:rsidP="00F14FC6">
      <w:pPr>
        <w:spacing w:line="480" w:lineRule="auto"/>
        <w:jc w:val="both"/>
        <w:rPr>
          <w:rFonts w:eastAsiaTheme="minorEastAsia"/>
          <w:bCs/>
        </w:rPr>
      </w:pPr>
      <w:r>
        <w:rPr>
          <w:rFonts w:eastAsiaTheme="minorEastAsia"/>
          <w:bCs/>
        </w:rPr>
        <w:t xml:space="preserve">Where </w:t>
      </w:r>
      <w:r w:rsidRPr="00745045">
        <w:rPr>
          <w:rFonts w:eastAsiaTheme="minorEastAsia"/>
          <w:bCs/>
          <w:i/>
        </w:rPr>
        <w:t>r</w:t>
      </w:r>
      <w:r>
        <w:rPr>
          <w:rFonts w:eastAsiaTheme="minorEastAsia"/>
          <w:bCs/>
          <w:i/>
        </w:rPr>
        <w:t xml:space="preserve"> </w:t>
      </w:r>
      <w:r>
        <w:rPr>
          <w:rFonts w:eastAsiaTheme="minorEastAsia"/>
          <w:bCs/>
        </w:rPr>
        <w:t>is equal to 1/KM</w:t>
      </w:r>
      <w:r>
        <w:rPr>
          <w:rFonts w:eastAsiaTheme="minorEastAsia"/>
          <w:bCs/>
          <w:vertAlign w:val="subscript"/>
        </w:rPr>
        <w:t>tot</w:t>
      </w:r>
      <w:r>
        <w:rPr>
          <w:rFonts w:eastAsiaTheme="minorEastAsia"/>
          <w:bCs/>
        </w:rPr>
        <w:t xml:space="preserve"> and X</w:t>
      </w:r>
      <w:r>
        <w:rPr>
          <w:rFonts w:eastAsiaTheme="minorEastAsia"/>
          <w:bCs/>
          <w:vertAlign w:val="subscript"/>
        </w:rPr>
        <w:t>r</w:t>
      </w:r>
      <w:r>
        <w:rPr>
          <w:rFonts w:eastAsiaTheme="minorEastAsia"/>
          <w:bCs/>
        </w:rPr>
        <w:t xml:space="preserve"> is equal is to X</w:t>
      </w:r>
      <w:r w:rsidRPr="00745045">
        <w:rPr>
          <w:rFonts w:eastAsiaTheme="minorEastAsia"/>
          <w:bCs/>
          <w:vertAlign w:val="subscript"/>
        </w:rPr>
        <w:t>tot</w:t>
      </w:r>
      <w:r>
        <w:rPr>
          <w:rFonts w:eastAsiaTheme="minorEastAsia"/>
          <w:bCs/>
        </w:rPr>
        <w:t>/M</w:t>
      </w:r>
      <w:r w:rsidRPr="00745045">
        <w:rPr>
          <w:rFonts w:eastAsiaTheme="minorEastAsia"/>
          <w:bCs/>
          <w:vertAlign w:val="subscript"/>
        </w:rPr>
        <w:t>tot</w:t>
      </w:r>
      <w:r>
        <w:rPr>
          <w:rFonts w:eastAsiaTheme="minorEastAsia"/>
          <w:bCs/>
        </w:rPr>
        <w:t xml:space="preserve">. The parameters </w:t>
      </w:r>
      <w:r w:rsidRPr="0006296B">
        <w:rPr>
          <w:rFonts w:eastAsiaTheme="minorEastAsia"/>
          <w:bCs/>
          <w:i/>
        </w:rPr>
        <w:t>n</w:t>
      </w:r>
      <w:r>
        <w:rPr>
          <w:rFonts w:eastAsiaTheme="minorEastAsia"/>
          <w:bCs/>
        </w:rPr>
        <w:t>,</w:t>
      </w:r>
      <w:r w:rsidRPr="0006296B">
        <w:rPr>
          <w:rFonts w:eastAsiaTheme="minorEastAsia"/>
          <w:bCs/>
          <w:i/>
        </w:rPr>
        <w:t xml:space="preserve"> </w:t>
      </w:r>
      <w:r>
        <w:rPr>
          <w:rFonts w:eastAsiaTheme="minorEastAsia"/>
          <w:bCs/>
          <w:i/>
        </w:rPr>
        <w:t>Δ</w:t>
      </w:r>
      <w:r w:rsidRPr="0006296B">
        <w:rPr>
          <w:rFonts w:eastAsiaTheme="minorEastAsia"/>
          <w:bCs/>
          <w:i/>
        </w:rPr>
        <w:t>H</w:t>
      </w:r>
      <w:r>
        <w:rPr>
          <w:rFonts w:eastAsiaTheme="minorEastAsia"/>
          <w:bCs/>
        </w:rPr>
        <w:t xml:space="preserve"> and </w:t>
      </w:r>
      <w:r w:rsidRPr="0006296B">
        <w:rPr>
          <w:rFonts w:eastAsiaTheme="minorEastAsia"/>
          <w:bCs/>
          <w:i/>
        </w:rPr>
        <w:t xml:space="preserve">K </w:t>
      </w:r>
      <w:r>
        <w:rPr>
          <w:rFonts w:eastAsiaTheme="minorEastAsia"/>
          <w:bCs/>
        </w:rPr>
        <w:t xml:space="preserve">are then estimated from the integrated binding curve. </w:t>
      </w:r>
      <w:r w:rsidRPr="005C77A3">
        <w:rPr>
          <w:rFonts w:eastAsiaTheme="minorEastAsia"/>
          <w:bCs/>
          <w:i/>
        </w:rPr>
        <w:t>K</w:t>
      </w:r>
      <w:r>
        <w:rPr>
          <w:rFonts w:eastAsiaTheme="minorEastAsia"/>
          <w:bCs/>
        </w:rPr>
        <w:t xml:space="preserve"> is the slope of the curve and </w:t>
      </w:r>
      <w:r w:rsidRPr="0006296B">
        <w:rPr>
          <w:rFonts w:eastAsiaTheme="minorEastAsia"/>
          <w:bCs/>
          <w:i/>
        </w:rPr>
        <w:t>ΔH</w:t>
      </w:r>
      <w:r>
        <w:rPr>
          <w:rFonts w:eastAsiaTheme="minorEastAsia"/>
          <w:bCs/>
          <w:i/>
        </w:rPr>
        <w:t xml:space="preserve"> </w:t>
      </w:r>
      <w:r>
        <w:rPr>
          <w:rFonts w:eastAsiaTheme="minorEastAsia"/>
          <w:bCs/>
        </w:rPr>
        <w:t xml:space="preserve">is calculated from integrating the curve. </w:t>
      </w:r>
    </w:p>
    <w:p w:rsidR="00E07012" w:rsidRDefault="00F14FC6" w:rsidP="00F14FC6">
      <w:pPr>
        <w:spacing w:line="480" w:lineRule="auto"/>
        <w:jc w:val="both"/>
        <w:rPr>
          <w:rFonts w:eastAsiaTheme="minorEastAsia"/>
          <w:bCs/>
        </w:rPr>
      </w:pPr>
      <w:r>
        <w:rPr>
          <w:rFonts w:eastAsiaTheme="minorEastAsia"/>
          <w:bCs/>
        </w:rPr>
        <w:t xml:space="preserve">In a system where two ligands can bind to a macromolecule with differing thermodynamics, the </w:t>
      </w:r>
      <w:r w:rsidR="000C637B">
        <w:rPr>
          <w:rFonts w:eastAsiaTheme="minorEastAsia"/>
          <w:bCs/>
        </w:rPr>
        <w:t>one</w:t>
      </w:r>
      <w:r>
        <w:rPr>
          <w:rFonts w:eastAsiaTheme="minorEastAsia"/>
          <w:bCs/>
        </w:rPr>
        <w:t xml:space="preserve"> site model is no longer appropriate. A simple binding model for</w:t>
      </w:r>
      <w:r w:rsidR="000C637B">
        <w:rPr>
          <w:rFonts w:eastAsiaTheme="minorEastAsia"/>
          <w:bCs/>
        </w:rPr>
        <w:t xml:space="preserve"> both the association constant </w:t>
      </w:r>
      <w:r w:rsidR="00E07012">
        <w:rPr>
          <w:rFonts w:eastAsiaTheme="minorEastAsia"/>
          <w:bCs/>
        </w:rPr>
        <w:t xml:space="preserve">(Equation </w:t>
      </w:r>
      <w:r w:rsidR="0037064F">
        <w:rPr>
          <w:rFonts w:eastAsiaTheme="minorEastAsia"/>
          <w:bCs/>
        </w:rPr>
        <w:t>2.</w:t>
      </w:r>
      <w:r w:rsidR="00324183">
        <w:rPr>
          <w:rFonts w:eastAsiaTheme="minorEastAsia"/>
          <w:bCs/>
        </w:rPr>
        <w:t>17</w:t>
      </w:r>
      <w:r w:rsidR="00E07012">
        <w:rPr>
          <w:rFonts w:eastAsiaTheme="minorEastAsia"/>
          <w:bCs/>
        </w:rPr>
        <w:t xml:space="preserve">) </w:t>
      </w:r>
      <w:r w:rsidR="000C637B">
        <w:rPr>
          <w:rFonts w:eastAsiaTheme="minorEastAsia"/>
          <w:bCs/>
        </w:rPr>
        <w:t>and the dissociation constant (</w:t>
      </w:r>
      <w:r w:rsidR="00E07012">
        <w:rPr>
          <w:rFonts w:eastAsiaTheme="minorEastAsia"/>
          <w:bCs/>
        </w:rPr>
        <w:t xml:space="preserve">Equation </w:t>
      </w:r>
      <w:r w:rsidR="00665143">
        <w:rPr>
          <w:rFonts w:eastAsiaTheme="minorEastAsia"/>
          <w:bCs/>
        </w:rPr>
        <w:t>2.</w:t>
      </w:r>
      <w:r w:rsidR="00324183">
        <w:rPr>
          <w:rFonts w:eastAsiaTheme="minorEastAsia"/>
          <w:bCs/>
        </w:rPr>
        <w:t>18</w:t>
      </w:r>
      <w:r w:rsidR="000C637B">
        <w:rPr>
          <w:rFonts w:eastAsiaTheme="minorEastAsia"/>
          <w:bCs/>
        </w:rPr>
        <w:t>)</w:t>
      </w:r>
      <w:r w:rsidR="00734318">
        <w:rPr>
          <w:rFonts w:eastAsiaTheme="minorEastAsia"/>
          <w:bCs/>
        </w:rP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382"/>
      </w:tblGrid>
      <w:tr w:rsidR="00E07012" w:rsidRPr="003E1068" w:rsidTr="00B63EDE">
        <w:trPr>
          <w:trHeight w:val="582"/>
        </w:trPr>
        <w:tc>
          <w:tcPr>
            <w:tcW w:w="6062" w:type="dxa"/>
          </w:tcPr>
          <w:p w:rsidR="00E07012" w:rsidRPr="00EB0BAD" w:rsidRDefault="00040F10" w:rsidP="00E07012">
            <w:pPr>
              <w:spacing w:line="480" w:lineRule="auto"/>
              <w:jc w:val="center"/>
              <w:rPr>
                <w:rFonts w:eastAsiaTheme="minorEastAsia"/>
                <w:bCs/>
              </w:rPr>
            </w:pPr>
            <m:oMathPara>
              <m:oMathParaPr>
                <m:jc m:val="right"/>
              </m:oMathParaPr>
              <m:oMath>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bCs/>
                        <w:i/>
                      </w:rPr>
                    </m:ctrlPr>
                  </m:fPr>
                  <m:num>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X</m:t>
                        </m:r>
                      </m:e>
                    </m:d>
                  </m:num>
                  <m:den>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1</m:t>
                            </m:r>
                          </m:sub>
                        </m:sSub>
                      </m:e>
                    </m:d>
                    <m:r>
                      <w:rPr>
                        <w:rFonts w:ascii="Cambria Math" w:eastAsiaTheme="minorEastAsia" w:hAnsi="Cambria Math"/>
                      </w:rPr>
                      <m:t>[X]</m:t>
                    </m:r>
                  </m:den>
                </m:f>
                <m:r>
                  <m:rPr>
                    <m:sty m:val="p"/>
                  </m:rPr>
                  <w:rPr>
                    <w:rFonts w:ascii="Cambria Math" w:eastAsiaTheme="minorEastAsia" w:hAnsi="Cambria Math"/>
                    <w:bCs/>
                  </w:rPr>
                  <w:sym w:font="Mathematica1" w:char="F02B"/>
                </m:r>
                <m:f>
                  <m:fPr>
                    <m:ctrlPr>
                      <w:rPr>
                        <w:rFonts w:ascii="Cambria Math" w:eastAsiaTheme="minorEastAsia" w:hAnsi="Cambria Math"/>
                        <w:bCs/>
                        <w:i/>
                      </w:rPr>
                    </m:ctrlPr>
                  </m:fPr>
                  <m:num>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X</m:t>
                        </m:r>
                      </m:e>
                    </m:d>
                  </m:num>
                  <m:den>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2</m:t>
                            </m:r>
                          </m:sub>
                        </m:sSub>
                      </m:e>
                    </m:d>
                    <m:r>
                      <w:rPr>
                        <w:rFonts w:ascii="Cambria Math" w:eastAsiaTheme="minorEastAsia" w:hAnsi="Cambria Math"/>
                      </w:rPr>
                      <m:t>[X]</m:t>
                    </m:r>
                  </m:den>
                </m:f>
                <m:r>
                  <m:rPr>
                    <m:sty m:val="p"/>
                  </m:rPr>
                  <w:rPr>
                    <w:rFonts w:ascii="Cambria Math" w:eastAsiaTheme="minorEastAsia" w:hAnsi="Cambria Math"/>
                    <w:bCs/>
                  </w:rPr>
                  <w:sym w:font="Mathematica1" w:char="F02B"/>
                </m:r>
                <m:f>
                  <m:fPr>
                    <m:ctrlPr>
                      <w:rPr>
                        <w:rFonts w:ascii="Cambria Math" w:eastAsiaTheme="minorEastAsia" w:hAnsi="Cambria Math"/>
                        <w:bCs/>
                        <w:i/>
                      </w:rPr>
                    </m:ctrlPr>
                  </m:fPr>
                  <m:num>
                    <m:d>
                      <m:dPr>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1+2</m:t>
                            </m:r>
                          </m:sub>
                        </m:sSub>
                        <m:r>
                          <w:rPr>
                            <w:rFonts w:ascii="Cambria Math" w:eastAsiaTheme="minorEastAsia" w:hAnsi="Cambria Math"/>
                          </w:rPr>
                          <m:t xml:space="preserve"> [</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num>
                  <m:den>
                    <m:d>
                      <m:dPr>
                        <m:ctrlPr>
                          <w:rPr>
                            <w:rFonts w:ascii="Cambria Math" w:eastAsiaTheme="minorEastAsia" w:hAnsi="Cambria Math"/>
                            <w:bCs/>
                            <w:i/>
                          </w:rPr>
                        </m:ctrlPr>
                      </m:dPr>
                      <m:e>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1+2</m:t>
                                </m:r>
                              </m:sub>
                            </m:sSub>
                          </m:e>
                        </m:d>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den>
                </m:f>
              </m:oMath>
            </m:oMathPara>
          </w:p>
          <w:p w:rsidR="00E07012" w:rsidRPr="00EB0BAD" w:rsidRDefault="00040F10" w:rsidP="00E07012">
            <w:pPr>
              <w:spacing w:line="480" w:lineRule="auto"/>
              <w:jc w:val="center"/>
              <w:rPr>
                <w:rFonts w:eastAsiaTheme="minorEastAsia"/>
                <w:bCs/>
              </w:rPr>
            </w:pPr>
            <m:oMathPara>
              <m:oMathParaPr>
                <m:jc m:val="right"/>
              </m:oMathParaPr>
              <m:oMath>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D</m:t>
                    </m:r>
                  </m:sub>
                </m:sSub>
                <m:r>
                  <w:rPr>
                    <w:rFonts w:ascii="Cambria Math" w:eastAsiaTheme="minorEastAsia" w:hAnsi="Cambria Math"/>
                  </w:rPr>
                  <m:t>=</m:t>
                </m:r>
                <m:f>
                  <m:fPr>
                    <m:ctrlPr>
                      <w:rPr>
                        <w:rFonts w:ascii="Cambria Math" w:eastAsiaTheme="minorEastAsia" w:hAnsi="Cambria Math"/>
                        <w:bCs/>
                        <w:i/>
                      </w:rPr>
                    </m:ctrlPr>
                  </m:fPr>
                  <m:num>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1</m:t>
                            </m:r>
                          </m:sub>
                        </m:sSub>
                      </m:e>
                    </m:d>
                    <m:r>
                      <w:rPr>
                        <w:rFonts w:ascii="Cambria Math" w:eastAsiaTheme="minorEastAsia" w:hAnsi="Cambria Math"/>
                      </w:rPr>
                      <m:t>[X]</m:t>
                    </m:r>
                  </m:num>
                  <m:den>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X</m:t>
                        </m:r>
                      </m:e>
                    </m:d>
                  </m:den>
                </m:f>
                <m:r>
                  <m:rPr>
                    <m:sty m:val="p"/>
                  </m:rPr>
                  <w:rPr>
                    <w:rFonts w:ascii="Cambria Math" w:eastAsiaTheme="minorEastAsia" w:hAnsi="Cambria Math"/>
                    <w:bCs/>
                  </w:rPr>
                  <w:sym w:font="Mathematica1" w:char="F02B"/>
                </m:r>
                <m:f>
                  <m:fPr>
                    <m:ctrlPr>
                      <w:rPr>
                        <w:rFonts w:ascii="Cambria Math" w:eastAsiaTheme="minorEastAsia" w:hAnsi="Cambria Math"/>
                        <w:bCs/>
                        <w:i/>
                      </w:rPr>
                    </m:ctrlPr>
                  </m:fPr>
                  <m:num>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2</m:t>
                            </m:r>
                          </m:sub>
                        </m:sSub>
                      </m:e>
                    </m:d>
                    <m:r>
                      <w:rPr>
                        <w:rFonts w:ascii="Cambria Math" w:eastAsiaTheme="minorEastAsia" w:hAnsi="Cambria Math"/>
                      </w:rPr>
                      <m:t>[X]</m:t>
                    </m:r>
                  </m:num>
                  <m:den>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X</m:t>
                        </m:r>
                      </m:e>
                    </m:d>
                  </m:den>
                </m:f>
                <m:r>
                  <m:rPr>
                    <m:sty m:val="p"/>
                  </m:rPr>
                  <w:rPr>
                    <w:rFonts w:ascii="Cambria Math" w:eastAsiaTheme="minorEastAsia" w:hAnsi="Cambria Math"/>
                    <w:bCs/>
                  </w:rPr>
                  <w:sym w:font="Mathematica1" w:char="F02B"/>
                </m:r>
                <m:f>
                  <m:fPr>
                    <m:ctrlPr>
                      <w:rPr>
                        <w:rFonts w:ascii="Cambria Math" w:eastAsiaTheme="minorEastAsia" w:hAnsi="Cambria Math"/>
                        <w:bCs/>
                        <w:i/>
                      </w:rPr>
                    </m:ctrlPr>
                  </m:fPr>
                  <m:num>
                    <m:d>
                      <m:dPr>
                        <m:ctrlPr>
                          <w:rPr>
                            <w:rFonts w:ascii="Cambria Math" w:eastAsiaTheme="minorEastAsia" w:hAnsi="Cambria Math"/>
                            <w:bCs/>
                            <w:i/>
                          </w:rPr>
                        </m:ctrlPr>
                      </m:dPr>
                      <m:e>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1+2</m:t>
                                </m:r>
                              </m:sub>
                            </m:sSub>
                          </m:e>
                        </m:d>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num>
                  <m:den>
                    <m:d>
                      <m:dPr>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1+2</m:t>
                            </m:r>
                          </m:sub>
                        </m:sSub>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e>
                    </m:d>
                  </m:den>
                </m:f>
              </m:oMath>
            </m:oMathPara>
          </w:p>
          <w:p w:rsidR="00E07012" w:rsidRPr="003E1068" w:rsidRDefault="00E07012" w:rsidP="00B63EDE">
            <w:pPr>
              <w:spacing w:line="480" w:lineRule="auto"/>
              <w:jc w:val="right"/>
              <w:rPr>
                <w:rFonts w:eastAsiaTheme="minorEastAsia"/>
              </w:rPr>
            </w:pPr>
          </w:p>
        </w:tc>
        <w:tc>
          <w:tcPr>
            <w:tcW w:w="2382" w:type="dxa"/>
          </w:tcPr>
          <w:p w:rsidR="004456FB" w:rsidRDefault="00E07012" w:rsidP="004456FB">
            <w:pPr>
              <w:keepNext/>
              <w:spacing w:line="480" w:lineRule="auto"/>
              <w:jc w:val="right"/>
              <w:rPr>
                <w:rFonts w:eastAsiaTheme="minorEastAsia"/>
              </w:rPr>
            </w:pPr>
            <w:r>
              <w:rPr>
                <w:rFonts w:eastAsiaTheme="minorEastAsia"/>
              </w:rPr>
              <w:t>(</w:t>
            </w:r>
            <w:r>
              <w:rPr>
                <w:rFonts w:eastAsiaTheme="minorEastAsia"/>
                <w:i/>
              </w:rPr>
              <w:t>2.</w:t>
            </w:r>
            <w:r w:rsidR="00324183">
              <w:rPr>
                <w:rFonts w:eastAsiaTheme="minorEastAsia"/>
                <w:i/>
              </w:rPr>
              <w:t>17)</w:t>
            </w:r>
          </w:p>
          <w:p w:rsidR="004456FB" w:rsidRDefault="004456FB" w:rsidP="004456FB">
            <w:pPr>
              <w:keepNext/>
              <w:spacing w:line="480" w:lineRule="auto"/>
              <w:jc w:val="right"/>
              <w:rPr>
                <w:rFonts w:eastAsiaTheme="minorEastAsia"/>
              </w:rPr>
            </w:pPr>
          </w:p>
          <w:p w:rsidR="00E07012" w:rsidRPr="003E1068" w:rsidRDefault="00E07012" w:rsidP="00324183">
            <w:pPr>
              <w:keepNext/>
              <w:spacing w:line="480" w:lineRule="auto"/>
              <w:jc w:val="right"/>
              <w:rPr>
                <w:rFonts w:eastAsiaTheme="minorEastAsia"/>
              </w:rPr>
            </w:pPr>
            <w:r>
              <w:rPr>
                <w:rFonts w:eastAsiaTheme="minorEastAsia"/>
              </w:rPr>
              <w:t>(</w:t>
            </w:r>
            <w:r w:rsidRPr="005431EF">
              <w:rPr>
                <w:rFonts w:eastAsiaTheme="minorEastAsia"/>
                <w:i/>
              </w:rPr>
              <w:t>2.</w:t>
            </w:r>
            <w:r w:rsidR="00324183">
              <w:rPr>
                <w:rFonts w:eastAsiaTheme="minorEastAsia"/>
                <w:i/>
              </w:rPr>
              <w:t>18</w:t>
            </w:r>
            <w:r>
              <w:rPr>
                <w:rFonts w:eastAsiaTheme="minorEastAsia"/>
              </w:rPr>
              <w:t>)</w:t>
            </w:r>
          </w:p>
        </w:tc>
      </w:tr>
    </w:tbl>
    <w:p w:rsidR="00F14FC6" w:rsidRDefault="00F14FC6" w:rsidP="00F14FC6">
      <w:pPr>
        <w:spacing w:line="480" w:lineRule="auto"/>
        <w:jc w:val="both"/>
        <w:rPr>
          <w:rFonts w:eastAsiaTheme="minorEastAsia"/>
          <w:bCs/>
        </w:rPr>
      </w:pPr>
      <w:r>
        <w:rPr>
          <w:rFonts w:eastAsiaTheme="minorEastAsia"/>
          <w:bCs/>
        </w:rPr>
        <w:t xml:space="preserve">The subscript coefficient indicates that particular binding site on the macromolecule. In this </w:t>
      </w:r>
      <w:r w:rsidR="0024052B">
        <w:rPr>
          <w:rFonts w:eastAsiaTheme="minorEastAsia"/>
          <w:bCs/>
        </w:rPr>
        <w:t>case,</w:t>
      </w:r>
      <w:r>
        <w:rPr>
          <w:rFonts w:eastAsiaTheme="minorEastAsia"/>
          <w:bCs/>
        </w:rPr>
        <w:t xml:space="preserve"> the ligand and macromolecule can exist in a number of ways and not just bound or free. The ligand can bind to one site on the macromolecule and leave the other site on the macromolecule </w:t>
      </w:r>
      <w:r w:rsidR="008070D1">
        <w:rPr>
          <w:rFonts w:eastAsiaTheme="minorEastAsia"/>
          <w:bCs/>
        </w:rPr>
        <w:t>exposed</w:t>
      </w:r>
      <m:oMath>
        <m:r>
          <w:rPr>
            <w:rFonts w:ascii="Cambria Math" w:eastAsiaTheme="minorEastAsia" w:hAnsi="Cambria Math"/>
          </w:rPr>
          <m:t xml:space="preserve"> </m:t>
        </m:r>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 xml:space="preserve">1 </m:t>
            </m:r>
          </m:sub>
        </m:sSub>
        <m:r>
          <w:rPr>
            <w:rFonts w:ascii="Cambria Math" w:eastAsiaTheme="minorEastAsia" w:hAnsi="Cambria Math"/>
          </w:rPr>
          <m:t>X</m:t>
        </m:r>
      </m:oMath>
      <w:r w:rsidR="008070D1">
        <w:rPr>
          <w:rFonts w:eastAsiaTheme="minorEastAsia"/>
        </w:rPr>
        <w:t>]</w:t>
      </w:r>
      <w:r>
        <w:rPr>
          <w:rFonts w:eastAsiaTheme="minorEastAsia"/>
          <w:bCs/>
        </w:rPr>
        <w:t xml:space="preserve">. Alternatively, the ligand could bind to the second site and </w:t>
      </w:r>
      <w:r>
        <w:rPr>
          <w:rFonts w:eastAsiaTheme="minorEastAsia"/>
          <w:bCs/>
        </w:rPr>
        <w:lastRenderedPageBreak/>
        <w:t xml:space="preserve">leave the other site on the macromolecule </w:t>
      </w:r>
      <w:r w:rsidR="008070D1">
        <w:rPr>
          <w:rFonts w:eastAsiaTheme="minorEastAsia"/>
          <w:bCs/>
        </w:rPr>
        <w:t>exposed</w:t>
      </w:r>
      <m:oMath>
        <m:r>
          <w:rPr>
            <w:rFonts w:ascii="Cambria Math" w:eastAsiaTheme="minorEastAsia" w:hAnsi="Cambria Math"/>
          </w:rPr>
          <m:t xml:space="preserve"> </m:t>
        </m:r>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X</m:t>
            </m:r>
          </m:e>
        </m:d>
      </m:oMath>
      <w:r>
        <w:rPr>
          <w:rFonts w:eastAsiaTheme="minorEastAsia"/>
          <w:bCs/>
        </w:rPr>
        <w:t>. The other situation is when two ligands bind to two binding sites on the macromolecule</w:t>
      </w:r>
      <m:oMath>
        <m:r>
          <w:rPr>
            <w:rFonts w:ascii="Cambria Math" w:eastAsiaTheme="minorEastAsia" w:hAnsi="Cambria Math"/>
          </w:rPr>
          <m:t xml:space="preserve"> </m:t>
        </m:r>
        <m:d>
          <m:dPr>
            <m:begChr m:val="["/>
            <m:endChr m:val="]"/>
            <m:ctrlPr>
              <w:rPr>
                <w:rFonts w:ascii="Cambria Math" w:eastAsiaTheme="minorEastAsia" w:hAnsi="Cambria Math"/>
                <w:bCs/>
                <w:i/>
              </w:rPr>
            </m:ctrlPr>
          </m:d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1+2</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oMath>
      <w:r>
        <w:rPr>
          <w:rFonts w:eastAsiaTheme="minorEastAsia"/>
          <w:bCs/>
        </w:rPr>
        <w:t>. If this is expressed as concentrations</w:t>
      </w:r>
      <w:r w:rsidR="000C637B">
        <w:rPr>
          <w:rFonts w:eastAsiaTheme="minorEastAsia"/>
          <w:bCs/>
        </w:rPr>
        <w:t xml:space="preserve"> </w:t>
      </w:r>
      <w:r w:rsidR="00B63EDE">
        <w:rPr>
          <w:rFonts w:eastAsiaTheme="minorEastAsia"/>
          <w:bCs/>
        </w:rPr>
        <w:t xml:space="preserve">(Equation </w:t>
      </w:r>
      <w:r w:rsidR="00665143">
        <w:rPr>
          <w:rFonts w:eastAsiaTheme="minorEastAsia"/>
          <w:bCs/>
        </w:rPr>
        <w:t>2.</w:t>
      </w:r>
      <w:r w:rsidR="00324183">
        <w:rPr>
          <w:rFonts w:eastAsiaTheme="minorEastAsia"/>
          <w:bCs/>
        </w:rPr>
        <w:t>19</w:t>
      </w:r>
      <w:r w:rsidR="00B63EDE">
        <w:rPr>
          <w:rFonts w:eastAsiaTheme="minorEastAsia"/>
          <w:bCs/>
        </w:rPr>
        <w:t>).</w:t>
      </w:r>
      <w:r>
        <w:rPr>
          <w:rFonts w:eastAsiaTheme="minorEastAsia"/>
          <w:bCs/>
        </w:rP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815"/>
      </w:tblGrid>
      <w:tr w:rsidR="008070D1" w:rsidRPr="003E1068" w:rsidTr="00BF3CC6">
        <w:trPr>
          <w:trHeight w:val="582"/>
        </w:trPr>
        <w:tc>
          <w:tcPr>
            <w:tcW w:w="6629" w:type="dxa"/>
          </w:tcPr>
          <w:p w:rsidR="008070D1" w:rsidRPr="005431EF" w:rsidRDefault="00040F10" w:rsidP="00BF3CC6">
            <w:pPr>
              <w:spacing w:line="480" w:lineRule="auto"/>
              <w:rPr>
                <w:rFonts w:eastAsiaTheme="minorEastAsia"/>
                <w:bCs/>
              </w:rPr>
            </w:pPr>
            <m:oMathPara>
              <m:oMathParaPr>
                <m:jc m:val="right"/>
              </m:oMathParaPr>
              <m:oMath>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TOT</m:t>
                    </m:r>
                  </m:sub>
                </m:sSub>
                <m:r>
                  <w:rPr>
                    <w:rFonts w:ascii="Cambria Math" w:eastAsiaTheme="minorEastAsia" w:hAnsi="Cambria Math"/>
                  </w:rPr>
                  <m:t>=</m:t>
                </m:r>
                <m:d>
                  <m:dPr>
                    <m:begChr m:val="["/>
                    <m:endChr m:val="]"/>
                    <m:ctrlPr>
                      <w:rPr>
                        <w:rFonts w:ascii="Cambria Math" w:eastAsiaTheme="minorEastAsia" w:hAnsi="Cambria Math"/>
                        <w:bCs/>
                        <w:i/>
                      </w:rPr>
                    </m:ctrlPr>
                  </m:dPr>
                  <m:e>
                    <m:r>
                      <w:rPr>
                        <w:rFonts w:ascii="Cambria Math" w:eastAsiaTheme="minorEastAsia" w:hAnsi="Cambria Math"/>
                      </w:rPr>
                      <m:t>M</m:t>
                    </m:r>
                  </m:e>
                </m:d>
                <m:r>
                  <w:rPr>
                    <w:rFonts w:ascii="Cambria Math" w:eastAsiaTheme="minorEastAsia" w:hAnsi="Cambria Math"/>
                  </w:rPr>
                  <m:t>+</m:t>
                </m:r>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 xml:space="preserve">1 </m:t>
                        </m:r>
                      </m:sub>
                    </m:sSub>
                    <m:r>
                      <w:rPr>
                        <w:rFonts w:ascii="Cambria Math" w:eastAsiaTheme="minorEastAsia" w:hAnsi="Cambria Math"/>
                      </w:rPr>
                      <m:t>X</m:t>
                    </m:r>
                  </m:e>
                </m:d>
                <m:r>
                  <w:rPr>
                    <w:rFonts w:ascii="Cambria Math" w:eastAsiaTheme="minorEastAsia" w:hAnsi="Cambria Math"/>
                  </w:rPr>
                  <m:t>+</m:t>
                </m:r>
                <m:d>
                  <m:dPr>
                    <m:begChr m:val="["/>
                    <m:endChr m:val="]"/>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X</m:t>
                    </m:r>
                  </m:e>
                </m:d>
                <m:r>
                  <w:rPr>
                    <w:rFonts w:ascii="Cambria Math" w:eastAsiaTheme="minorEastAsia" w:hAnsi="Cambria Math"/>
                  </w:rPr>
                  <m:t>+</m:t>
                </m:r>
                <m:d>
                  <m:dPr>
                    <m:begChr m:val="["/>
                    <m:endChr m:val="]"/>
                    <m:ctrlPr>
                      <w:rPr>
                        <w:rFonts w:ascii="Cambria Math" w:eastAsiaTheme="minorEastAsia" w:hAnsi="Cambria Math"/>
                        <w:bCs/>
                        <w:i/>
                      </w:rPr>
                    </m:ctrlPr>
                  </m:d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1+2</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oMath>
            </m:oMathPara>
          </w:p>
        </w:tc>
        <w:tc>
          <w:tcPr>
            <w:tcW w:w="1815" w:type="dxa"/>
          </w:tcPr>
          <w:p w:rsidR="008070D1" w:rsidRPr="003E1068" w:rsidRDefault="008070D1" w:rsidP="00324183">
            <w:pPr>
              <w:keepNext/>
              <w:spacing w:line="480" w:lineRule="auto"/>
              <w:jc w:val="right"/>
              <w:rPr>
                <w:rFonts w:eastAsiaTheme="minorEastAsia"/>
              </w:rPr>
            </w:pPr>
            <w:r>
              <w:rPr>
                <w:rFonts w:eastAsiaTheme="minorEastAsia"/>
              </w:rPr>
              <w:t>(</w:t>
            </w:r>
            <w:r>
              <w:rPr>
                <w:rFonts w:eastAsiaTheme="minorEastAsia"/>
                <w:i/>
              </w:rPr>
              <w:t>2.</w:t>
            </w:r>
            <w:r w:rsidR="00324183">
              <w:rPr>
                <w:rFonts w:eastAsiaTheme="minorEastAsia"/>
                <w:i/>
              </w:rPr>
              <w:t>19</w:t>
            </w:r>
            <w:r>
              <w:rPr>
                <w:rFonts w:eastAsiaTheme="minorEastAsia"/>
              </w:rPr>
              <w:t>)</w:t>
            </w:r>
          </w:p>
        </w:tc>
      </w:tr>
    </w:tbl>
    <w:p w:rsidR="00F14FC6" w:rsidRDefault="00F14FC6" w:rsidP="00F14FC6">
      <w:pPr>
        <w:spacing w:line="480" w:lineRule="auto"/>
        <w:jc w:val="both"/>
        <w:rPr>
          <w:rFonts w:eastAsiaTheme="minorEastAsia"/>
          <w:bCs/>
        </w:rPr>
      </w:pPr>
      <w:r w:rsidRPr="00C95A94">
        <w:rPr>
          <w:rFonts w:eastAsiaTheme="minorEastAsia"/>
          <w:bCs/>
        </w:rPr>
        <w:t>The total heat released or absorbed is proportional to the amount of ligand bound as</w:t>
      </w:r>
      <w:r>
        <w:rPr>
          <w:rFonts w:eastAsiaTheme="minorEastAsia"/>
          <w:bCs/>
        </w:rPr>
        <w:t>:</w:t>
      </w:r>
      <w:hyperlink w:anchor="_ENREF_159" w:tooltip="Freire, 1990 #781" w:history="1">
        <w:r w:rsidR="00512D09">
          <w:rPr>
            <w:rFonts w:eastAsiaTheme="minorEastAsia"/>
            <w:bCs/>
          </w:rPr>
          <w:fldChar w:fldCharType="begin"/>
        </w:r>
        <w:r w:rsidR="00512D09">
          <w:rPr>
            <w:rFonts w:eastAsiaTheme="minorEastAsia"/>
            <w:bCs/>
          </w:rPr>
          <w:instrText xml:space="preserve"> ADDIN EN.CITE &lt;EndNote&gt;&lt;Cite&gt;&lt;Author&gt;Freire&lt;/Author&gt;&lt;Year&gt;1990&lt;/Year&gt;&lt;RecNum&gt;781&lt;/RecNum&gt;&lt;DisplayText&gt;&lt;style face="superscript"&gt;159&lt;/style&gt;&lt;/DisplayText&gt;&lt;record&gt;&lt;rec-number&gt;781&lt;/rec-number&gt;&lt;foreign-keys&gt;&lt;key app="EN" db-id="5trrespwzsdr07efd5tx2w96x22re9s0fsdt"&gt;781&lt;/key&gt;&lt;/foreign-keys&gt;&lt;ref-type name="Journal Article"&gt;17&lt;/ref-type&gt;&lt;contributors&gt;&lt;authors&gt;&lt;author&gt;Freire, Ernesto&lt;/author&gt;&lt;author&gt;Mayorga, Obdulio L.&lt;/author&gt;&lt;author&gt;Straume, Martin&lt;/author&gt;&lt;/authors&gt;&lt;/contributors&gt;&lt;titles&gt;&lt;title&gt;Isothermal titration calorimetry&lt;/title&gt;&lt;secondary-title&gt;Analytical chemistry&lt;/secondary-title&gt;&lt;/titles&gt;&lt;periodical&gt;&lt;full-title&gt;Analytical chemistry&lt;/full-title&gt;&lt;/periodical&gt;&lt;pages&gt;950A-959A&lt;/pages&gt;&lt;volume&gt;62&lt;/volume&gt;&lt;number&gt;18&lt;/number&gt;&lt;dates&gt;&lt;year&gt;1990&lt;/year&gt;&lt;pub-dates&gt;&lt;date&gt;1990/09/01&lt;/date&gt;&lt;/pub-dates&gt;&lt;/dates&gt;&lt;publisher&gt;American Chemical Society&lt;/publisher&gt;&lt;isbn&gt;0003-2700&lt;/isbn&gt;&lt;urls&gt;&lt;related-urls&gt;&lt;url&gt;http://dx.doi.org/10.1021/ac00217a002&lt;/url&gt;&lt;/related-urls&gt;&lt;/urls&gt;&lt;electronic-resource-num&gt;10.1021/ac00217a002&lt;/electronic-resource-num&gt;&lt;/record&gt;&lt;/Cite&gt;&lt;/EndNote&gt;</w:instrText>
        </w:r>
        <w:r w:rsidR="00512D09">
          <w:rPr>
            <w:rFonts w:eastAsiaTheme="minorEastAsia"/>
            <w:bCs/>
          </w:rPr>
          <w:fldChar w:fldCharType="separate"/>
        </w:r>
        <w:r w:rsidR="00512D09" w:rsidRPr="0057696F">
          <w:rPr>
            <w:rFonts w:eastAsiaTheme="minorEastAsia"/>
            <w:bCs/>
            <w:noProof/>
            <w:vertAlign w:val="superscript"/>
          </w:rPr>
          <w:t>159</w:t>
        </w:r>
        <w:r w:rsidR="00512D09">
          <w:rPr>
            <w:rFonts w:eastAsiaTheme="minorEastAsia"/>
            <w:bCs/>
          </w:rPr>
          <w:fldChar w:fldCharType="end"/>
        </w:r>
      </w:hyperlink>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815"/>
      </w:tblGrid>
      <w:tr w:rsidR="008070D1" w:rsidRPr="003E1068" w:rsidTr="00BF3CC6">
        <w:trPr>
          <w:trHeight w:val="582"/>
        </w:trPr>
        <w:tc>
          <w:tcPr>
            <w:tcW w:w="6629" w:type="dxa"/>
          </w:tcPr>
          <w:p w:rsidR="008070D1" w:rsidRPr="005431EF" w:rsidRDefault="008070D1" w:rsidP="000334E3">
            <w:pPr>
              <w:spacing w:line="480" w:lineRule="auto"/>
              <w:rPr>
                <w:rFonts w:eastAsiaTheme="minorEastAsia"/>
                <w:bCs/>
              </w:rPr>
            </w:pPr>
            <m:oMathPara>
              <m:oMathParaPr>
                <m:jc m:val="right"/>
              </m:oMathParaPr>
              <m:oMath>
                <m:r>
                  <w:rPr>
                    <w:rFonts w:ascii="Cambria Math" w:eastAsiaTheme="minorEastAsia" w:hAnsi="Cambria Math"/>
                  </w:rPr>
                  <m:t>Q=</m:t>
                </m:r>
                <m:sSub>
                  <m:sSubPr>
                    <m:ctrlPr>
                      <w:rPr>
                        <w:rFonts w:ascii="Cambria Math" w:eastAsiaTheme="minorEastAsia" w:hAnsi="Cambria Math"/>
                        <w:bCs/>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Q</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TOT</m:t>
                    </m:r>
                  </m:sub>
                </m:sSub>
                <m:r>
                  <w:rPr>
                    <w:rFonts w:ascii="Cambria Math" w:eastAsiaTheme="minorEastAsia" w:hAnsi="Cambria Math"/>
                  </w:rPr>
                  <m:t xml:space="preserve"> V </m:t>
                </m:r>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b1</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b2</m:t>
                    </m:r>
                  </m:sub>
                </m:sSub>
                <m:r>
                  <w:rPr>
                    <w:rFonts w:ascii="Cambria Math" w:eastAsiaTheme="minorEastAsia" w:hAnsi="Cambria Math"/>
                  </w:rPr>
                  <m:t>)</m:t>
                </m:r>
              </m:oMath>
            </m:oMathPara>
          </w:p>
        </w:tc>
        <w:tc>
          <w:tcPr>
            <w:tcW w:w="1815" w:type="dxa"/>
          </w:tcPr>
          <w:p w:rsidR="008070D1" w:rsidRPr="003E1068" w:rsidRDefault="008070D1" w:rsidP="00324183">
            <w:pPr>
              <w:keepNext/>
              <w:spacing w:line="480" w:lineRule="auto"/>
              <w:jc w:val="right"/>
              <w:rPr>
                <w:rFonts w:eastAsiaTheme="minorEastAsia"/>
              </w:rPr>
            </w:pPr>
            <w:r>
              <w:rPr>
                <w:rFonts w:eastAsiaTheme="minorEastAsia"/>
              </w:rPr>
              <w:t>(</w:t>
            </w:r>
            <w:r>
              <w:rPr>
                <w:rFonts w:eastAsiaTheme="minorEastAsia"/>
                <w:i/>
              </w:rPr>
              <w:t>2.</w:t>
            </w:r>
            <w:r w:rsidR="00324183">
              <w:rPr>
                <w:rFonts w:eastAsiaTheme="minorEastAsia"/>
                <w:i/>
              </w:rPr>
              <w:t>20</w:t>
            </w:r>
            <w:r>
              <w:rPr>
                <w:rFonts w:eastAsiaTheme="minorEastAsia"/>
              </w:rPr>
              <w:t>)</w:t>
            </w:r>
          </w:p>
        </w:tc>
      </w:tr>
    </w:tbl>
    <w:p w:rsidR="00E61E35" w:rsidRDefault="00F14FC6" w:rsidP="00F14FC6">
      <w:pPr>
        <w:spacing w:line="480" w:lineRule="auto"/>
        <w:jc w:val="both"/>
        <w:rPr>
          <w:rFonts w:eastAsiaTheme="minorEastAsia"/>
          <w:bCs/>
        </w:rPr>
      </w:pPr>
      <w:r w:rsidRPr="005C77A3">
        <w:rPr>
          <w:rFonts w:eastAsiaTheme="minorEastAsia"/>
          <w:bCs/>
          <w:i/>
        </w:rPr>
        <w:t>Q</w:t>
      </w:r>
      <w:r>
        <w:rPr>
          <w:rFonts w:eastAsiaTheme="minorEastAsia"/>
          <w:bCs/>
        </w:rPr>
        <w:t xml:space="preserve"> is the summation of the heats of binding of two ligands binding to two sites on a macromolecule. </w:t>
      </w:r>
      <w:r w:rsidRPr="005C77A3">
        <w:rPr>
          <w:rFonts w:eastAsiaTheme="minorEastAsia"/>
          <w:bCs/>
          <w:i/>
        </w:rPr>
        <w:t>V</w:t>
      </w:r>
      <w:r>
        <w:rPr>
          <w:rFonts w:eastAsiaTheme="minorEastAsia"/>
          <w:bCs/>
        </w:rPr>
        <w:t xml:space="preserve"> is the volume of the cell. </w:t>
      </w:r>
      <m:oMath>
        <m:sSub>
          <m:sSubPr>
            <m:ctrlPr>
              <w:rPr>
                <w:rFonts w:ascii="Cambria Math" w:eastAsiaTheme="minorEastAsia" w:hAnsi="Cambria Math"/>
                <w:bCs/>
                <w:i/>
              </w:rPr>
            </m:ctrlPr>
          </m:sSubPr>
          <m:e>
            <m:r>
              <w:rPr>
                <w:rFonts w:ascii="Cambria Math" w:eastAsiaTheme="minorEastAsia" w:hAnsi="Cambria Math"/>
              </w:rPr>
              <m:t>M</m:t>
            </m:r>
          </m:e>
          <m:sub>
            <m:r>
              <w:rPr>
                <w:rFonts w:ascii="Cambria Math" w:eastAsiaTheme="minorEastAsia" w:hAnsi="Cambria Math"/>
              </w:rPr>
              <m:t>TOT</m:t>
            </m:r>
          </m:sub>
        </m:sSub>
        <m:r>
          <w:rPr>
            <w:rFonts w:ascii="Cambria Math" w:eastAsiaTheme="minorEastAsia" w:hAnsi="Cambria Math"/>
          </w:rPr>
          <m:t xml:space="preserve"> </m:t>
        </m:r>
      </m:oMath>
      <w:r w:rsidR="004E2CF5">
        <w:rPr>
          <w:rFonts w:eastAsiaTheme="minorEastAsia"/>
        </w:rPr>
        <w:t>is the total macromolecule concentration.</w:t>
      </w:r>
      <w:r w:rsidR="006421D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b1</m:t>
            </m:r>
          </m:sub>
        </m:sSub>
      </m:oMath>
      <w:r w:rsidR="004E2CF5">
        <w:rPr>
          <w:rFonts w:eastAsiaTheme="minorEastAsia"/>
        </w:rPr>
        <w:t xml:space="preserve"> </w:t>
      </w:r>
      <w:r w:rsidR="006421D1">
        <w:rPr>
          <w:rFonts w:eastAsiaTheme="minorEastAsia"/>
        </w:rPr>
        <w:t xml:space="preserve">is the proportion of ligand bound to site 1 of the macromolecule. </w:t>
      </w:r>
      <w:r w:rsidRPr="00017EE3">
        <w:rPr>
          <w:rFonts w:eastAsiaTheme="minorEastAsia"/>
          <w:bCs/>
          <w:i/>
        </w:rPr>
        <w:t>ΔH</w:t>
      </w:r>
      <w:r w:rsidRPr="00017EE3">
        <w:rPr>
          <w:rFonts w:eastAsiaTheme="minorEastAsia"/>
          <w:bCs/>
          <w:i/>
          <w:vertAlign w:val="subscript"/>
        </w:rPr>
        <w:t>1</w:t>
      </w:r>
      <w:r>
        <w:rPr>
          <w:rFonts w:eastAsiaTheme="minorEastAsia"/>
          <w:bCs/>
        </w:rPr>
        <w:t xml:space="preserve"> </w:t>
      </w:r>
      <w:r w:rsidR="006421D1">
        <w:rPr>
          <w:rFonts w:eastAsiaTheme="minorEastAsia"/>
          <w:bCs/>
        </w:rPr>
        <w:t xml:space="preserve">is </w:t>
      </w:r>
      <w:r>
        <w:rPr>
          <w:rFonts w:eastAsiaTheme="minorEastAsia"/>
          <w:bCs/>
        </w:rPr>
        <w:t xml:space="preserve">the </w:t>
      </w:r>
      <w:r w:rsidR="006421D1">
        <w:rPr>
          <w:rFonts w:eastAsiaTheme="minorEastAsia"/>
          <w:bCs/>
        </w:rPr>
        <w:t>enthalpy of ligand binding to site 1</w:t>
      </w:r>
      <w:r w:rsidR="00FD6B5B">
        <w:rPr>
          <w:rFonts w:eastAsiaTheme="minorEastAsia"/>
          <w:bCs/>
        </w:rPr>
        <w:t xml:space="preserve"> </w:t>
      </w:r>
      <w:r w:rsidR="006421D1">
        <w:rPr>
          <w:rFonts w:eastAsiaTheme="minorEastAsia"/>
          <w:bCs/>
        </w:rPr>
        <w:t>on a macromolecule.</w:t>
      </w:r>
      <w:r w:rsidRPr="00017EE3">
        <w:rPr>
          <w:rFonts w:eastAsiaTheme="minorEastAsia"/>
          <w:bCs/>
          <w:i/>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oMath>
      <w:r w:rsidR="00FD6B5B">
        <w:rPr>
          <w:rFonts w:eastAsiaTheme="minorEastAsia"/>
          <w:i/>
        </w:rPr>
        <w:t xml:space="preserve"> </w:t>
      </w:r>
      <w:r w:rsidR="004E2CF5">
        <w:rPr>
          <w:rFonts w:eastAsiaTheme="minorEastAsia"/>
        </w:rPr>
        <w:t xml:space="preserve">is the number of molecules bound to site 1 of the macromolecule. </w:t>
      </w:r>
      <w:r w:rsidR="004E2CF5">
        <w:rPr>
          <w:rFonts w:eastAsiaTheme="minorEastAsia"/>
          <w:i/>
        </w:rPr>
        <w:t xml:space="preserve"> </w:t>
      </w:r>
      <w:r w:rsidRPr="00017EE3">
        <w:rPr>
          <w:rFonts w:eastAsiaTheme="minorEastAsia"/>
          <w:bCs/>
          <w:i/>
        </w:rPr>
        <w:t>ΔH</w:t>
      </w:r>
      <w:r w:rsidRPr="00017EE3">
        <w:rPr>
          <w:rFonts w:eastAsiaTheme="minorEastAsia"/>
          <w:bCs/>
          <w:i/>
          <w:vertAlign w:val="subscript"/>
        </w:rPr>
        <w:t>2</w:t>
      </w:r>
      <w:r>
        <w:rPr>
          <w:rFonts w:eastAsiaTheme="minorEastAsia"/>
          <w:bCs/>
          <w:vertAlign w:val="subscript"/>
        </w:rPr>
        <w:t xml:space="preserve"> </w:t>
      </w:r>
      <w:r w:rsidR="006421D1">
        <w:rPr>
          <w:rFonts w:eastAsiaTheme="minorEastAsia"/>
          <w:bCs/>
        </w:rPr>
        <w:t>is t</w:t>
      </w:r>
      <w:r w:rsidRPr="001C5918">
        <w:rPr>
          <w:rFonts w:eastAsiaTheme="minorEastAsia"/>
          <w:bCs/>
        </w:rPr>
        <w:t xml:space="preserve">he enthalpy of </w:t>
      </w:r>
      <w:r w:rsidR="006421D1">
        <w:rPr>
          <w:rFonts w:eastAsiaTheme="minorEastAsia"/>
          <w:bCs/>
        </w:rPr>
        <w:t>ligand binding to site 2 on a macromolecule</w:t>
      </w:r>
      <w:r>
        <w:rPr>
          <w:rFonts w:eastAsiaTheme="minorEastAsia"/>
          <w:bCs/>
        </w:rPr>
        <w:t>.</w:t>
      </w:r>
      <w:r w:rsidR="004E2CF5">
        <w:rPr>
          <w:rFonts w:eastAsiaTheme="minorEastAsia"/>
          <w:bCs/>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oMath>
      <w:r w:rsidR="00FD6B5B">
        <w:rPr>
          <w:rFonts w:eastAsiaTheme="minorEastAsia"/>
        </w:rPr>
        <w:t xml:space="preserve"> </w:t>
      </w:r>
      <w:r w:rsidR="006421D1">
        <w:rPr>
          <w:rFonts w:eastAsiaTheme="minorEastAsia"/>
        </w:rPr>
        <w:t xml:space="preserve">is the number of molecules bound to site 2 of the macromolecule.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b2</m:t>
            </m:r>
          </m:sub>
        </m:sSub>
      </m:oMath>
      <w:r w:rsidR="006421D1">
        <w:rPr>
          <w:rFonts w:eastAsiaTheme="minorEastAsia"/>
        </w:rPr>
        <w:t xml:space="preserve"> is the proportion of ligand bound to site 2 of the macromolecule. </w:t>
      </w:r>
      <w:hyperlink w:anchor="_ENREF_159" w:tooltip="Freire, 1990 #781" w:history="1">
        <w:r w:rsidR="00512D09">
          <w:rPr>
            <w:rFonts w:eastAsiaTheme="minorEastAsia"/>
          </w:rPr>
          <w:fldChar w:fldCharType="begin"/>
        </w:r>
        <w:r w:rsidR="00512D09">
          <w:rPr>
            <w:rFonts w:eastAsiaTheme="minorEastAsia"/>
          </w:rPr>
          <w:instrText xml:space="preserve"> ADDIN EN.CITE &lt;EndNote&gt;&lt;Cite&gt;&lt;Author&gt;Freire&lt;/Author&gt;&lt;Year&gt;1990&lt;/Year&gt;&lt;RecNum&gt;781&lt;/RecNum&gt;&lt;DisplayText&gt;&lt;style face="superscript"&gt;159&lt;/style&gt;&lt;/DisplayText&gt;&lt;record&gt;&lt;rec-number&gt;781&lt;/rec-number&gt;&lt;foreign-keys&gt;&lt;key app="EN" db-id="5trrespwzsdr07efd5tx2w96x22re9s0fsdt"&gt;781&lt;/key&gt;&lt;/foreign-keys&gt;&lt;ref-type name="Journal Article"&gt;17&lt;/ref-type&gt;&lt;contributors&gt;&lt;authors&gt;&lt;author&gt;Freire, Ernesto&lt;/author&gt;&lt;author&gt;Mayorga, Obdulio L.&lt;/author&gt;&lt;author&gt;Straume, Martin&lt;/author&gt;&lt;/authors&gt;&lt;/contributors&gt;&lt;titles&gt;&lt;title&gt;Isothermal titration calorimetry&lt;/title&gt;&lt;secondary-title&gt;Analytical chemistry&lt;/secondary-title&gt;&lt;/titles&gt;&lt;periodical&gt;&lt;full-title&gt;Analytical chemistry&lt;/full-title&gt;&lt;/periodical&gt;&lt;pages&gt;950A-959A&lt;/pages&gt;&lt;volume&gt;62&lt;/volume&gt;&lt;number&gt;18&lt;/number&gt;&lt;dates&gt;&lt;year&gt;1990&lt;/year&gt;&lt;pub-dates&gt;&lt;date&gt;1990/09/01&lt;/date&gt;&lt;/pub-dates&gt;&lt;/dates&gt;&lt;publisher&gt;American Chemical Society&lt;/publisher&gt;&lt;isbn&gt;0003-2700&lt;/isbn&gt;&lt;urls&gt;&lt;related-urls&gt;&lt;url&gt;http://dx.doi.org/10.1021/ac00217a002&lt;/url&gt;&lt;/related-urls&gt;&lt;/urls&gt;&lt;electronic-resource-num&gt;10.1021/ac00217a002&lt;/electronic-resource-num&gt;&lt;/record&gt;&lt;/Cite&gt;&lt;/EndNote&gt;</w:instrText>
        </w:r>
        <w:r w:rsidR="00512D09">
          <w:rPr>
            <w:rFonts w:eastAsiaTheme="minorEastAsia"/>
          </w:rPr>
          <w:fldChar w:fldCharType="separate"/>
        </w:r>
        <w:r w:rsidR="00512D09" w:rsidRPr="006421D1">
          <w:rPr>
            <w:rFonts w:eastAsiaTheme="minorEastAsia"/>
            <w:noProof/>
            <w:vertAlign w:val="superscript"/>
          </w:rPr>
          <w:t>159</w:t>
        </w:r>
        <w:r w:rsidR="00512D09">
          <w:rPr>
            <w:rFonts w:eastAsiaTheme="minorEastAsia"/>
          </w:rPr>
          <w:fldChar w:fldCharType="end"/>
        </w:r>
      </w:hyperlink>
    </w:p>
    <w:p w:rsidR="00F14FC6" w:rsidRDefault="00F14FC6" w:rsidP="00F14FC6">
      <w:pPr>
        <w:spacing w:line="480" w:lineRule="auto"/>
        <w:jc w:val="both"/>
        <w:rPr>
          <w:rFonts w:eastAsiaTheme="minorEastAsia"/>
          <w:bCs/>
        </w:rPr>
      </w:pPr>
      <w:r>
        <w:rPr>
          <w:rFonts w:eastAsiaTheme="minorEastAsia"/>
          <w:bCs/>
        </w:rPr>
        <w:t xml:space="preserve">Combining </w:t>
      </w:r>
      <w:r w:rsidR="00951CC9">
        <w:rPr>
          <w:rFonts w:eastAsiaTheme="minorEastAsia"/>
          <w:bCs/>
        </w:rPr>
        <w:t>Equation 2.</w:t>
      </w:r>
      <w:r w:rsidR="006421D1">
        <w:rPr>
          <w:rFonts w:eastAsiaTheme="minorEastAsia"/>
          <w:bCs/>
        </w:rPr>
        <w:t>19</w:t>
      </w:r>
      <w:r w:rsidR="00454354">
        <w:rPr>
          <w:rFonts w:eastAsiaTheme="minorEastAsia"/>
          <w:bCs/>
        </w:rPr>
        <w:t xml:space="preserve"> </w:t>
      </w:r>
      <w:r>
        <w:rPr>
          <w:rFonts w:eastAsiaTheme="minorEastAsia"/>
          <w:bCs/>
        </w:rPr>
        <w:t xml:space="preserve">and </w:t>
      </w:r>
      <w:r w:rsidR="00951CC9">
        <w:rPr>
          <w:rFonts w:eastAsiaTheme="minorEastAsia"/>
          <w:bCs/>
        </w:rPr>
        <w:t>Equation 2.</w:t>
      </w:r>
      <w:r w:rsidR="006421D1">
        <w:rPr>
          <w:rFonts w:eastAsiaTheme="minorEastAsia"/>
          <w:bCs/>
        </w:rPr>
        <w:t>20</w:t>
      </w:r>
      <w:r w:rsidR="0037064F">
        <w:rPr>
          <w:rFonts w:eastAsiaTheme="minorEastAsia"/>
          <w:bCs/>
        </w:rPr>
        <w:t xml:space="preserve"> </w:t>
      </w:r>
      <w:r>
        <w:rPr>
          <w:rFonts w:eastAsiaTheme="minorEastAsia"/>
          <w:bCs/>
        </w:rPr>
        <w:t xml:space="preserve">leads to </w:t>
      </w:r>
      <w:r w:rsidR="0037064F">
        <w:rPr>
          <w:rFonts w:eastAsiaTheme="minorEastAsia"/>
          <w:bCs/>
        </w:rPr>
        <w:t>Equat</w:t>
      </w:r>
      <w:r w:rsidR="00D36EA2">
        <w:rPr>
          <w:rFonts w:eastAsiaTheme="minorEastAsia"/>
          <w:bCs/>
        </w:rPr>
        <w:t>ion 2.2</w:t>
      </w:r>
      <w:r w:rsidR="006421D1">
        <w:rPr>
          <w:rFonts w:eastAsiaTheme="minorEastAsia"/>
          <w:bCs/>
        </w:rPr>
        <w:t>1</w:t>
      </w:r>
      <w:r>
        <w:rPr>
          <w:rFonts w:eastAsiaTheme="minorEastAsia"/>
          <w:bCs/>
        </w:rPr>
        <w:t xml:space="preserve"> </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815"/>
      </w:tblGrid>
      <w:tr w:rsidR="008070D1" w:rsidRPr="003E1068" w:rsidTr="00BF3CC6">
        <w:trPr>
          <w:trHeight w:val="582"/>
        </w:trPr>
        <w:tc>
          <w:tcPr>
            <w:tcW w:w="6629" w:type="dxa"/>
          </w:tcPr>
          <w:p w:rsidR="008070D1" w:rsidRPr="005431EF" w:rsidRDefault="00040F10" w:rsidP="00F668A1">
            <w:pPr>
              <w:spacing w:line="480" w:lineRule="auto"/>
              <w:jc w:val="center"/>
              <w:rPr>
                <w:rFonts w:eastAsiaTheme="minorEastAsia"/>
                <w:bCs/>
              </w:rPr>
            </w:pPr>
            <m:oMathPara>
              <m:oMathParaPr>
                <m:jc m:val="right"/>
              </m:oMathParaPr>
              <m:oMath>
                <m:d>
                  <m:dPr>
                    <m:begChr m:val="["/>
                    <m:endChr m:val="]"/>
                    <m:ctrlPr>
                      <w:rPr>
                        <w:rFonts w:ascii="Cambria Math" w:eastAsiaTheme="minorEastAsia" w:hAnsi="Cambria Math"/>
                        <w:bCs/>
                        <w:i/>
                      </w:rPr>
                    </m:ctrlPr>
                  </m:dPr>
                  <m:e>
                    <m:r>
                      <w:rPr>
                        <w:rFonts w:ascii="Cambria Math" w:eastAsiaTheme="minorEastAsia" w:hAnsi="Cambria Math"/>
                      </w:rPr>
                      <m:t>Q</m:t>
                    </m:r>
                  </m:e>
                </m:d>
                <m:r>
                  <w:rPr>
                    <w:rFonts w:ascii="Cambria Math" w:eastAsiaTheme="minorEastAsia" w:hAnsi="Cambria Math"/>
                  </w:rPr>
                  <m:t>=V</m:t>
                </m:r>
                <m:d>
                  <m:dPr>
                    <m:begChr m:val="["/>
                    <m:endChr m:val="]"/>
                    <m:ctrlPr>
                      <w:rPr>
                        <w:rFonts w:ascii="Cambria Math" w:eastAsiaTheme="minorEastAsia" w:hAnsi="Cambria Math"/>
                        <w:bCs/>
                        <w:i/>
                      </w:rPr>
                    </m:ctrlPr>
                  </m:dPr>
                  <m:e>
                    <m:r>
                      <w:rPr>
                        <w:rFonts w:ascii="Cambria Math" w:eastAsiaTheme="minorEastAsia" w:hAnsi="Cambria Math"/>
                      </w:rPr>
                      <m:t>M</m:t>
                    </m:r>
                  </m:e>
                </m:d>
                <m:f>
                  <m:fPr>
                    <m:ctrlPr>
                      <w:rPr>
                        <w:rFonts w:ascii="Cambria Math" w:eastAsiaTheme="minorEastAsia" w:hAnsi="Cambria Math"/>
                        <w:bCs/>
                        <w:i/>
                      </w:rPr>
                    </m:ctrlPr>
                  </m:fPr>
                  <m:num>
                    <m:r>
                      <w:rPr>
                        <w:rFonts w:ascii="Cambria Math" w:eastAsiaTheme="minorEastAsia" w:hAnsi="Cambria Math"/>
                      </w:rPr>
                      <m:t xml:space="preserve"> </m:t>
                    </m:r>
                    <m:sSub>
                      <m:sSubPr>
                        <m:ctrlPr>
                          <w:rPr>
                            <w:rFonts w:ascii="Cambria Math" w:eastAsiaTheme="minorEastAsia" w:hAnsi="Cambria Math"/>
                            <w:bCs/>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1</m:t>
                        </m:r>
                      </m:sub>
                    </m:sSub>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1</m:t>
                        </m:r>
                      </m:sub>
                    </m:sSub>
                    <m:d>
                      <m:dPr>
                        <m:begChr m:val="["/>
                        <m:endChr m:val="]"/>
                        <m:ctrlPr>
                          <w:rPr>
                            <w:rFonts w:ascii="Cambria Math" w:eastAsiaTheme="minorEastAsia" w:hAnsi="Cambria Math"/>
                            <w:bCs/>
                            <w:i/>
                          </w:rPr>
                        </m:ctrlPr>
                      </m:dPr>
                      <m:e>
                        <m:r>
                          <w:rPr>
                            <w:rFonts w:ascii="Cambria Math" w:eastAsiaTheme="minorEastAsia" w:hAnsi="Cambria Math"/>
                          </w:rPr>
                          <m:t>X</m:t>
                        </m:r>
                      </m:e>
                    </m:d>
                  </m:num>
                  <m:den>
                    <m:r>
                      <w:rPr>
                        <w:rFonts w:ascii="Cambria Math" w:eastAsiaTheme="minorEastAsia" w:hAnsi="Cambria Math"/>
                      </w:rPr>
                      <m:t xml:space="preserve">1+ </m:t>
                    </m:r>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1</m:t>
                        </m:r>
                      </m:sub>
                    </m:sSub>
                    <m:d>
                      <m:dPr>
                        <m:begChr m:val="["/>
                        <m:endChr m:val="]"/>
                        <m:ctrlPr>
                          <w:rPr>
                            <w:rFonts w:ascii="Cambria Math" w:eastAsiaTheme="minorEastAsia" w:hAnsi="Cambria Math"/>
                            <w:bCs/>
                            <w:i/>
                          </w:rPr>
                        </m:ctrlPr>
                      </m:dPr>
                      <m:e>
                        <m:r>
                          <w:rPr>
                            <w:rFonts w:ascii="Cambria Math" w:eastAsiaTheme="minorEastAsia" w:hAnsi="Cambria Math"/>
                          </w:rPr>
                          <m:t>X</m:t>
                        </m:r>
                      </m:e>
                    </m:d>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 xml:space="preserve"> </m:t>
                    </m:r>
                    <m:sSub>
                      <m:sSubPr>
                        <m:ctrlPr>
                          <w:rPr>
                            <w:rFonts w:ascii="Cambria Math" w:eastAsiaTheme="minorEastAsia" w:hAnsi="Cambria Math"/>
                            <w:bCs/>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2</m:t>
                        </m:r>
                      </m:sub>
                    </m:sSub>
                    <m:d>
                      <m:dPr>
                        <m:begChr m:val="["/>
                        <m:endChr m:val="]"/>
                        <m:ctrlPr>
                          <w:rPr>
                            <w:rFonts w:ascii="Cambria Math" w:eastAsiaTheme="minorEastAsia" w:hAnsi="Cambria Math"/>
                            <w:bCs/>
                            <w:i/>
                          </w:rPr>
                        </m:ctrlPr>
                      </m:dPr>
                      <m:e>
                        <m:r>
                          <w:rPr>
                            <w:rFonts w:ascii="Cambria Math" w:eastAsiaTheme="minorEastAsia" w:hAnsi="Cambria Math"/>
                          </w:rPr>
                          <m:t>X</m:t>
                        </m:r>
                      </m:e>
                    </m:d>
                  </m:num>
                  <m:den>
                    <m:r>
                      <w:rPr>
                        <w:rFonts w:ascii="Cambria Math" w:eastAsiaTheme="minorEastAsia" w:hAnsi="Cambria Math"/>
                      </w:rPr>
                      <m:t xml:space="preserve">1+ </m:t>
                    </m:r>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2</m:t>
                        </m:r>
                      </m:sub>
                    </m:sSub>
                    <m:d>
                      <m:dPr>
                        <m:begChr m:val="["/>
                        <m:endChr m:val="]"/>
                        <m:ctrlPr>
                          <w:rPr>
                            <w:rFonts w:ascii="Cambria Math" w:eastAsiaTheme="minorEastAsia" w:hAnsi="Cambria Math"/>
                            <w:bCs/>
                            <w:i/>
                          </w:rPr>
                        </m:ctrlPr>
                      </m:dPr>
                      <m:e>
                        <m:r>
                          <w:rPr>
                            <w:rFonts w:ascii="Cambria Math" w:eastAsiaTheme="minorEastAsia" w:hAnsi="Cambria Math"/>
                          </w:rPr>
                          <m:t>X</m:t>
                        </m:r>
                      </m:e>
                    </m:d>
                  </m:den>
                </m:f>
                <m:r>
                  <w:rPr>
                    <w:rFonts w:ascii="Cambria Math" w:eastAsiaTheme="minorEastAsia" w:hAnsi="Cambria Math"/>
                  </w:rPr>
                  <m:t xml:space="preserve"> </m:t>
                </m:r>
              </m:oMath>
            </m:oMathPara>
          </w:p>
        </w:tc>
        <w:tc>
          <w:tcPr>
            <w:tcW w:w="1815" w:type="dxa"/>
          </w:tcPr>
          <w:p w:rsidR="008070D1" w:rsidRPr="003E1068" w:rsidRDefault="008070D1" w:rsidP="0037064F">
            <w:pPr>
              <w:keepNext/>
              <w:spacing w:line="480" w:lineRule="auto"/>
              <w:jc w:val="right"/>
              <w:rPr>
                <w:rFonts w:eastAsiaTheme="minorEastAsia"/>
              </w:rPr>
            </w:pPr>
            <w:r>
              <w:rPr>
                <w:rFonts w:eastAsiaTheme="minorEastAsia"/>
              </w:rPr>
              <w:t>(</w:t>
            </w:r>
            <w:r w:rsidR="00951CC9">
              <w:rPr>
                <w:rFonts w:eastAsiaTheme="minorEastAsia"/>
                <w:i/>
              </w:rPr>
              <w:t>2.</w:t>
            </w:r>
            <w:r w:rsidR="0037064F">
              <w:rPr>
                <w:rFonts w:eastAsiaTheme="minorEastAsia"/>
                <w:i/>
              </w:rPr>
              <w:t>2</w:t>
            </w:r>
            <w:r w:rsidR="006421D1">
              <w:rPr>
                <w:rFonts w:eastAsiaTheme="minorEastAsia"/>
                <w:i/>
              </w:rPr>
              <w:t>1</w:t>
            </w:r>
            <w:r>
              <w:rPr>
                <w:rFonts w:eastAsiaTheme="minorEastAsia"/>
              </w:rPr>
              <w:t>)</w:t>
            </w:r>
          </w:p>
        </w:tc>
      </w:tr>
    </w:tbl>
    <w:p w:rsidR="003C5AC8" w:rsidRDefault="00D36EA2" w:rsidP="00F14FC6">
      <w:pPr>
        <w:spacing w:line="480" w:lineRule="auto"/>
        <w:jc w:val="both"/>
        <w:rPr>
          <w:rFonts w:eastAsiaTheme="minorEastAsia"/>
          <w:bCs/>
        </w:rPr>
      </w:pPr>
      <w:r>
        <w:rPr>
          <w:rFonts w:eastAsiaTheme="minorEastAsia"/>
          <w:bCs/>
        </w:rPr>
        <w:t>Equation 2.2</w:t>
      </w:r>
      <w:r w:rsidR="007B55E8">
        <w:rPr>
          <w:rFonts w:eastAsiaTheme="minorEastAsia"/>
          <w:bCs/>
        </w:rPr>
        <w:t>1</w:t>
      </w:r>
      <w:r w:rsidR="005C77A3">
        <w:rPr>
          <w:rFonts w:eastAsiaTheme="minorEastAsia"/>
          <w:bCs/>
        </w:rPr>
        <w:t xml:space="preserve"> </w:t>
      </w:r>
      <w:r w:rsidR="00F14FC6">
        <w:rPr>
          <w:rFonts w:eastAsiaTheme="minorEastAsia"/>
          <w:bCs/>
        </w:rPr>
        <w:t xml:space="preserve">can be used to identify ligand binding to two distinct sets of binding sites. </w:t>
      </w:r>
      <w:r w:rsidR="00233CBD">
        <w:rPr>
          <w:rFonts w:eastAsiaTheme="minorEastAsia"/>
          <w:bCs/>
        </w:rPr>
        <w:t xml:space="preserve"> These models are further addressed in the </w:t>
      </w:r>
      <w:r w:rsidR="00233CBD">
        <w:t xml:space="preserve">MicroCal™ iTC200 system User Manual. </w:t>
      </w:r>
    </w:p>
    <w:p w:rsidR="00BD1AFA" w:rsidRDefault="00A316E2" w:rsidP="007A3E13">
      <w:pPr>
        <w:pStyle w:val="Heading2"/>
        <w:rPr>
          <w:rFonts w:eastAsiaTheme="minorEastAsia"/>
        </w:rPr>
      </w:pPr>
      <w:bookmarkStart w:id="66" w:name="_Toc459130684"/>
      <w:r>
        <w:rPr>
          <w:rFonts w:eastAsiaTheme="minorEastAsia"/>
        </w:rPr>
        <w:t>Nanoparticle Tracking A</w:t>
      </w:r>
      <w:r w:rsidR="00BD1AFA" w:rsidRPr="00947C02">
        <w:rPr>
          <w:rFonts w:eastAsiaTheme="minorEastAsia"/>
        </w:rPr>
        <w:t>nalysis</w:t>
      </w:r>
      <w:bookmarkEnd w:id="66"/>
    </w:p>
    <w:p w:rsidR="007A3E13" w:rsidRPr="007A3E13" w:rsidRDefault="007A3E13" w:rsidP="007A3E13"/>
    <w:p w:rsidR="00F14FC6" w:rsidRDefault="00BD1AFA" w:rsidP="00F14FC6">
      <w:pPr>
        <w:spacing w:line="480" w:lineRule="auto"/>
        <w:jc w:val="both"/>
        <w:rPr>
          <w:rFonts w:eastAsiaTheme="minorEastAsia"/>
          <w:bCs/>
        </w:rPr>
      </w:pPr>
      <w:r>
        <w:rPr>
          <w:rFonts w:eastAsiaTheme="minorEastAsia"/>
          <w:bCs/>
        </w:rPr>
        <w:t>Nanoparticle Tracking A</w:t>
      </w:r>
      <w:r w:rsidR="00F14FC6" w:rsidRPr="00947C02">
        <w:rPr>
          <w:rFonts w:eastAsiaTheme="minorEastAsia"/>
          <w:bCs/>
        </w:rPr>
        <w:t>nalysis (NTA)</w:t>
      </w:r>
      <w:r w:rsidR="00F14FC6">
        <w:rPr>
          <w:rFonts w:eastAsiaTheme="minorEastAsia"/>
          <w:bCs/>
        </w:rPr>
        <w:t xml:space="preserve"> uses the properties of Brownian motion and light scattering to determine particle size distribution of samples in a liquid suspension.</w:t>
      </w:r>
      <w:hyperlink w:anchor="_ENREF_160" w:tooltip="Filipe, 2010 #718" w:history="1">
        <w:r w:rsidR="00512D09">
          <w:rPr>
            <w:rFonts w:eastAsiaTheme="minorEastAsia"/>
            <w:bCs/>
          </w:rPr>
          <w:fldChar w:fldCharType="begin"/>
        </w:r>
        <w:r w:rsidR="00512D09">
          <w:rPr>
            <w:rFonts w:eastAsiaTheme="minorEastAsia"/>
            <w:bCs/>
          </w:rPr>
          <w:instrText xml:space="preserve"> ADDIN EN.CITE &lt;EndNote&gt;&lt;Cite&gt;&lt;Author&gt;Filipe&lt;/Author&gt;&lt;Year&gt;2010&lt;/Year&gt;&lt;RecNum&gt;718&lt;/RecNum&gt;&lt;DisplayText&gt;&lt;style face="superscript"&gt;160&lt;/style&gt;&lt;/DisplayText&gt;&lt;record&gt;&lt;rec-number&gt;718&lt;/rec-number&gt;&lt;foreign-keys&gt;&lt;key app="EN" db-id="5trrespwzsdr07efd5tx2w96x22re9s0fsdt"&gt;718&lt;/key&gt;&lt;/foreign-keys&gt;&lt;ref-type name="Journal Article"&gt;17&lt;/ref-type&gt;&lt;contributors&gt;&lt;authors&gt;&lt;author&gt;Filipe, Vasco&lt;/author&gt;&lt;author&gt;Hawe, Andrea&lt;/author&gt;&lt;author&gt;Jiskoot, Wim&lt;/author&gt;&lt;/authors&gt;&lt;/contributors&gt;&lt;titles&gt;&lt;title&gt;Critical evaluation of Nanoparticle Tracking Analysis (NTA) by NanoSight for the measurement of nanoparticles and protein aggregates&lt;/title&gt;&lt;secondary-title&gt;Pharmaceutical research&lt;/secondary-title&gt;&lt;/titles&gt;&lt;periodical&gt;&lt;full-title&gt;Pharmaceutical research&lt;/full-title&gt;&lt;/periodical&gt;&lt;pages&gt;796-810&lt;/pages&gt;&lt;volume&gt;27&lt;/volume&gt;&lt;number&gt;5&lt;/number&gt;&lt;dates&gt;&lt;year&gt;2010&lt;/year&gt;&lt;/dates&gt;&lt;isbn&gt;0724-8741&lt;/isbn&gt;&lt;urls&gt;&lt;/urls&gt;&lt;/record&gt;&lt;/Cite&gt;&lt;/EndNote&gt;</w:instrText>
        </w:r>
        <w:r w:rsidR="00512D09">
          <w:rPr>
            <w:rFonts w:eastAsiaTheme="minorEastAsia"/>
            <w:bCs/>
          </w:rPr>
          <w:fldChar w:fldCharType="separate"/>
        </w:r>
        <w:r w:rsidR="00512D09" w:rsidRPr="006421D1">
          <w:rPr>
            <w:rFonts w:eastAsiaTheme="minorEastAsia"/>
            <w:bCs/>
            <w:noProof/>
            <w:vertAlign w:val="superscript"/>
          </w:rPr>
          <w:t>160</w:t>
        </w:r>
        <w:r w:rsidR="00512D09">
          <w:rPr>
            <w:rFonts w:eastAsiaTheme="minorEastAsia"/>
            <w:bCs/>
          </w:rPr>
          <w:fldChar w:fldCharType="end"/>
        </w:r>
      </w:hyperlink>
      <w:r w:rsidR="00F14FC6">
        <w:rPr>
          <w:rFonts w:eastAsiaTheme="minorEastAsia"/>
          <w:bCs/>
        </w:rPr>
        <w:t xml:space="preserve"> This technique can be used to determine the size of biological macromolecule particles between 30 to 1000 nm. </w:t>
      </w:r>
    </w:p>
    <w:p w:rsidR="00F14FC6" w:rsidRDefault="00F14FC6" w:rsidP="007A3E13">
      <w:pPr>
        <w:pStyle w:val="Heading3"/>
        <w:rPr>
          <w:rFonts w:eastAsiaTheme="minorEastAsia"/>
        </w:rPr>
      </w:pPr>
      <w:bookmarkStart w:id="67" w:name="_Toc459130685"/>
      <w:r w:rsidRPr="002A6D5C">
        <w:rPr>
          <w:rFonts w:eastAsiaTheme="minorEastAsia"/>
        </w:rPr>
        <w:lastRenderedPageBreak/>
        <w:t>Instrumentation</w:t>
      </w:r>
      <w:bookmarkEnd w:id="67"/>
    </w:p>
    <w:p w:rsidR="007A3E13" w:rsidRPr="007A3E13" w:rsidRDefault="007A3E13" w:rsidP="007A3E13"/>
    <w:p w:rsidR="00454354" w:rsidRDefault="00F14FC6" w:rsidP="00F14FC6">
      <w:pPr>
        <w:spacing w:line="480" w:lineRule="auto"/>
        <w:jc w:val="both"/>
        <w:rPr>
          <w:rFonts w:eastAsiaTheme="minorEastAsia"/>
          <w:bCs/>
        </w:rPr>
      </w:pPr>
      <w:r>
        <w:rPr>
          <w:rFonts w:eastAsiaTheme="minorEastAsia"/>
          <w:bCs/>
        </w:rPr>
        <w:t xml:space="preserve">The basic setup of the system is a light microscope with a video camera. A laser beam </w:t>
      </w:r>
      <w:r w:rsidR="005C77A3">
        <w:rPr>
          <w:rFonts w:eastAsiaTheme="minorEastAsia"/>
          <w:bCs/>
        </w:rPr>
        <w:t>passes</w:t>
      </w:r>
      <w:r>
        <w:rPr>
          <w:rFonts w:eastAsiaTheme="minorEastAsia"/>
          <w:bCs/>
        </w:rPr>
        <w:t xml:space="preserve"> through a sample chamber just a few degrees above the critical angle to prevent total internal reflection. This is where the waves reflect back into the glass. The setup shapes the laser so it matches the depth of focus of the microscope allowing visualisation of all the particles in the suspension. As the laser hits the particles it scatters producing light scattering phenomena that is seen using the microscope. </w:t>
      </w:r>
    </w:p>
    <w:p w:rsidR="005B2B3C" w:rsidRDefault="005B2B3C" w:rsidP="00F14FC6">
      <w:pPr>
        <w:spacing w:line="480" w:lineRule="auto"/>
        <w:jc w:val="both"/>
        <w:rPr>
          <w:rFonts w:eastAsiaTheme="minorEastAsia"/>
          <w:bCs/>
        </w:rPr>
      </w:pPr>
    </w:p>
    <w:p w:rsidR="00454354" w:rsidRDefault="00F14FC6" w:rsidP="00454354">
      <w:pPr>
        <w:keepNext/>
        <w:spacing w:line="480" w:lineRule="auto"/>
        <w:jc w:val="center"/>
      </w:pPr>
      <w:r>
        <w:rPr>
          <w:noProof/>
          <w:lang w:eastAsia="en-GB"/>
        </w:rPr>
        <w:drawing>
          <wp:inline distT="0" distB="0" distL="0" distR="0" wp14:anchorId="50655AD1" wp14:editId="5B59E242">
            <wp:extent cx="3147060" cy="2138051"/>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147104" cy="2138081"/>
                    </a:xfrm>
                    <a:prstGeom prst="rect">
                      <a:avLst/>
                    </a:prstGeom>
                  </pic:spPr>
                </pic:pic>
              </a:graphicData>
            </a:graphic>
          </wp:inline>
        </w:drawing>
      </w:r>
    </w:p>
    <w:p w:rsidR="00F14FC6" w:rsidRDefault="00454354" w:rsidP="00454354">
      <w:pPr>
        <w:pStyle w:val="Caption"/>
        <w:jc w:val="center"/>
        <w:rPr>
          <w:rFonts w:eastAsiaTheme="minorEastAsia"/>
          <w:bCs w:val="0"/>
        </w:rPr>
      </w:pPr>
      <w:r>
        <w:rPr>
          <w:rFonts w:eastAsiaTheme="minorEastAsia"/>
          <w:bCs w:val="0"/>
        </w:rPr>
        <w:t xml:space="preserve">Figure </w:t>
      </w:r>
      <w:r w:rsidR="0075172E">
        <w:rPr>
          <w:rFonts w:eastAsiaTheme="minorEastAsia"/>
          <w:bCs w:val="0"/>
        </w:rPr>
        <w:fldChar w:fldCharType="begin"/>
      </w:r>
      <w:r w:rsidR="00EB1DC7">
        <w:rPr>
          <w:rFonts w:eastAsiaTheme="minorEastAsia"/>
          <w:bCs w:val="0"/>
        </w:rPr>
        <w:instrText xml:space="preserve"> STYLEREF 1 \s </w:instrText>
      </w:r>
      <w:r w:rsidR="0075172E">
        <w:rPr>
          <w:rFonts w:eastAsiaTheme="minorEastAsia"/>
          <w:bCs w:val="0"/>
        </w:rPr>
        <w:fldChar w:fldCharType="separate"/>
      </w:r>
      <w:r w:rsidR="00CB4EDC">
        <w:rPr>
          <w:rFonts w:eastAsiaTheme="minorEastAsia"/>
          <w:bCs w:val="0"/>
          <w:noProof/>
        </w:rPr>
        <w:t>2</w:t>
      </w:r>
      <w:r w:rsidR="0075172E">
        <w:rPr>
          <w:rFonts w:eastAsiaTheme="minorEastAsia"/>
          <w:bCs w:val="0"/>
        </w:rPr>
        <w:fldChar w:fldCharType="end"/>
      </w:r>
      <w:r w:rsidR="00EB1DC7">
        <w:rPr>
          <w:rFonts w:eastAsiaTheme="minorEastAsia"/>
          <w:bCs w:val="0"/>
        </w:rPr>
        <w:t>.</w:t>
      </w:r>
      <w:r w:rsidR="0075172E">
        <w:rPr>
          <w:rFonts w:eastAsiaTheme="minorEastAsia"/>
          <w:bCs w:val="0"/>
        </w:rPr>
        <w:fldChar w:fldCharType="begin"/>
      </w:r>
      <w:r w:rsidR="00EB1DC7">
        <w:rPr>
          <w:rFonts w:eastAsiaTheme="minorEastAsia"/>
          <w:bCs w:val="0"/>
        </w:rPr>
        <w:instrText xml:space="preserve"> SEQ Figure \* ARABIC \s 1 </w:instrText>
      </w:r>
      <w:r w:rsidR="0075172E">
        <w:rPr>
          <w:rFonts w:eastAsiaTheme="minorEastAsia"/>
          <w:bCs w:val="0"/>
        </w:rPr>
        <w:fldChar w:fldCharType="separate"/>
      </w:r>
      <w:r w:rsidR="00CB4EDC">
        <w:rPr>
          <w:rFonts w:eastAsiaTheme="minorEastAsia"/>
          <w:bCs w:val="0"/>
          <w:noProof/>
        </w:rPr>
        <w:t>4</w:t>
      </w:r>
      <w:r w:rsidR="0075172E">
        <w:rPr>
          <w:rFonts w:eastAsiaTheme="minorEastAsia"/>
          <w:bCs w:val="0"/>
        </w:rPr>
        <w:fldChar w:fldCharType="end"/>
      </w:r>
      <w:r>
        <w:rPr>
          <w:rFonts w:eastAsiaTheme="minorEastAsia"/>
          <w:bCs w:val="0"/>
        </w:rPr>
        <w:t>: NTA schematic</w:t>
      </w:r>
      <w:r w:rsidR="006E3017">
        <w:rPr>
          <w:rFonts w:eastAsiaTheme="minorEastAsia"/>
          <w:bCs w:val="0"/>
        </w:rPr>
        <w:t xml:space="preserve"> adapted from Shang </w:t>
      </w:r>
      <w:r w:rsidR="006E3017" w:rsidRPr="002D4FF8">
        <w:rPr>
          <w:rFonts w:eastAsiaTheme="minorEastAsia"/>
          <w:bCs w:val="0"/>
          <w:i/>
        </w:rPr>
        <w:t>et al</w:t>
      </w:r>
      <w:r w:rsidR="002D4FF8">
        <w:rPr>
          <w:rFonts w:eastAsiaTheme="minorEastAsia"/>
          <w:bCs w:val="0"/>
          <w:i/>
        </w:rPr>
        <w:t>.</w:t>
      </w:r>
      <w:r w:rsidR="006E3017">
        <w:rPr>
          <w:rFonts w:eastAsiaTheme="minorEastAsia"/>
          <w:bCs w:val="0"/>
        </w:rPr>
        <w:t xml:space="preserve"> </w:t>
      </w:r>
      <w:hyperlink w:anchor="_ENREF_161" w:tooltip="Shang, 2014 #720" w:history="1">
        <w:r w:rsidR="00512D09">
          <w:rPr>
            <w:rFonts w:eastAsiaTheme="minorEastAsia"/>
            <w:bCs w:val="0"/>
          </w:rPr>
          <w:fldChar w:fldCharType="begin"/>
        </w:r>
        <w:r w:rsidR="00512D09">
          <w:rPr>
            <w:rFonts w:eastAsiaTheme="minorEastAsia"/>
            <w:bCs w:val="0"/>
          </w:rPr>
          <w:instrText xml:space="preserve"> ADDIN EN.CITE &lt;EndNote&gt;&lt;Cite&gt;&lt;Author&gt;Shang&lt;/Author&gt;&lt;Year&gt;2014&lt;/Year&gt;&lt;RecNum&gt;720&lt;/RecNum&gt;&lt;DisplayText&gt;&lt;style face="superscript"&gt;161&lt;/style&gt;&lt;/DisplayText&gt;&lt;record&gt;&lt;rec-number&gt;720&lt;/rec-number&gt;&lt;foreign-keys&gt;&lt;key app="EN" db-id="5trrespwzsdr07efd5tx2w96x22re9s0fsdt"&gt;720&lt;/key&gt;&lt;/foreign-keys&gt;&lt;ref-type name="Journal Article"&gt;17&lt;/ref-type&gt;&lt;contributors&gt;&lt;authors&gt;&lt;author&gt;Shang, Jing&lt;/author&gt;&lt;author&gt;Gao, Xiaohu&lt;/author&gt;&lt;/authors&gt;&lt;/contributors&gt;&lt;titles&gt;&lt;title&gt;Nanoparticle counting: towards accurate determination of the molar concentration&lt;/title&gt;&lt;secondary-title&gt;Chemical Society Reviews&lt;/secondary-title&gt;&lt;/titles&gt;&lt;periodical&gt;&lt;full-title&gt;Chemical Society Reviews&lt;/full-title&gt;&lt;/periodical&gt;&lt;pages&gt;7267-7278&lt;/pages&gt;&lt;volume&gt;43&lt;/volume&gt;&lt;number&gt;21&lt;/number&gt;&lt;dates&gt;&lt;year&gt;2014&lt;/year&gt;&lt;/dates&gt;&lt;urls&gt;&lt;/urls&gt;&lt;/record&gt;&lt;/Cite&gt;&lt;/EndNote&gt;</w:instrText>
        </w:r>
        <w:r w:rsidR="00512D09">
          <w:rPr>
            <w:rFonts w:eastAsiaTheme="minorEastAsia"/>
            <w:bCs w:val="0"/>
          </w:rPr>
          <w:fldChar w:fldCharType="separate"/>
        </w:r>
        <w:r w:rsidR="00512D09" w:rsidRPr="006421D1">
          <w:rPr>
            <w:rFonts w:eastAsiaTheme="minorEastAsia"/>
            <w:bCs w:val="0"/>
            <w:noProof/>
            <w:vertAlign w:val="superscript"/>
          </w:rPr>
          <w:t>161</w:t>
        </w:r>
        <w:r w:rsidR="00512D09">
          <w:rPr>
            <w:rFonts w:eastAsiaTheme="minorEastAsia"/>
            <w:bCs w:val="0"/>
          </w:rPr>
          <w:fldChar w:fldCharType="end"/>
        </w:r>
      </w:hyperlink>
    </w:p>
    <w:p w:rsidR="003C5AC8" w:rsidRPr="003C5AC8" w:rsidRDefault="003C5AC8" w:rsidP="003C5AC8"/>
    <w:p w:rsidR="00F14FC6" w:rsidRPr="003C5AC8" w:rsidRDefault="00EA2EF5" w:rsidP="003C5AC8">
      <w:pPr>
        <w:pStyle w:val="Heading3"/>
        <w:rPr>
          <w:rFonts w:eastAsiaTheme="minorEastAsia"/>
        </w:rPr>
      </w:pPr>
      <w:bookmarkStart w:id="68" w:name="_Toc459130686"/>
      <w:r w:rsidRPr="003C5AC8">
        <w:rPr>
          <w:rFonts w:eastAsiaTheme="minorEastAsia"/>
        </w:rPr>
        <w:t>Sizing of the N</w:t>
      </w:r>
      <w:r w:rsidR="00F14FC6" w:rsidRPr="003C5AC8">
        <w:rPr>
          <w:rFonts w:eastAsiaTheme="minorEastAsia"/>
        </w:rPr>
        <w:t>anoparticles</w:t>
      </w:r>
      <w:bookmarkEnd w:id="68"/>
      <w:r w:rsidR="00F14FC6" w:rsidRPr="003C5AC8">
        <w:rPr>
          <w:rFonts w:eastAsiaTheme="minorEastAsia"/>
        </w:rPr>
        <w:t xml:space="preserve"> </w:t>
      </w:r>
    </w:p>
    <w:p w:rsidR="00E73475" w:rsidRPr="00E73475" w:rsidRDefault="00E73475" w:rsidP="00E73475"/>
    <w:p w:rsidR="00F14FC6" w:rsidRDefault="00F14FC6" w:rsidP="00F14FC6">
      <w:pPr>
        <w:spacing w:line="480" w:lineRule="auto"/>
        <w:jc w:val="both"/>
        <w:rPr>
          <w:rFonts w:eastAsiaTheme="minorEastAsia"/>
          <w:bCs/>
        </w:rPr>
      </w:pPr>
      <w:r>
        <w:rPr>
          <w:rFonts w:eastAsiaTheme="minorEastAsia"/>
          <w:bCs/>
        </w:rPr>
        <w:t xml:space="preserve">The particles that are moving are recorded for analysis. The particles are then individually tracked. In this work, the particles are recorded for </w:t>
      </w:r>
      <w:r w:rsidR="00454354">
        <w:rPr>
          <w:rFonts w:eastAsiaTheme="minorEastAsia"/>
          <w:bCs/>
        </w:rPr>
        <w:t xml:space="preserve">at least </w:t>
      </w:r>
      <w:r>
        <w:rPr>
          <w:rFonts w:eastAsiaTheme="minorEastAsia"/>
          <w:bCs/>
        </w:rPr>
        <w:t xml:space="preserve">60 seconds. The image analysis software (Nanosight NTA 2.2 Analytical Software) then determines the average distance moved by each particle. This can be used to determine the </w:t>
      </w:r>
      <w:r w:rsidRPr="000B578B">
        <w:rPr>
          <w:rFonts w:eastAsiaTheme="minorEastAsia"/>
          <w:bCs/>
        </w:rPr>
        <w:t>particle diffusion coefficient (</w:t>
      </w:r>
      <w:r w:rsidRPr="000B578B">
        <w:rPr>
          <w:rFonts w:eastAsiaTheme="minorEastAsia"/>
          <w:bCs/>
          <w:i/>
        </w:rPr>
        <w:t>Dt</w:t>
      </w:r>
      <w:r>
        <w:rPr>
          <w:rFonts w:eastAsiaTheme="minorEastAsia"/>
          <w:bCs/>
        </w:rPr>
        <w:t>). If the sample temperature (</w:t>
      </w:r>
      <w:r w:rsidRPr="00FE6740">
        <w:rPr>
          <w:rFonts w:eastAsiaTheme="minorEastAsia"/>
          <w:bCs/>
          <w:i/>
        </w:rPr>
        <w:t>T</w:t>
      </w:r>
      <w:r>
        <w:rPr>
          <w:rFonts w:eastAsiaTheme="minorEastAsia"/>
          <w:bCs/>
        </w:rPr>
        <w:t>) and solvent viscosity (</w:t>
      </w:r>
      <w:r w:rsidRPr="00FE6740">
        <w:rPr>
          <w:rFonts w:eastAsiaTheme="minorEastAsia"/>
          <w:bCs/>
        </w:rPr>
        <w:t>η</w:t>
      </w:r>
      <w:r>
        <w:rPr>
          <w:rFonts w:eastAsiaTheme="minorEastAsia"/>
          <w:bCs/>
        </w:rPr>
        <w:t xml:space="preserve">) are identified, the </w:t>
      </w:r>
      <w:r>
        <w:rPr>
          <w:rFonts w:eastAsiaTheme="minorEastAsia"/>
          <w:bCs/>
        </w:rPr>
        <w:lastRenderedPageBreak/>
        <w:t>hydrodynamic radius (</w:t>
      </w:r>
      <w:r w:rsidRPr="000B578B">
        <w:rPr>
          <w:rFonts w:eastAsiaTheme="minorEastAsia"/>
          <w:bCs/>
          <w:i/>
        </w:rPr>
        <w:t>d</w:t>
      </w:r>
      <w:r>
        <w:rPr>
          <w:rFonts w:eastAsiaTheme="minorEastAsia"/>
          <w:bCs/>
        </w:rPr>
        <w:t>) of the particles can be calculated using the Stokes-Einstein equation:</w:t>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658"/>
      </w:tblGrid>
      <w:tr w:rsidR="00951CC9" w:rsidRPr="003E1068" w:rsidTr="00951CC9">
        <w:trPr>
          <w:trHeight w:val="582"/>
        </w:trPr>
        <w:tc>
          <w:tcPr>
            <w:tcW w:w="4786" w:type="dxa"/>
          </w:tcPr>
          <w:p w:rsidR="00951CC9" w:rsidRPr="005431EF" w:rsidRDefault="00951CC9" w:rsidP="00951CC9">
            <w:pPr>
              <w:spacing w:line="480" w:lineRule="auto"/>
              <w:jc w:val="center"/>
              <w:rPr>
                <w:rFonts w:eastAsiaTheme="minorEastAsia"/>
                <w:bCs/>
              </w:rPr>
            </w:pPr>
            <m:oMathPara>
              <m:oMathParaPr>
                <m:jc m:val="right"/>
              </m:oMathParaPr>
              <m:oMath>
                <m:r>
                  <w:rPr>
                    <w:rFonts w:ascii="Cambria Math" w:eastAsiaTheme="minorEastAsia" w:hAnsi="Cambria Math"/>
                  </w:rPr>
                  <m:t xml:space="preserve">Dt= </m:t>
                </m:r>
                <m:f>
                  <m:fPr>
                    <m:ctrlPr>
                      <w:rPr>
                        <w:rFonts w:ascii="Cambria Math" w:eastAsiaTheme="minorEastAsia" w:hAnsi="Cambria Math"/>
                        <w:bCs/>
                        <w:i/>
                      </w:rPr>
                    </m:ctrlPr>
                  </m:fPr>
                  <m:num>
                    <m:r>
                      <w:rPr>
                        <w:rFonts w:ascii="Cambria Math" w:eastAsiaTheme="minorEastAsia" w:hAnsi="Cambria Math"/>
                      </w:rPr>
                      <m:t>T</m:t>
                    </m:r>
                    <m:sSub>
                      <m:sSubPr>
                        <m:ctrlPr>
                          <w:rPr>
                            <w:rFonts w:ascii="Cambria Math" w:eastAsiaTheme="minorEastAsia" w:hAnsi="Cambria Math"/>
                            <w:bCs/>
                            <w:i/>
                          </w:rPr>
                        </m:ctrlPr>
                      </m:sSubPr>
                      <m:e>
                        <m:r>
                          <w:rPr>
                            <w:rFonts w:ascii="Cambria Math" w:eastAsiaTheme="minorEastAsia" w:hAnsi="Cambria Math"/>
                          </w:rPr>
                          <m:t>k</m:t>
                        </m:r>
                      </m:e>
                      <m:sub>
                        <m:r>
                          <w:rPr>
                            <w:rFonts w:ascii="Cambria Math" w:eastAsiaTheme="minorEastAsia" w:hAnsi="Cambria Math"/>
                          </w:rPr>
                          <m:t>B</m:t>
                        </m:r>
                      </m:sub>
                    </m:sSub>
                  </m:num>
                  <m:den>
                    <m:r>
                      <w:rPr>
                        <w:rFonts w:ascii="Cambria Math" w:eastAsiaTheme="minorEastAsia" w:hAnsi="Cambria Math"/>
                      </w:rPr>
                      <m:t>3πηd</m:t>
                    </m:r>
                  </m:den>
                </m:f>
              </m:oMath>
            </m:oMathPara>
          </w:p>
        </w:tc>
        <w:tc>
          <w:tcPr>
            <w:tcW w:w="3658" w:type="dxa"/>
          </w:tcPr>
          <w:p w:rsidR="00951CC9" w:rsidRPr="003E1068" w:rsidRDefault="00951CC9" w:rsidP="0037064F">
            <w:pPr>
              <w:keepNext/>
              <w:spacing w:line="480" w:lineRule="auto"/>
              <w:jc w:val="right"/>
              <w:rPr>
                <w:rFonts w:eastAsiaTheme="minorEastAsia"/>
              </w:rPr>
            </w:pPr>
            <w:r>
              <w:rPr>
                <w:rFonts w:eastAsiaTheme="minorEastAsia"/>
              </w:rPr>
              <w:t>(</w:t>
            </w:r>
            <w:r>
              <w:rPr>
                <w:rFonts w:eastAsiaTheme="minorEastAsia"/>
                <w:i/>
              </w:rPr>
              <w:t>2.</w:t>
            </w:r>
            <w:r w:rsidR="0037064F">
              <w:rPr>
                <w:rFonts w:eastAsiaTheme="minorEastAsia"/>
                <w:i/>
              </w:rPr>
              <w:t>2</w:t>
            </w:r>
            <w:r w:rsidR="002F1AE2">
              <w:rPr>
                <w:rFonts w:eastAsiaTheme="minorEastAsia"/>
                <w:i/>
              </w:rPr>
              <w:t>1</w:t>
            </w:r>
            <w:r>
              <w:rPr>
                <w:rFonts w:eastAsiaTheme="minorEastAsia"/>
              </w:rPr>
              <w:t>)</w:t>
            </w:r>
          </w:p>
        </w:tc>
      </w:tr>
    </w:tbl>
    <w:p w:rsidR="00F14FC6" w:rsidRPr="00DA4E4A" w:rsidRDefault="00F14FC6" w:rsidP="00F14FC6">
      <w:pPr>
        <w:spacing w:line="480" w:lineRule="auto"/>
        <w:jc w:val="both"/>
        <w:rPr>
          <w:rFonts w:eastAsiaTheme="minorEastAsia"/>
          <w:bCs/>
        </w:rPr>
      </w:pPr>
      <w:r>
        <w:rPr>
          <w:rFonts w:eastAsiaTheme="minorEastAsia"/>
          <w:bCs/>
        </w:rPr>
        <w:t>To obtain optimum sizing of particles the concentration regime lies within 10</w:t>
      </w:r>
      <w:r w:rsidRPr="00DA4E4A">
        <w:rPr>
          <w:rFonts w:eastAsiaTheme="minorEastAsia"/>
          <w:bCs/>
          <w:vertAlign w:val="superscript"/>
        </w:rPr>
        <w:t>7</w:t>
      </w:r>
      <w:r>
        <w:rPr>
          <w:rFonts w:eastAsiaTheme="minorEastAsia"/>
          <w:bCs/>
        </w:rPr>
        <w:t xml:space="preserve"> to 10</w:t>
      </w:r>
      <w:r w:rsidRPr="00DA4E4A">
        <w:rPr>
          <w:rFonts w:eastAsiaTheme="minorEastAsia"/>
          <w:bCs/>
          <w:vertAlign w:val="superscript"/>
        </w:rPr>
        <w:t>10</w:t>
      </w:r>
      <w:r>
        <w:rPr>
          <w:rFonts w:eastAsiaTheme="minorEastAsia"/>
          <w:bCs/>
        </w:rPr>
        <w:t xml:space="preserve"> particles per mL. Samples containing fewer than 10</w:t>
      </w:r>
      <w:r>
        <w:rPr>
          <w:rFonts w:eastAsiaTheme="minorEastAsia"/>
          <w:bCs/>
          <w:vertAlign w:val="superscript"/>
        </w:rPr>
        <w:t>7</w:t>
      </w:r>
      <w:r>
        <w:rPr>
          <w:rFonts w:eastAsiaTheme="minorEastAsia"/>
          <w:bCs/>
        </w:rPr>
        <w:t xml:space="preserve"> particles per mL require larger analysis times due to a very small number of particles being present in the field of view at any one time. Particle concentrations greater than 10</w:t>
      </w:r>
      <w:r>
        <w:rPr>
          <w:rFonts w:eastAsiaTheme="minorEastAsia"/>
          <w:bCs/>
          <w:vertAlign w:val="superscript"/>
        </w:rPr>
        <w:t>10</w:t>
      </w:r>
      <w:r>
        <w:rPr>
          <w:rFonts w:eastAsiaTheme="minorEastAsia"/>
          <w:bCs/>
        </w:rPr>
        <w:t xml:space="preserve"> particles per mL will lead to particle trajectories crossing over meaning a reliable estimate of particle concentration cannot be done through tracking.</w:t>
      </w:r>
      <w:hyperlink w:anchor="_ENREF_160" w:tooltip="Filipe, 2010 #718" w:history="1">
        <w:r w:rsidR="00512D09">
          <w:rPr>
            <w:rFonts w:eastAsiaTheme="minorEastAsia"/>
            <w:bCs/>
          </w:rPr>
          <w:fldChar w:fldCharType="begin"/>
        </w:r>
        <w:r w:rsidR="00512D09">
          <w:rPr>
            <w:rFonts w:eastAsiaTheme="minorEastAsia"/>
            <w:bCs/>
          </w:rPr>
          <w:instrText xml:space="preserve"> ADDIN EN.CITE &lt;EndNote&gt;&lt;Cite&gt;&lt;Author&gt;Filipe&lt;/Author&gt;&lt;Year&gt;2010&lt;/Year&gt;&lt;RecNum&gt;718&lt;/RecNum&gt;&lt;DisplayText&gt;&lt;style face="superscript"&gt;160&lt;/style&gt;&lt;/DisplayText&gt;&lt;record&gt;&lt;rec-number&gt;718&lt;/rec-number&gt;&lt;foreign-keys&gt;&lt;key app="EN" db-id="5trrespwzsdr07efd5tx2w96x22re9s0fsdt"&gt;718&lt;/key&gt;&lt;/foreign-keys&gt;&lt;ref-type name="Journal Article"&gt;17&lt;/ref-type&gt;&lt;contributors&gt;&lt;authors&gt;&lt;author&gt;Filipe, Vasco&lt;/author&gt;&lt;author&gt;Hawe, Andrea&lt;/author&gt;&lt;author&gt;Jiskoot, Wim&lt;/author&gt;&lt;/authors&gt;&lt;/contributors&gt;&lt;titles&gt;&lt;title&gt;Critical evaluation of Nanoparticle Tracking Analysis (NTA) by NanoSight for the measurement of nanoparticles and protein aggregates&lt;/title&gt;&lt;secondary-title&gt;Pharmaceutical research&lt;/secondary-title&gt;&lt;/titles&gt;&lt;periodical&gt;&lt;full-title&gt;Pharmaceutical research&lt;/full-title&gt;&lt;/periodical&gt;&lt;pages&gt;796-810&lt;/pages&gt;&lt;volume&gt;27&lt;/volume&gt;&lt;number&gt;5&lt;/number&gt;&lt;dates&gt;&lt;year&gt;2010&lt;/year&gt;&lt;/dates&gt;&lt;isbn&gt;0724-8741&lt;/isbn&gt;&lt;urls&gt;&lt;/urls&gt;&lt;/record&gt;&lt;/Cite&gt;&lt;/EndNote&gt;</w:instrText>
        </w:r>
        <w:r w:rsidR="00512D09">
          <w:rPr>
            <w:rFonts w:eastAsiaTheme="minorEastAsia"/>
            <w:bCs/>
          </w:rPr>
          <w:fldChar w:fldCharType="separate"/>
        </w:r>
        <w:r w:rsidR="00512D09" w:rsidRPr="006421D1">
          <w:rPr>
            <w:rFonts w:eastAsiaTheme="minorEastAsia"/>
            <w:bCs/>
            <w:noProof/>
            <w:vertAlign w:val="superscript"/>
          </w:rPr>
          <w:t>160</w:t>
        </w:r>
        <w:r w:rsidR="00512D09">
          <w:rPr>
            <w:rFonts w:eastAsiaTheme="minorEastAsia"/>
            <w:bCs/>
          </w:rPr>
          <w:fldChar w:fldCharType="end"/>
        </w:r>
      </w:hyperlink>
      <w:r>
        <w:rPr>
          <w:rFonts w:eastAsiaTheme="minorEastAsia"/>
          <w:bCs/>
        </w:rPr>
        <w:t xml:space="preserve"> </w:t>
      </w:r>
    </w:p>
    <w:p w:rsidR="00F14FC6" w:rsidRDefault="00F14FC6" w:rsidP="006E50F6">
      <w:pPr>
        <w:pStyle w:val="Heading3"/>
        <w:rPr>
          <w:rFonts w:eastAsiaTheme="minorEastAsia"/>
        </w:rPr>
      </w:pPr>
      <w:bookmarkStart w:id="69" w:name="_Toc459130687"/>
      <w:r w:rsidRPr="002A6D5C">
        <w:rPr>
          <w:rFonts w:eastAsiaTheme="minorEastAsia"/>
        </w:rPr>
        <w:t>Method</w:t>
      </w:r>
      <w:bookmarkEnd w:id="69"/>
    </w:p>
    <w:p w:rsidR="00E73475" w:rsidRPr="00E73475" w:rsidRDefault="00E73475" w:rsidP="00E73475"/>
    <w:p w:rsidR="00F14FC6" w:rsidRDefault="00F14FC6" w:rsidP="00F14FC6">
      <w:pPr>
        <w:spacing w:line="480" w:lineRule="auto"/>
        <w:jc w:val="both"/>
        <w:rPr>
          <w:rFonts w:eastAsiaTheme="minorEastAsia"/>
          <w:bCs/>
        </w:rPr>
      </w:pPr>
      <w:r w:rsidRPr="00947C02">
        <w:rPr>
          <w:rFonts w:eastAsiaTheme="minorEastAsia"/>
          <w:bCs/>
        </w:rPr>
        <w:t>NTA measurements were</w:t>
      </w:r>
      <w:r>
        <w:rPr>
          <w:rFonts w:eastAsiaTheme="minorEastAsia"/>
          <w:bCs/>
        </w:rPr>
        <w:t xml:space="preserve"> done with a NanoSight LM10</w:t>
      </w:r>
      <w:r w:rsidRPr="00947C02">
        <w:rPr>
          <w:rFonts w:eastAsiaTheme="minorEastAsia"/>
          <w:bCs/>
        </w:rPr>
        <w:t xml:space="preserve"> (NanoSight, Amesbury, United Kingdom), equipped with a sample chamber with a </w:t>
      </w:r>
      <w:r>
        <w:rPr>
          <w:rFonts w:eastAsiaTheme="minorEastAsia"/>
          <w:bCs/>
        </w:rPr>
        <w:t xml:space="preserve">488-nm laser. </w:t>
      </w:r>
      <w:r w:rsidRPr="00947C02">
        <w:rPr>
          <w:rFonts w:eastAsiaTheme="minorEastAsia"/>
          <w:bCs/>
        </w:rPr>
        <w:t xml:space="preserve">The samples were </w:t>
      </w:r>
      <w:r>
        <w:rPr>
          <w:rFonts w:eastAsiaTheme="minorEastAsia"/>
          <w:bCs/>
        </w:rPr>
        <w:t xml:space="preserve">slowly </w:t>
      </w:r>
      <w:r w:rsidRPr="00947C02">
        <w:rPr>
          <w:rFonts w:eastAsiaTheme="minorEastAsia"/>
          <w:bCs/>
        </w:rPr>
        <w:t xml:space="preserve">injected in the sample chamber with sterile syringes until the liquid reached the tip of the </w:t>
      </w:r>
      <w:r>
        <w:rPr>
          <w:rFonts w:eastAsiaTheme="minorEastAsia"/>
          <w:bCs/>
        </w:rPr>
        <w:t>output port</w:t>
      </w:r>
      <w:r w:rsidRPr="00947C02">
        <w:rPr>
          <w:rFonts w:eastAsiaTheme="minorEastAsia"/>
          <w:bCs/>
        </w:rPr>
        <w:t xml:space="preserve">. </w:t>
      </w:r>
    </w:p>
    <w:p w:rsidR="00F14FC6" w:rsidRDefault="00F14FC6" w:rsidP="000574FF">
      <w:pPr>
        <w:spacing w:line="480" w:lineRule="auto"/>
        <w:jc w:val="center"/>
      </w:pPr>
    </w:p>
    <w:p w:rsidR="0069267B" w:rsidRDefault="0069267B" w:rsidP="000574FF">
      <w:pPr>
        <w:spacing w:line="480" w:lineRule="auto"/>
        <w:jc w:val="center"/>
      </w:pPr>
    </w:p>
    <w:p w:rsidR="0069267B" w:rsidRDefault="0069267B" w:rsidP="000574FF">
      <w:pPr>
        <w:spacing w:line="480" w:lineRule="auto"/>
        <w:jc w:val="center"/>
      </w:pPr>
    </w:p>
    <w:p w:rsidR="0069267B" w:rsidRDefault="0069267B" w:rsidP="000574FF">
      <w:pPr>
        <w:spacing w:line="480" w:lineRule="auto"/>
        <w:jc w:val="center"/>
      </w:pPr>
    </w:p>
    <w:p w:rsidR="0069267B" w:rsidRDefault="0069267B" w:rsidP="000574FF">
      <w:pPr>
        <w:spacing w:line="480" w:lineRule="auto"/>
        <w:jc w:val="center"/>
      </w:pPr>
    </w:p>
    <w:p w:rsidR="0069267B" w:rsidRDefault="0069267B" w:rsidP="000574FF">
      <w:pPr>
        <w:spacing w:line="480" w:lineRule="auto"/>
        <w:jc w:val="center"/>
      </w:pPr>
    </w:p>
    <w:p w:rsidR="00454354" w:rsidRDefault="00454354" w:rsidP="003C5AC8">
      <w:pPr>
        <w:spacing w:line="480" w:lineRule="auto"/>
      </w:pPr>
    </w:p>
    <w:p w:rsidR="0059143E" w:rsidRPr="00E00DD1" w:rsidRDefault="00EA2EF5" w:rsidP="00E00DD1">
      <w:pPr>
        <w:pStyle w:val="Heading1"/>
        <w:jc w:val="center"/>
      </w:pPr>
      <w:bookmarkStart w:id="70" w:name="_Toc459130688"/>
      <w:r w:rsidRPr="00E00DD1">
        <w:lastRenderedPageBreak/>
        <w:t>Chapter 3: Modes of Binding for Tannic Acid and Proanthocyanidins to B</w:t>
      </w:r>
      <w:r w:rsidR="0059143E" w:rsidRPr="00E00DD1">
        <w:t>iopolymers</w:t>
      </w:r>
      <w:bookmarkEnd w:id="70"/>
    </w:p>
    <w:p w:rsidR="003661FA" w:rsidRDefault="003661FA"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59143E" w:rsidRDefault="0059143E" w:rsidP="000574FF">
      <w:pPr>
        <w:spacing w:line="480" w:lineRule="auto"/>
        <w:rPr>
          <w:i/>
        </w:rPr>
      </w:pPr>
    </w:p>
    <w:p w:rsidR="000574FF" w:rsidRDefault="000574FF" w:rsidP="003661FA">
      <w:pPr>
        <w:pStyle w:val="Heading2"/>
      </w:pPr>
      <w:bookmarkStart w:id="71" w:name="_Toc459130689"/>
      <w:r w:rsidRPr="00CC612D">
        <w:lastRenderedPageBreak/>
        <w:t>Summary</w:t>
      </w:r>
      <w:bookmarkEnd w:id="71"/>
    </w:p>
    <w:p w:rsidR="00E73475" w:rsidRPr="00E73475" w:rsidRDefault="00E73475" w:rsidP="00E73475"/>
    <w:p w:rsidR="00EB32FC" w:rsidRPr="00E932CD" w:rsidRDefault="000574FF" w:rsidP="000574FF">
      <w:pPr>
        <w:spacing w:line="480" w:lineRule="auto"/>
        <w:jc w:val="both"/>
        <w:rPr>
          <w:bCs/>
        </w:rPr>
      </w:pPr>
      <w:r>
        <w:t xml:space="preserve">Tannin-protein interactions are of vital importance to the food, wine and agricultural industries. Tannin binding to </w:t>
      </w:r>
      <w:r w:rsidR="00DF5E54">
        <w:t xml:space="preserve">bovine serum albumin </w:t>
      </w:r>
      <w:r>
        <w:t>(BSA) showed two stages of interaction at 25</w:t>
      </w:r>
      <w:r w:rsidR="005C77A3">
        <w:t xml:space="preserve"> </w:t>
      </w:r>
      <w:r>
        <w:t>°C</w:t>
      </w:r>
      <w:r w:rsidR="00E932CD">
        <w:t xml:space="preserve"> using Isothermal Titration Calorimetry (ITC)</w:t>
      </w:r>
      <w:r>
        <w:t xml:space="preserve">. </w:t>
      </w:r>
      <w:r w:rsidR="00D62FD1">
        <w:t>BS</w:t>
      </w:r>
      <w:r w:rsidR="00E932CD">
        <w:t>A is a heterogeneous protein</w:t>
      </w:r>
      <w:r w:rsidR="00EB32FC">
        <w:t xml:space="preserve"> meaning that the regions tannins bind to would have different enthalpies (</w:t>
      </w:r>
      <w:r w:rsidR="00EB32FC" w:rsidRPr="00EB32FC">
        <w:t>∆</w:t>
      </w:r>
      <w:r w:rsidR="00EB32FC" w:rsidRPr="00EB32FC">
        <w:rPr>
          <w:i/>
        </w:rPr>
        <w:t>H</w:t>
      </w:r>
      <w:r w:rsidR="00EB32FC">
        <w:t xml:space="preserve">). Polyproline on the other hand, is a uniform peptide composed </w:t>
      </w:r>
      <w:r w:rsidR="004672C2">
        <w:t xml:space="preserve">purely </w:t>
      </w:r>
      <w:r w:rsidR="00EB32FC">
        <w:t>of proline meaning</w:t>
      </w:r>
      <w:r w:rsidR="004672C2">
        <w:t xml:space="preserve"> that the binding regions can</w:t>
      </w:r>
      <w:r w:rsidR="00EB32FC">
        <w:t xml:space="preserve">not have drastically different </w:t>
      </w:r>
      <w:r w:rsidR="00EB32FC" w:rsidRPr="00EB32FC">
        <w:t>∆</w:t>
      </w:r>
      <w:r w:rsidR="00EB32FC" w:rsidRPr="00EB32FC">
        <w:rPr>
          <w:i/>
        </w:rPr>
        <w:t>H</w:t>
      </w:r>
      <w:r w:rsidR="00EB32FC">
        <w:t xml:space="preserve">. Since tannin binding occurs at multiple sites on a protein, the favourable increase in </w:t>
      </w:r>
      <w:r w:rsidR="00EB32FC" w:rsidRPr="00EB32FC">
        <w:t>∆</w:t>
      </w:r>
      <w:r w:rsidR="00EB32FC" w:rsidRPr="00EB32FC">
        <w:rPr>
          <w:i/>
        </w:rPr>
        <w:t>H</w:t>
      </w:r>
      <w:r w:rsidR="00EB32FC">
        <w:rPr>
          <w:bCs/>
        </w:rPr>
        <w:t xml:space="preserve"> at low molar ratios </w:t>
      </w:r>
      <w:r w:rsidR="00E932CD">
        <w:rPr>
          <w:bCs/>
        </w:rPr>
        <w:t>is interpreted</w:t>
      </w:r>
      <w:r w:rsidR="004672C2">
        <w:rPr>
          <w:bCs/>
        </w:rPr>
        <w:t xml:space="preserve"> as </w:t>
      </w:r>
      <w:r w:rsidR="00EB32FC">
        <w:rPr>
          <w:bCs/>
        </w:rPr>
        <w:t xml:space="preserve"> tannin</w:t>
      </w:r>
      <w:r w:rsidR="004672C2">
        <w:rPr>
          <w:bCs/>
        </w:rPr>
        <w:t xml:space="preserve"> that is already bound to a BSA molecule</w:t>
      </w:r>
      <w:r w:rsidR="00EB32FC">
        <w:rPr>
          <w:bCs/>
        </w:rPr>
        <w:t xml:space="preserve"> binding to </w:t>
      </w:r>
      <w:r w:rsidR="00E932CD">
        <w:rPr>
          <w:bCs/>
        </w:rPr>
        <w:t xml:space="preserve">regions with different amino acid composition of other BSA molecules and therefore different </w:t>
      </w:r>
      <w:r w:rsidR="00E932CD" w:rsidRPr="00EB32FC">
        <w:t>∆</w:t>
      </w:r>
      <w:r w:rsidR="00E932CD" w:rsidRPr="00EB32FC">
        <w:rPr>
          <w:i/>
        </w:rPr>
        <w:t>H</w:t>
      </w:r>
      <w:r w:rsidR="00EB32FC">
        <w:rPr>
          <w:i/>
        </w:rPr>
        <w:t xml:space="preserve">. </w:t>
      </w:r>
      <w:r w:rsidR="00E932CD">
        <w:t xml:space="preserve">Two stages of interaction were not seen for the polyproline-tannic acid interaction. </w:t>
      </w:r>
      <w:r w:rsidR="00EB32FC">
        <w:t>Nanoparticle Tracking Analysis allows visualis</w:t>
      </w:r>
      <w:r w:rsidR="00EB32FC" w:rsidRPr="00EB32FC">
        <w:t xml:space="preserve">ation </w:t>
      </w:r>
      <w:r w:rsidR="00EB32FC">
        <w:t>of proteinaceous particles larger than 30 nm.</w:t>
      </w:r>
      <w:r w:rsidR="00E932CD">
        <w:t xml:space="preserve"> The images showed tannic acid-polyproline particles indicating that bound tannin could be binding to other polyproline molecules in solution. Taken together, this may mean that the two stages of interaction are only seen when bound tannins bind to other molecules in solution with different </w:t>
      </w:r>
      <w:r w:rsidR="00E932CD" w:rsidRPr="00EB32FC">
        <w:t>∆</w:t>
      </w:r>
      <w:r w:rsidR="00E932CD" w:rsidRPr="00EB32FC">
        <w:rPr>
          <w:i/>
        </w:rPr>
        <w:t>H</w:t>
      </w:r>
      <w:r w:rsidR="00E932CD">
        <w:t xml:space="preserve">. </w:t>
      </w:r>
    </w:p>
    <w:p w:rsidR="000574FF" w:rsidRDefault="000574FF" w:rsidP="000574FF">
      <w:pPr>
        <w:spacing w:line="480" w:lineRule="auto"/>
        <w:jc w:val="both"/>
        <w:rPr>
          <w:bCs/>
          <w:iCs/>
        </w:rPr>
      </w:pPr>
      <w:r>
        <w:rPr>
          <w:bCs/>
        </w:rPr>
        <w:t>Decreasing the temperature to 10</w:t>
      </w:r>
      <w:r w:rsidR="005C77A3">
        <w:rPr>
          <w:bCs/>
        </w:rPr>
        <w:t xml:space="preserve"> </w:t>
      </w:r>
      <w:r w:rsidRPr="001233FB">
        <w:rPr>
          <w:bCs/>
        </w:rPr>
        <w:t>°C</w:t>
      </w:r>
      <w:r>
        <w:rPr>
          <w:bCs/>
        </w:rPr>
        <w:t xml:space="preserve"> showed a monophasic binding isotherm. Circular dichroism (CD) results suggested little variation in the secondary structure from 25 to 10</w:t>
      </w:r>
      <w:r w:rsidR="005C77A3">
        <w:rPr>
          <w:bCs/>
        </w:rPr>
        <w:t xml:space="preserve"> </w:t>
      </w:r>
      <w:r w:rsidRPr="00505173">
        <w:rPr>
          <w:bCs/>
        </w:rPr>
        <w:t>°C</w:t>
      </w:r>
      <w:r>
        <w:rPr>
          <w:bCs/>
        </w:rPr>
        <w:t xml:space="preserve"> meaning temperature induced structural changes are not likely to be the cause behind the different thermodynamics but rather water reorganisation is responsible. </w:t>
      </w:r>
    </w:p>
    <w:p w:rsidR="000574FF" w:rsidRPr="007677E8" w:rsidRDefault="000574FF" w:rsidP="000574FF">
      <w:pPr>
        <w:spacing w:line="480" w:lineRule="auto"/>
        <w:jc w:val="both"/>
        <w:rPr>
          <w:bCs/>
          <w:iCs/>
        </w:rPr>
      </w:pPr>
      <w:r w:rsidRPr="00BE283B">
        <w:rPr>
          <w:bCs/>
        </w:rPr>
        <w:t>Proanthocyanidin</w:t>
      </w:r>
      <w:r w:rsidRPr="00BE283B">
        <w:rPr>
          <w:bCs/>
          <w:iCs/>
        </w:rPr>
        <w:t xml:space="preserve"> </w:t>
      </w:r>
      <w:r>
        <w:rPr>
          <w:bCs/>
          <w:iCs/>
        </w:rPr>
        <w:t xml:space="preserve">binding to BSA showed two temperature dependent enthalpies. At lower molar ratios, the interaction becomes more endothermic with increasing temperature whereas at higher molar ratios, the interaction becomes more exothermic with increasing temperature. This was interpreted as </w:t>
      </w:r>
      <w:r w:rsidR="004749A3">
        <w:rPr>
          <w:bCs/>
          <w:iCs/>
        </w:rPr>
        <w:t xml:space="preserve">tannins binding to polar groups on the protein, with the possibility of already bound tannins binding to free polar groups on other proteins in </w:t>
      </w:r>
      <w:r w:rsidR="004749A3">
        <w:rPr>
          <w:bCs/>
          <w:iCs/>
        </w:rPr>
        <w:lastRenderedPageBreak/>
        <w:t xml:space="preserve">solution. </w:t>
      </w:r>
      <w:r>
        <w:rPr>
          <w:bCs/>
          <w:iCs/>
        </w:rPr>
        <w:t xml:space="preserve">At higher molar ratios, the increasing exothermicity with increasing temperature was suggested to be due to hydrophobic interaction between free </w:t>
      </w:r>
      <w:r>
        <w:rPr>
          <w:bCs/>
        </w:rPr>
        <w:t>p</w:t>
      </w:r>
      <w:r w:rsidRPr="00BE283B">
        <w:rPr>
          <w:bCs/>
        </w:rPr>
        <w:t>roanthocyanidin</w:t>
      </w:r>
      <w:r>
        <w:rPr>
          <w:bCs/>
        </w:rPr>
        <w:t>s</w:t>
      </w:r>
      <w:r w:rsidRPr="00BE283B">
        <w:rPr>
          <w:bCs/>
          <w:iCs/>
        </w:rPr>
        <w:t xml:space="preserve"> </w:t>
      </w:r>
      <w:r>
        <w:rPr>
          <w:bCs/>
          <w:iCs/>
        </w:rPr>
        <w:t xml:space="preserve">and </w:t>
      </w:r>
      <w:r w:rsidR="00FD798B">
        <w:rPr>
          <w:bCs/>
          <w:iCs/>
        </w:rPr>
        <w:t xml:space="preserve">proanthocyanidin coated BSA.   This was suggested </w:t>
      </w:r>
      <w:r w:rsidR="007677E8">
        <w:rPr>
          <w:bCs/>
          <w:iCs/>
        </w:rPr>
        <w:t>on the basis of previous work on calorimetry. That polar ∆</w:t>
      </w:r>
      <w:r w:rsidR="007677E8" w:rsidRPr="007677E8">
        <w:rPr>
          <w:bCs/>
          <w:i/>
          <w:iCs/>
        </w:rPr>
        <w:t>C</w:t>
      </w:r>
      <w:r w:rsidR="007677E8" w:rsidRPr="007677E8">
        <w:rPr>
          <w:bCs/>
          <w:i/>
          <w:iCs/>
          <w:vertAlign w:val="subscript"/>
        </w:rPr>
        <w:t>p</w:t>
      </w:r>
      <w:r w:rsidR="007677E8" w:rsidRPr="007677E8">
        <w:rPr>
          <w:bCs/>
          <w:i/>
          <w:iCs/>
        </w:rPr>
        <w:t xml:space="preserve"> is</w:t>
      </w:r>
      <w:r w:rsidR="007677E8">
        <w:rPr>
          <w:bCs/>
          <w:iCs/>
        </w:rPr>
        <w:t xml:space="preserve"> due to water being removed from polar groups whilst a negative ∆</w:t>
      </w:r>
      <w:r w:rsidR="007677E8" w:rsidRPr="007677E8">
        <w:rPr>
          <w:bCs/>
          <w:i/>
          <w:iCs/>
        </w:rPr>
        <w:t>C</w:t>
      </w:r>
      <w:r w:rsidR="007677E8" w:rsidRPr="007677E8">
        <w:rPr>
          <w:bCs/>
          <w:i/>
          <w:iCs/>
          <w:vertAlign w:val="subscript"/>
        </w:rPr>
        <w:t>p</w:t>
      </w:r>
      <w:r w:rsidR="007677E8" w:rsidRPr="007677E8">
        <w:rPr>
          <w:bCs/>
          <w:i/>
          <w:iCs/>
        </w:rPr>
        <w:t xml:space="preserve"> is</w:t>
      </w:r>
      <w:r w:rsidR="007677E8">
        <w:rPr>
          <w:bCs/>
          <w:iCs/>
        </w:rPr>
        <w:t xml:space="preserve"> water being removed from apolar groups. </w:t>
      </w:r>
    </w:p>
    <w:p w:rsidR="000574FF" w:rsidRDefault="000574FF" w:rsidP="000574FF">
      <w:pPr>
        <w:spacing w:line="480" w:lineRule="auto"/>
        <w:jc w:val="both"/>
        <w:rPr>
          <w:bCs/>
          <w:iCs/>
        </w:rPr>
      </w:pPr>
      <w:r>
        <w:rPr>
          <w:bCs/>
          <w:iCs/>
        </w:rPr>
        <w:t xml:space="preserve">Addition of ammonium sulphate and thiocyanate separately increased the exothermicity of the binding </w:t>
      </w:r>
      <w:r w:rsidR="00C00A86">
        <w:rPr>
          <w:bCs/>
          <w:iCs/>
        </w:rPr>
        <w:t>interactions, which</w:t>
      </w:r>
      <w:r>
        <w:rPr>
          <w:bCs/>
          <w:iCs/>
        </w:rPr>
        <w:t xml:space="preserve"> was assumed to be due to enhancing tannin-protein precipitation.   </w:t>
      </w:r>
    </w:p>
    <w:p w:rsidR="004749A3" w:rsidRDefault="004749A3"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4F72B2" w:rsidRDefault="004F72B2" w:rsidP="000574FF">
      <w:pPr>
        <w:spacing w:line="480" w:lineRule="auto"/>
        <w:jc w:val="both"/>
        <w:rPr>
          <w:b/>
          <w:bCs/>
          <w:iCs/>
        </w:rPr>
      </w:pPr>
    </w:p>
    <w:p w:rsidR="000574FF" w:rsidRDefault="000574FF" w:rsidP="00E73475">
      <w:pPr>
        <w:pStyle w:val="Heading2"/>
      </w:pPr>
      <w:bookmarkStart w:id="72" w:name="_Toc459130690"/>
      <w:r w:rsidRPr="00E73475">
        <w:lastRenderedPageBreak/>
        <w:t>Introduction</w:t>
      </w:r>
      <w:bookmarkEnd w:id="72"/>
    </w:p>
    <w:p w:rsidR="00E73475" w:rsidRPr="00E73475" w:rsidRDefault="00E73475" w:rsidP="00E73475"/>
    <w:p w:rsidR="000574FF" w:rsidRDefault="000574FF" w:rsidP="000574FF">
      <w:pPr>
        <w:spacing w:line="480" w:lineRule="auto"/>
        <w:jc w:val="both"/>
        <w:rPr>
          <w:bCs/>
        </w:rPr>
      </w:pPr>
      <w:r w:rsidRPr="008C20C4">
        <w:t>Tannic acid is mixture of gallotannins containing either a central glucose or quinic acid</w:t>
      </w:r>
      <w:r>
        <w:t xml:space="preserve"> (</w:t>
      </w:r>
      <w:r w:rsidR="0075172E">
        <w:fldChar w:fldCharType="begin"/>
      </w:r>
      <w:r w:rsidR="00454354">
        <w:instrText xml:space="preserve"> REF _Ref442869179 \h </w:instrText>
      </w:r>
      <w:r w:rsidR="0075172E">
        <w:fldChar w:fldCharType="separate"/>
      </w:r>
      <w:r w:rsidR="00CB4EDC">
        <w:t xml:space="preserve">Figure </w:t>
      </w:r>
      <w:r w:rsidR="00CB4EDC">
        <w:rPr>
          <w:noProof/>
        </w:rPr>
        <w:t>3</w:t>
      </w:r>
      <w:r w:rsidR="00CB4EDC">
        <w:t>.</w:t>
      </w:r>
      <w:r w:rsidR="00CB4EDC">
        <w:rPr>
          <w:noProof/>
        </w:rPr>
        <w:t>1</w:t>
      </w:r>
      <w:r w:rsidR="0075172E">
        <w:fldChar w:fldCharType="end"/>
      </w:r>
      <w:r>
        <w:t>).</w:t>
      </w:r>
      <w:r w:rsidRPr="008C20C4">
        <w:t xml:space="preserve"> </w:t>
      </w:r>
      <w:hyperlink w:anchor="_ENREF_162" w:tooltip="Osawa, 1993 #453" w:history="1">
        <w:r w:rsidR="00512D09" w:rsidRPr="00080EB3">
          <w:fldChar w:fldCharType="begin">
            <w:fldData xml:space="preserve">PEVuZE5vdGU+PENpdGU+PEF1dGhvcj5Pc2F3YTwvQXV0aG9yPjxZZWFyPjE5OTM8L1llYXI+PFJl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</w:fldData>
          </w:fldChar>
        </w:r>
        <w:r w:rsidR="00512D09">
          <w:instrText xml:space="preserve"> ADDIN EN.CITE </w:instrText>
        </w:r>
        <w:r w:rsidR="00512D09">
          <w:fldChar w:fldCharType="begin">
            <w:fldData xml:space="preserve">PEVuZE5vdGU+PENpdGU+PEF1dGhvcj5Pc2F3YTwvQXV0aG9yPjxZZWFyPjE5OTM8L1llYXI+PFJl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</w:fldData>
          </w:fldChar>
        </w:r>
        <w:r w:rsidR="00512D09">
          <w:instrText xml:space="preserve"> ADDIN EN.CITE.DATA </w:instrText>
        </w:r>
        <w:r w:rsidR="00512D09">
          <w:fldChar w:fldCharType="end"/>
        </w:r>
        <w:r w:rsidR="00512D09" w:rsidRPr="00080EB3">
          <w:fldChar w:fldCharType="separate"/>
        </w:r>
        <w:r w:rsidR="00512D09" w:rsidRPr="006421D1">
          <w:rPr>
            <w:noProof/>
            <w:vertAlign w:val="superscript"/>
          </w:rPr>
          <w:t>162-164</w:t>
        </w:r>
        <w:r w:rsidR="00512D09" w:rsidRPr="00080EB3">
          <w:fldChar w:fldCharType="end"/>
        </w:r>
      </w:hyperlink>
      <w:r w:rsidRPr="008C20C4">
        <w:rPr>
          <w:bCs/>
        </w:rPr>
        <w:t xml:space="preserve">Gall nuts, tumours formed by fungi, bacteria and insects on oak trees are also a rich source of tannic acid in addition to other sources such as oak wood and nettle. </w:t>
      </w:r>
    </w:p>
    <w:p w:rsidR="000574FF" w:rsidRDefault="000574FF" w:rsidP="000574FF">
      <w:pPr>
        <w:keepNext/>
        <w:spacing w:line="480" w:lineRule="auto"/>
        <w:jc w:val="center"/>
      </w:pPr>
      <w:r w:rsidRPr="00E324A0">
        <w:rPr>
          <w:noProof/>
          <w:lang w:eastAsia="en-GB"/>
        </w:rPr>
        <w:drawing>
          <wp:inline distT="0" distB="0" distL="0" distR="0" wp14:anchorId="2249F21E" wp14:editId="09DA3135">
            <wp:extent cx="3426678" cy="3336319"/>
            <wp:effectExtent l="19050" t="0" r="2322" b="0"/>
            <wp:docPr id="4" name="Picture 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6678" cy="33363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0574FF" w:rsidRDefault="000574FF" w:rsidP="000574FF">
      <w:pPr>
        <w:pStyle w:val="Caption"/>
        <w:jc w:val="center"/>
        <w:rPr>
          <w:bCs w:val="0"/>
        </w:rPr>
      </w:pPr>
      <w:bookmarkStart w:id="73" w:name="_Ref442869179"/>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w:t>
      </w:r>
      <w:r w:rsidR="0075172E">
        <w:fldChar w:fldCharType="end"/>
      </w:r>
      <w:bookmarkEnd w:id="73"/>
      <w:r>
        <w:t xml:space="preserve">: Tannic acid adapted from Kim </w:t>
      </w:r>
      <w:r w:rsidRPr="002D4FF8">
        <w:rPr>
          <w:i/>
        </w:rPr>
        <w:t>et al</w:t>
      </w:r>
      <w:r w:rsidR="002D4FF8">
        <w:rPr>
          <w:i/>
        </w:rPr>
        <w:t>.</w:t>
      </w:r>
      <w:r>
        <w:t xml:space="preserve"> </w:t>
      </w:r>
      <w:hyperlink w:anchor="_ENREF_165" w:tooltip="Kim, 2010 #704" w:history="1">
        <w:r w:rsidR="00512D09">
          <w:fldChar w:fldCharType="begin"/>
        </w:r>
        <w:r w:rsidR="00512D09">
          <w:instrText xml:space="preserve"> ADDIN EN.CITE &lt;EndNote&gt;&lt;Cite&gt;&lt;Author&gt;Kim&lt;/Author&gt;&lt;Year&gt;2010&lt;/Year&gt;&lt;RecNum&gt;704&lt;/RecNum&gt;&lt;DisplayText&gt;&lt;style face="superscript"&gt;165&lt;/style&gt;&lt;/DisplayText&gt;&lt;record&gt;&lt;rec-number&gt;704&lt;/rec-number&gt;&lt;foreign-keys&gt;&lt;key app="EN" db-id="5trrespwzsdr07efd5tx2w96x22re9s0fsdt"&gt;704&lt;/key&gt;&lt;/foreign-keys&gt;&lt;ref-type name="Journal Article"&gt;17&lt;/ref-type&gt;&lt;contributors&gt;&lt;authors&gt;&lt;author&gt;Kim, TJ&lt;/author&gt;&lt;author&gt;Silva, JL&lt;/author&gt;&lt;author&gt;Kim, MK&lt;/author&gt;&lt;author&gt;Jung, YS&lt;/author&gt;&lt;/authors&gt;&lt;/contributors&gt;&lt;titles&gt;&lt;title&gt;Enhanced antioxidant capacity and antimicrobial activity of tannic acid by thermal processing&lt;/title&gt;&lt;secondary-title&gt;Food Chemistry&lt;/secondary-title&gt;&lt;/titles&gt;&lt;periodical&gt;&lt;full-title&gt;Food Chemistry&lt;/full-title&gt;&lt;/periodical&gt;&lt;pages&gt;740-746&lt;/pages&gt;&lt;volume&gt;118&lt;/volume&gt;&lt;number&gt;3&lt;/number&gt;&lt;dates&gt;&lt;year&gt;2010&lt;/year&gt;&lt;/dates&gt;&lt;isbn&gt;0308-8146&lt;/isbn&gt;&lt;urls&gt;&lt;/urls&gt;&lt;/record&gt;&lt;/Cite&gt;&lt;/EndNote&gt;</w:instrText>
        </w:r>
        <w:r w:rsidR="00512D09">
          <w:fldChar w:fldCharType="separate"/>
        </w:r>
        <w:r w:rsidR="00512D09" w:rsidRPr="006421D1">
          <w:rPr>
            <w:noProof/>
            <w:vertAlign w:val="superscript"/>
          </w:rPr>
          <w:t>165</w:t>
        </w:r>
        <w:r w:rsidR="00512D09">
          <w:fldChar w:fldCharType="end"/>
        </w:r>
      </w:hyperlink>
    </w:p>
    <w:p w:rsidR="000574FF" w:rsidRDefault="000574FF" w:rsidP="000574FF">
      <w:pPr>
        <w:spacing w:line="480" w:lineRule="auto"/>
        <w:jc w:val="both"/>
        <w:rPr>
          <w:bCs/>
        </w:rPr>
      </w:pPr>
      <w:r w:rsidRPr="008C20C4">
        <w:rPr>
          <w:bCs/>
        </w:rPr>
        <w:t>Tannic acid has been used for centuries for tanning of leather.</w:t>
      </w:r>
      <w:hyperlink w:anchor="_ENREF_166" w:tooltip="Fathima, 2004 #686" w:history="1">
        <w:r w:rsidR="00512D09">
          <w:rPr>
            <w:bCs/>
          </w:rPr>
          <w:fldChar w:fldCharType="begin"/>
        </w:r>
        <w:r w:rsidR="00512D09">
          <w:rPr>
            <w:bCs/>
          </w:rPr>
          <w:instrText xml:space="preserve"> ADDIN EN.CITE &lt;EndNote&gt;&lt;Cite&gt;&lt;Author&gt;Fathima&lt;/Author&gt;&lt;Year&gt;2004&lt;/Year&gt;&lt;RecNum&gt;686&lt;/RecNum&gt;&lt;DisplayText&gt;&lt;style face="superscript"&gt;166&lt;/style&gt;&lt;/DisplayText&gt;&lt;record&gt;&lt;rec-number&gt;686&lt;/rec-number&gt;&lt;foreign-keys&gt;&lt;key app="EN" db-id="5trrespwzsdr07efd5tx2w96x22re9s0fsdt"&gt;686&lt;/key&gt;&lt;/foreign-keys&gt;&lt;ref-type name="Journal Article"&gt;17&lt;/ref-type&gt;&lt;contributors&gt;&lt;authors&gt;&lt;author&gt;Fathima, N. N.&lt;/author&gt;&lt;author&gt;Saravanabhavan, S.&lt;/author&gt;&lt;author&gt;Rao, J. R.&lt;/author&gt;&lt;author&gt;Nair, B. U.&lt;/author&gt;&lt;/authors&gt;&lt;/contributors&gt;&lt;auth-address&gt;Rao, JR&amp;#xD;Cent Leather Res Inst, Chem Lab, Madras 600020, Tamil Nadu, India&amp;#xD;Cent Leather Res Inst, Chem Lab, Madras 600020, Tamil Nadu, India&amp;#xD;Cent Leather Res Inst, Chem Lab, Madras 600020, Tamil Nadu, India&lt;/auth-address&gt;&lt;titles&gt;&lt;title&gt;An eco-benign tanning system using aluminiuum, tannic acid, and silica combination&lt;/title&gt;&lt;secondary-title&gt;Journal of the American Leather Chemists Association&lt;/secondary-title&gt;&lt;alt-title&gt;Journal of the American Leather Chemists Association&lt;/alt-title&gt;&lt;/titles&gt;&lt;periodical&gt;&lt;full-title&gt;Journal of the American Leather Chemists Association&lt;/full-title&gt;&lt;abbr-1&gt;Journal of the American Leather Chemists Association&lt;/abbr-1&gt;&lt;abbr-2&gt;J. Am. Leather Chem. Assoc.&lt;/abbr-2&gt;&lt;/periodical&gt;&lt;alt-periodical&gt;&lt;full-title&gt;Journal of the American Leather Chemists Association&lt;/full-title&gt;&lt;abbr-1&gt;Journal of the American Leather Chemists Association&lt;/abbr-1&gt;&lt;abbr-2&gt;J. Am. Leather Chem. Assoc.&lt;/abbr-2&gt;&lt;/alt-periodical&gt;&lt;pages&gt;73-81&lt;/pages&gt;&lt;volume&gt;99&lt;/volume&gt;&lt;number&gt;2&lt;/number&gt;&lt;keywords&gt;&lt;keyword&gt;chromium&lt;/keyword&gt;&lt;keyword&gt;tannage&lt;/keyword&gt;&lt;keyword&gt;ligand&lt;/keyword&gt;&lt;keyword&gt;salts&lt;/keyword&gt;&lt;keyword&gt;agent&lt;/keyword&gt;&lt;/keywords&gt;&lt;dates&gt;&lt;year&gt;2004&lt;/year&gt;&lt;pub-dates&gt;&lt;date&gt;Feb&lt;/date&gt;&lt;/pub-dates&gt;&lt;/dates&gt;&lt;isbn&gt;0002-9726&lt;/isbn&gt;&lt;accession-num&gt;ISI:000188947600003&lt;/accession-num&gt;&lt;work-type&gt;Article&lt;/work-type&gt;&lt;urls&gt;&lt;related-urls&gt;&lt;url&gt;&amp;lt;Go to ISI&amp;gt;://000188947600003&lt;/url&gt;&lt;/related-urls&gt;&lt;/urls&gt;&lt;language&gt;English&lt;/language&gt;&lt;/record&gt;&lt;/Cite&gt;&lt;/EndNote&gt;</w:instrText>
        </w:r>
        <w:r w:rsidR="00512D09">
          <w:rPr>
            <w:bCs/>
          </w:rPr>
          <w:fldChar w:fldCharType="separate"/>
        </w:r>
        <w:r w:rsidR="00512D09" w:rsidRPr="006421D1">
          <w:rPr>
            <w:bCs/>
            <w:noProof/>
            <w:vertAlign w:val="superscript"/>
          </w:rPr>
          <w:t>166</w:t>
        </w:r>
        <w:r w:rsidR="00512D09">
          <w:rPr>
            <w:bCs/>
          </w:rPr>
          <w:fldChar w:fldCharType="end"/>
        </w:r>
      </w:hyperlink>
      <w:r w:rsidRPr="008C20C4">
        <w:rPr>
          <w:bCs/>
        </w:rPr>
        <w:t xml:space="preserve"> In addition to this, tannic acid has been shown to have medicinal properties being used to help reduce </w:t>
      </w:r>
      <w:r>
        <w:rPr>
          <w:bCs/>
        </w:rPr>
        <w:t>the swelling of haemorrhoids</w:t>
      </w:r>
      <w:r w:rsidRPr="008C20C4">
        <w:rPr>
          <w:bCs/>
        </w:rPr>
        <w:t xml:space="preserve"> </w:t>
      </w:r>
      <w:r>
        <w:rPr>
          <w:bCs/>
        </w:rPr>
        <w:t>and treat diarrhoea.</w:t>
      </w:r>
      <w:r w:rsidR="0075172E">
        <w:rPr>
          <w:bCs/>
        </w:rPr>
        <w:fldChar w:fldCharType="begin">
          <w:fldData xml:space="preserve">PEVuZE5vdGU+PENpdGU+PEF1dGhvcj5IYWNoaXJvPC9BdXRob3I+PFllYXI+MjAxMTwvWWVhcj48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</w:fldData>
        </w:fldChar>
      </w:r>
      <w:r w:rsidR="006421D1">
        <w:rPr>
          <w:bCs/>
        </w:rPr>
        <w:instrText xml:space="preserve"> ADDIN EN.CITE </w:instrText>
      </w:r>
      <w:r w:rsidR="0075172E">
        <w:rPr>
          <w:bCs/>
        </w:rPr>
        <w:fldChar w:fldCharType="begin">
          <w:fldData xml:space="preserve">PEVuZE5vdGU+PENpdGU+PEF1dGhvcj5IYWNoaXJvPC9BdXRob3I+PFllYXI+MjAxMTwvWWVhcj48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</w:fldData>
        </w:fldChar>
      </w:r>
      <w:r w:rsidR="006421D1">
        <w:rPr>
          <w:bCs/>
        </w:rPr>
        <w:instrText xml:space="preserve"> ADDIN EN.CITE.DATA </w:instrText>
      </w:r>
      <w:r w:rsidR="0075172E">
        <w:rPr>
          <w:bCs/>
        </w:rPr>
      </w:r>
      <w:r w:rsidR="0075172E">
        <w:rPr>
          <w:bCs/>
        </w:rPr>
        <w:fldChar w:fldCharType="end"/>
      </w:r>
      <w:r w:rsidR="0075172E">
        <w:rPr>
          <w:bCs/>
        </w:rPr>
      </w:r>
      <w:r w:rsidR="0075172E">
        <w:rPr>
          <w:bCs/>
        </w:rPr>
        <w:fldChar w:fldCharType="separate"/>
      </w:r>
      <w:hyperlink w:anchor="_ENREF_167" w:tooltip="Hachiro, 2011 #687" w:history="1">
        <w:r w:rsidR="00512D09" w:rsidRPr="006421D1">
          <w:rPr>
            <w:bCs/>
            <w:noProof/>
            <w:vertAlign w:val="superscript"/>
          </w:rPr>
          <w:t>167</w:t>
        </w:r>
      </w:hyperlink>
      <w:r w:rsidR="006421D1" w:rsidRPr="006421D1">
        <w:rPr>
          <w:bCs/>
          <w:noProof/>
          <w:vertAlign w:val="superscript"/>
        </w:rPr>
        <w:t>,</w:t>
      </w:r>
      <w:hyperlink w:anchor="_ENREF_168" w:tooltip="Ren, 2012 #688" w:history="1">
        <w:r w:rsidR="00512D09" w:rsidRPr="006421D1">
          <w:rPr>
            <w:bCs/>
            <w:noProof/>
            <w:vertAlign w:val="superscript"/>
          </w:rPr>
          <w:t>168</w:t>
        </w:r>
      </w:hyperlink>
      <w:r w:rsidR="0075172E">
        <w:rPr>
          <w:bCs/>
        </w:rPr>
        <w:fldChar w:fldCharType="end"/>
      </w:r>
      <w:r>
        <w:rPr>
          <w:bCs/>
        </w:rPr>
        <w:t xml:space="preserve"> </w:t>
      </w:r>
      <w:r w:rsidRPr="008C20C4">
        <w:rPr>
          <w:bCs/>
        </w:rPr>
        <w:t xml:space="preserve"> </w:t>
      </w:r>
      <w:r>
        <w:rPr>
          <w:bCs/>
        </w:rPr>
        <w:t xml:space="preserve">Possible molecular mechanisms for the treatment of the latter are the inhibition of calcium activated chloride channels which perform important functions </w:t>
      </w:r>
      <w:r w:rsidR="000C3538">
        <w:rPr>
          <w:bCs/>
        </w:rPr>
        <w:t xml:space="preserve">such as </w:t>
      </w:r>
      <w:r>
        <w:rPr>
          <w:bCs/>
        </w:rPr>
        <w:t>smooth muscle contraction and epithelial secretion.</w:t>
      </w:r>
      <w:hyperlink w:anchor="_ENREF_169" w:tooltip="Namkung, 2010 #699" w:history="1">
        <w:r w:rsidR="00512D09">
          <w:rPr>
            <w:bCs/>
          </w:rPr>
          <w:fldChar w:fldCharType="begin"/>
        </w:r>
        <w:r w:rsidR="00512D09">
          <w:rPr>
            <w:bCs/>
          </w:rPr>
          <w:instrText xml:space="preserve"> ADDIN EN.CITE &lt;EndNote&gt;&lt;Cite&gt;&lt;Author&gt;Namkung&lt;/Author&gt;&lt;Year&gt;2010&lt;/Year&gt;&lt;RecNum&gt;699&lt;/RecNum&gt;&lt;DisplayText&gt;&lt;style face="superscript"&gt;169&lt;/style&gt;&lt;/DisplayText&gt;&lt;record&gt;&lt;rec-number&gt;699&lt;/rec-number&gt;&lt;foreign-keys&gt;&lt;key app="EN" db-id="5trrespwzsdr07efd5tx2w96x22re9s0fsdt"&gt;699&lt;/key&gt;&lt;/foreign-keys&gt;&lt;ref-type name="Journal Article"&gt;17&lt;/ref-type&gt;&lt;contributors&gt;&lt;authors&gt;&lt;author&gt;Namkung, Wan&lt;/author&gt;&lt;author&gt;Thiagarajah, Jay R&lt;/author&gt;&lt;author&gt;Phuan, Puay-Wah&lt;/author&gt;&lt;author&gt;Verkman, AS&lt;/author&gt;&lt;/authors&gt;&lt;/contributors&gt;&lt;titles&gt;&lt;title&gt;&lt;style face="normal" font="default" size="100%"&gt;Inhibition of Ca&lt;/style&gt;&lt;style face="superscript" font="default" size="100%"&gt;2+&lt;/style&gt;&lt;style face="normal" font="default" size="100%"&gt;-activated Cl&lt;/style&gt;&lt;style face="superscript" font="default" size="100%"&gt;−&lt;/style&gt;&lt;style face="normal" font="default" size="100%"&gt; channels by gallotannins as a possible molecular basis for health benefits of red wine and green tea&lt;/style&gt;&lt;/title&gt;&lt;secondary-title&gt;The FASEB Journal&lt;/secondary-title&gt;&lt;/titles&gt;&lt;periodical&gt;&lt;full-title&gt;The FASEB Journal&lt;/full-title&gt;&lt;/periodical&gt;&lt;pages&gt;4178-4186&lt;/pages&gt;&lt;volume&gt;24&lt;/volume&gt;&lt;number&gt;11&lt;/number&gt;&lt;dates&gt;&lt;year&gt;2010&lt;/year&gt;&lt;/dates&gt;&lt;isbn&gt;0892-6638&lt;/isbn&gt;&lt;urls&gt;&lt;/urls&gt;&lt;/record&gt;&lt;/Cite&gt;&lt;/EndNote&gt;</w:instrText>
        </w:r>
        <w:r w:rsidR="00512D09">
          <w:rPr>
            <w:bCs/>
          </w:rPr>
          <w:fldChar w:fldCharType="separate"/>
        </w:r>
        <w:r w:rsidR="00512D09" w:rsidRPr="006421D1">
          <w:rPr>
            <w:bCs/>
            <w:noProof/>
            <w:vertAlign w:val="superscript"/>
          </w:rPr>
          <w:t>169</w:t>
        </w:r>
        <w:r w:rsidR="00512D09">
          <w:rPr>
            <w:bCs/>
          </w:rPr>
          <w:fldChar w:fldCharType="end"/>
        </w:r>
      </w:hyperlink>
      <w:r>
        <w:rPr>
          <w:bCs/>
        </w:rPr>
        <w:t xml:space="preserve"> Additionally, reducing </w:t>
      </w:r>
      <w:r w:rsidRPr="00F811AA">
        <w:rPr>
          <w:bCs/>
        </w:rPr>
        <w:t xml:space="preserve">oxidative </w:t>
      </w:r>
      <w:r>
        <w:rPr>
          <w:bCs/>
        </w:rPr>
        <w:t>cell stress,</w:t>
      </w:r>
      <w:hyperlink w:anchor="_ENREF_170" w:tooltip="Chen, 2007 #700" w:history="1">
        <w:r w:rsidR="00512D09">
          <w:rPr>
            <w:bCs/>
          </w:rPr>
          <w:fldChar w:fldCharType="begin"/>
        </w:r>
        <w:r w:rsidR="00512D09">
          <w:rPr>
            <w:bCs/>
          </w:rPr>
          <w:instrText xml:space="preserve"> ADDIN EN.CITE &lt;EndNote&gt;&lt;Cite&gt;&lt;Author&gt;Chen&lt;/Author&gt;&lt;Year&gt;2007&lt;/Year&gt;&lt;RecNum&gt;700&lt;/RecNum&gt;&lt;DisplayText&gt;&lt;style face="superscript"&gt;170&lt;/style&gt;&lt;/DisplayText&gt;&lt;record&gt;&lt;rec-number&gt;700&lt;/rec-number&gt;&lt;foreign-keys&gt;&lt;key app="EN" db-id="5trrespwzsdr07efd5tx2w96x22re9s0fsdt"&gt;700&lt;/key&gt;&lt;/foreign-keys&gt;&lt;ref-type name="Journal Article"&gt;17&lt;/ref-type&gt;&lt;contributors&gt;&lt;authors&gt;&lt;author&gt;Chen, Ching‐Hsein&lt;/author&gt;&lt;author&gt;Liu, Tsan‐Zon&lt;/author&gt;&lt;author&gt;Chen, Chin‐Hui&lt;/author&gt;&lt;author&gt;Wong, Chung Hang&lt;/author&gt;&lt;author&gt;Chen, Chi‐Hung&lt;/author&gt;&lt;author&gt;Lu, Fung‐Jou&lt;/author&gt;&lt;author&gt;Chen, Ssu Ching&lt;/author&gt;&lt;/authors&gt;&lt;/contributors&gt;&lt;titles&gt;&lt;title&gt;The efficacy of protective effects of tannic acid, gallic acid, ellagic acid, and propyl gallate against hydrogen peroxide‐induced oxidative stress and DNA damages in IMR‐90 cells&lt;/title&gt;&lt;secondary-title&gt;Molecular Nutrition &amp;amp; Food Research&lt;/secondary-title&gt;&lt;/titles&gt;&lt;periodical&gt;&lt;full-title&gt;Molecular Nutrition &amp;amp; Food Research&lt;/full-title&gt;&lt;/periodical&gt;&lt;pages&gt;962-968&lt;/pages&gt;&lt;volume&gt;51&lt;/volume&gt;&lt;number&gt;8&lt;/number&gt;&lt;dates&gt;&lt;year&gt;2007&lt;/year&gt;&lt;/dates&gt;&lt;isbn&gt;1613-4133&lt;/isbn&gt;&lt;urls&gt;&lt;/urls&gt;&lt;/record&gt;&lt;/Cite&gt;&lt;/EndNote&gt;</w:instrText>
        </w:r>
        <w:r w:rsidR="00512D09">
          <w:rPr>
            <w:bCs/>
          </w:rPr>
          <w:fldChar w:fldCharType="separate"/>
        </w:r>
        <w:r w:rsidR="00512D09" w:rsidRPr="006421D1">
          <w:rPr>
            <w:bCs/>
            <w:noProof/>
            <w:vertAlign w:val="superscript"/>
          </w:rPr>
          <w:t>170</w:t>
        </w:r>
        <w:r w:rsidR="00512D09">
          <w:rPr>
            <w:bCs/>
          </w:rPr>
          <w:fldChar w:fldCharType="end"/>
        </w:r>
      </w:hyperlink>
      <w:r>
        <w:rPr>
          <w:bCs/>
        </w:rPr>
        <w:t xml:space="preserve"> </w:t>
      </w:r>
      <w:r w:rsidRPr="00F811AA">
        <w:rPr>
          <w:bCs/>
        </w:rPr>
        <w:t>i</w:t>
      </w:r>
      <w:r w:rsidRPr="00F811AA">
        <w:rPr>
          <w:color w:val="000000"/>
          <w:shd w:val="clear" w:color="auto" w:fill="FFFFFF"/>
        </w:rPr>
        <w:t>mproving the intestinal epithelial barrier</w:t>
      </w:r>
      <w:r>
        <w:rPr>
          <w:color w:val="000000"/>
          <w:shd w:val="clear" w:color="auto" w:fill="FFFFFF"/>
        </w:rPr>
        <w:t xml:space="preserve"> and assisting in mucosal resistance to pathogens</w:t>
      </w:r>
      <w:r w:rsidR="000C3538">
        <w:rPr>
          <w:color w:val="000000"/>
          <w:shd w:val="clear" w:color="auto" w:fill="FFFFFF"/>
        </w:rPr>
        <w:t xml:space="preserve"> have been other suggested possible mechanisms</w:t>
      </w:r>
      <w:r>
        <w:rPr>
          <w:color w:val="000000"/>
          <w:shd w:val="clear" w:color="auto" w:fill="FFFFFF"/>
        </w:rPr>
        <w:t xml:space="preserve">. </w:t>
      </w:r>
      <w:r w:rsidR="0075172E">
        <w:rPr>
          <w:color w:val="000000"/>
          <w:shd w:val="clear" w:color="auto" w:fill="FFFFFF"/>
        </w:rPr>
        <w:fldChar w:fldCharType="begin">
          <w:fldData xml:space="preserve">PEVuZE5vdGU+PENpdGU+PEF1dGhvcj5SZW48L0F1dGhvcj48WWVhcj4yMDEyPC9ZZWFyPjxSZWNO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</w:fldData>
        </w:fldChar>
      </w:r>
      <w:r w:rsidR="006421D1">
        <w:rPr>
          <w:color w:val="000000"/>
          <w:shd w:val="clear" w:color="auto" w:fill="FFFFFF"/>
        </w:rPr>
        <w:instrText xml:space="preserve"> ADDIN EN.CITE </w:instrText>
      </w:r>
      <w:r w:rsidR="0075172E">
        <w:rPr>
          <w:color w:val="000000"/>
          <w:shd w:val="clear" w:color="auto" w:fill="FFFFFF"/>
        </w:rPr>
        <w:fldChar w:fldCharType="begin">
          <w:fldData xml:space="preserve">PEVuZE5vdGU+PENpdGU+PEF1dGhvcj5SZW48L0F1dGhvcj48WWVhcj4yMDEyPC9ZZWFyPjxSZWNO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</w:fldData>
        </w:fldChar>
      </w:r>
      <w:r w:rsidR="006421D1">
        <w:rPr>
          <w:color w:val="000000"/>
          <w:shd w:val="clear" w:color="auto" w:fill="FFFFFF"/>
        </w:rPr>
        <w:instrText xml:space="preserve"> ADDIN EN.CITE.DATA </w:instrText>
      </w:r>
      <w:r w:rsidR="0075172E">
        <w:rPr>
          <w:color w:val="000000"/>
          <w:shd w:val="clear" w:color="auto" w:fill="FFFFFF"/>
        </w:rPr>
      </w:r>
      <w:r w:rsidR="0075172E">
        <w:rPr>
          <w:color w:val="000000"/>
          <w:shd w:val="clear" w:color="auto" w:fill="FFFFFF"/>
        </w:rPr>
        <w:fldChar w:fldCharType="end"/>
      </w:r>
      <w:r w:rsidR="0075172E">
        <w:rPr>
          <w:color w:val="000000"/>
          <w:shd w:val="clear" w:color="auto" w:fill="FFFFFF"/>
        </w:rPr>
      </w:r>
      <w:r w:rsidR="0075172E">
        <w:rPr>
          <w:color w:val="000000"/>
          <w:shd w:val="clear" w:color="auto" w:fill="FFFFFF"/>
        </w:rPr>
        <w:fldChar w:fldCharType="separate"/>
      </w:r>
      <w:hyperlink w:anchor="_ENREF_168" w:tooltip="Ren, 2012 #688" w:history="1">
        <w:r w:rsidR="00512D09" w:rsidRPr="006421D1">
          <w:rPr>
            <w:noProof/>
            <w:color w:val="000000"/>
            <w:shd w:val="clear" w:color="auto" w:fill="FFFFFF"/>
            <w:vertAlign w:val="superscript"/>
          </w:rPr>
          <w:t>168</w:t>
        </w:r>
      </w:hyperlink>
      <w:r w:rsidR="006421D1" w:rsidRPr="006421D1">
        <w:rPr>
          <w:noProof/>
          <w:color w:val="000000"/>
          <w:shd w:val="clear" w:color="auto" w:fill="FFFFFF"/>
          <w:vertAlign w:val="superscript"/>
        </w:rPr>
        <w:t>,</w:t>
      </w:r>
      <w:hyperlink w:anchor="_ENREF_171" w:tooltip="van Ampting, 2010 #701" w:history="1">
        <w:r w:rsidR="00512D09" w:rsidRPr="006421D1">
          <w:rPr>
            <w:noProof/>
            <w:color w:val="000000"/>
            <w:shd w:val="clear" w:color="auto" w:fill="FFFFFF"/>
            <w:vertAlign w:val="superscript"/>
          </w:rPr>
          <w:t>171</w:t>
        </w:r>
      </w:hyperlink>
      <w:r w:rsidR="0075172E">
        <w:rPr>
          <w:color w:val="000000"/>
          <w:shd w:val="clear" w:color="auto" w:fill="FFFFFF"/>
        </w:rPr>
        <w:fldChar w:fldCharType="end"/>
      </w:r>
      <w:r>
        <w:rPr>
          <w:rStyle w:val="apple-converted-space"/>
          <w:color w:val="000000"/>
          <w:sz w:val="20"/>
          <w:szCs w:val="20"/>
          <w:shd w:val="clear" w:color="auto" w:fill="FFFFFF"/>
        </w:rPr>
        <w:t> </w:t>
      </w:r>
    </w:p>
    <w:p w:rsidR="000574FF" w:rsidRPr="008C20C4" w:rsidRDefault="000574FF" w:rsidP="000574FF">
      <w:pPr>
        <w:spacing w:line="480" w:lineRule="auto"/>
        <w:jc w:val="both"/>
        <w:rPr>
          <w:bCs/>
        </w:rPr>
      </w:pPr>
      <w:r>
        <w:rPr>
          <w:bCs/>
        </w:rPr>
        <w:lastRenderedPageBreak/>
        <w:t>Apart from increasing innate immune responses, t</w:t>
      </w:r>
      <w:r w:rsidRPr="00080EB3">
        <w:rPr>
          <w:bCs/>
        </w:rPr>
        <w:t>annic acid has also been shown to have antimicrobial properties</w:t>
      </w:r>
      <w:r>
        <w:rPr>
          <w:bCs/>
        </w:rPr>
        <w:t xml:space="preserve"> by reducing the growth of pathogens. </w:t>
      </w:r>
      <w:r w:rsidR="0075172E">
        <w:rPr>
          <w:bCs/>
        </w:rPr>
        <w:fldChar w:fldCharType="begin"/>
      </w:r>
      <w:r w:rsidR="006421D1">
        <w:rPr>
          <w:bCs/>
        </w:rPr>
        <w:instrText xml:space="preserve"> ADDIN EN.CITE &lt;EndNote&gt;&lt;Cite&gt;&lt;Author&gt;Chung&lt;/Author&gt;&lt;Year&gt;1993&lt;/Year&gt;&lt;RecNum&gt;556&lt;/RecNum&gt;&lt;DisplayText&gt;&lt;style face="superscript"&gt;172,173&lt;/style&gt;&lt;/DisplayText&gt;&lt;record&gt;&lt;rec-number&gt;556&lt;/rec-number&gt;&lt;foreign-keys&gt;&lt;key app="EN" db-id="5trrespwzsdr07efd5tx2w96x22re9s0fsdt"&gt;556&lt;/key&gt;&lt;/foreign-keys&gt;&lt;ref-type name="Journal Article"&gt;17&lt;/ref-type&gt;&lt;contributors&gt;&lt;authors&gt;&lt;author&gt;Chung, K‐T&lt;/author&gt;&lt;author&gt;SE Jr, Stevens&lt;/author&gt;&lt;author&gt;Lin, W‐F&lt;/author&gt;&lt;author&gt;Wei, CI&lt;/author&gt;&lt;/authors&gt;&lt;/contributors&gt;&lt;titles&gt;&lt;title&gt;Growth inhibition of selected food‐borne bacteria by tannic acid, propyl gallate and related compounds&lt;/title&gt;&lt;secondary-title&gt;Letters in Applied Microbiology&lt;/secondary-title&gt;&lt;/titles&gt;&lt;periodical&gt;&lt;full-title&gt;Letters in Applied Microbiology&lt;/full-title&gt;&lt;/periodical&gt;&lt;pages&gt;29-32&lt;/pages&gt;&lt;volume&gt;17&lt;/volume&gt;&lt;number&gt;1&lt;/number&gt;&lt;dates&gt;&lt;year&gt;1993&lt;/year&gt;&lt;/dates&gt;&lt;isbn&gt;1472-765X&lt;/isbn&gt;&lt;urls&gt;&lt;/urls&gt;&lt;/record&gt;&lt;/Cite&gt;&lt;Cite&gt;&lt;Author&gt;Ferreira&lt;/Author&gt;&lt;Year&gt;2007&lt;/Year&gt;&lt;RecNum&gt;557&lt;/RecNum&gt;&lt;record&gt;&lt;rec-number&gt;557&lt;/rec-number&gt;&lt;foreign-keys&gt;&lt;key app="EN" db-id="5trrespwzsdr07efd5tx2w96x22re9s0fsdt"&gt;557&lt;/key&gt;&lt;/foreign-keys&gt;&lt;ref-type name="Journal Article"&gt;17&lt;/ref-type&gt;&lt;contributors&gt;&lt;authors&gt;&lt;author&gt;Ferreira, Daneel&lt;/author&gt;&lt;/authors&gt;&lt;/contributors&gt;&lt;titles&gt;&lt;title&gt;Antioxidant, antimalarial and antimicrobial activities of tannin-rich fractions, ellagitannins and phenolic acids from Punica granatum L&lt;/title&gt;&lt;/titles&gt;&lt;dates&gt;&lt;year&gt;2007&lt;/year&gt;&lt;/dates&gt;&lt;urls&gt;&lt;/urls&gt;&lt;/record&gt;&lt;/Cite&gt;&lt;/EndNote&gt;</w:instrText>
      </w:r>
      <w:r w:rsidR="0075172E">
        <w:rPr>
          <w:bCs/>
        </w:rPr>
        <w:fldChar w:fldCharType="separate"/>
      </w:r>
      <w:hyperlink w:anchor="_ENREF_172" w:tooltip="Chung, 1993 #556" w:history="1">
        <w:r w:rsidR="00512D09" w:rsidRPr="006421D1">
          <w:rPr>
            <w:bCs/>
            <w:noProof/>
            <w:vertAlign w:val="superscript"/>
          </w:rPr>
          <w:t>172</w:t>
        </w:r>
      </w:hyperlink>
      <w:r w:rsidR="006421D1" w:rsidRPr="006421D1">
        <w:rPr>
          <w:bCs/>
          <w:noProof/>
          <w:vertAlign w:val="superscript"/>
        </w:rPr>
        <w:t>,</w:t>
      </w:r>
      <w:hyperlink w:anchor="_ENREF_173" w:tooltip="Ferreira, 2007 #557" w:history="1">
        <w:r w:rsidR="00512D09" w:rsidRPr="006421D1">
          <w:rPr>
            <w:bCs/>
            <w:noProof/>
            <w:vertAlign w:val="superscript"/>
          </w:rPr>
          <w:t>173</w:t>
        </w:r>
      </w:hyperlink>
      <w:r w:rsidR="0075172E">
        <w:rPr>
          <w:bCs/>
        </w:rPr>
        <w:fldChar w:fldCharType="end"/>
      </w:r>
      <w:r w:rsidRPr="00080EB3">
        <w:rPr>
          <w:bCs/>
        </w:rPr>
        <w:t xml:space="preserve"> </w:t>
      </w:r>
      <w:r>
        <w:rPr>
          <w:bCs/>
        </w:rPr>
        <w:t>The mechanism behind this is metal chelation; tannic acid binds to iron</w:t>
      </w:r>
      <w:r w:rsidRPr="00080EB3">
        <w:rPr>
          <w:bCs/>
        </w:rPr>
        <w:t xml:space="preserve"> making it unobtainable to bacteria. As iron is an essential nutrient for bacteria, limiting the extraneous supply will limit growth</w:t>
      </w:r>
      <w:r>
        <w:rPr>
          <w:bCs/>
        </w:rPr>
        <w:t>.</w:t>
      </w:r>
      <w:hyperlink w:anchor="_ENREF_174" w:tooltip="Akiyama, 2001 #489" w:history="1">
        <w:r w:rsidR="00512D09">
          <w:rPr>
            <w:bCs/>
          </w:rPr>
          <w:fldChar w:fldCharType="begin"/>
        </w:r>
        <w:r w:rsidR="00512D09">
          <w:rPr>
            <w:bCs/>
          </w:rPr>
          <w:instrText xml:space="preserve"> ADDIN EN.CITE &lt;EndNote&gt;&lt;Cite&gt;&lt;Author&gt;Akiyama&lt;/Author&gt;&lt;Year&gt;2001&lt;/Year&gt;&lt;RecNum&gt;489&lt;/RecNum&gt;&lt;DisplayText&gt;&lt;style face="superscript"&gt;174&lt;/style&gt;&lt;/DisplayText&gt;&lt;record&gt;&lt;rec-number&gt;489&lt;/rec-number&gt;&lt;foreign-keys&gt;&lt;key app="EN" db-id="5trrespwzsdr07efd5tx2w96x22re9s0fsdt"&gt;489&lt;/key&gt;&lt;/foreign-keys&gt;&lt;ref-type name="Journal Article"&gt;17&lt;/ref-type&gt;&lt;contributors&gt;&lt;authors&gt;&lt;author&gt;Akiyama, Hisanori&lt;/author&gt;&lt;author&gt;Fujii, Kazuyasu&lt;/author&gt;&lt;author&gt;Yamasaki, Osamu&lt;/author&gt;&lt;author&gt;Oono, Takashi&lt;/author&gt;&lt;author&gt;Iwatsuki, Keiji&lt;/author&gt;&lt;/authors&gt;&lt;/contributors&gt;&lt;titles&gt;&lt;title&gt;Antibacterial action of several tannins against Staphylococcus aureus&lt;/title&gt;&lt;secondary-title&gt;Journal of Antimicrobial Chemotherapy&lt;/secondary-title&gt;&lt;/titles&gt;&lt;periodical&gt;&lt;full-title&gt;Journal of Antimicrobial Chemotherapy&lt;/full-title&gt;&lt;/periodical&gt;&lt;pages&gt;487-491&lt;/pages&gt;&lt;volume&gt;48&lt;/volume&gt;&lt;number&gt;4&lt;/number&gt;&lt;dates&gt;&lt;year&gt;2001&lt;/year&gt;&lt;pub-dates&gt;&lt;date&gt;October 1, 2001&lt;/date&gt;&lt;/pub-dates&gt;&lt;/dates&gt;&lt;urls&gt;&lt;related-urls&gt;&lt;url&gt;http://jac.oxfordjournals.org/content/48/4/487.abstract&lt;/url&gt;&lt;/related-urls&gt;&lt;/urls&gt;&lt;electronic-resource-num&gt;10.1093/jac/48.4.487&lt;/electronic-resource-num&gt;&lt;/record&gt;&lt;/Cite&gt;&lt;/EndNote&gt;</w:instrText>
        </w:r>
        <w:r w:rsidR="00512D09">
          <w:rPr>
            <w:bCs/>
          </w:rPr>
          <w:fldChar w:fldCharType="separate"/>
        </w:r>
        <w:r w:rsidR="00512D09" w:rsidRPr="006421D1">
          <w:rPr>
            <w:bCs/>
            <w:noProof/>
            <w:vertAlign w:val="superscript"/>
          </w:rPr>
          <w:t>174</w:t>
        </w:r>
        <w:r w:rsidR="00512D09">
          <w:rPr>
            <w:bCs/>
          </w:rPr>
          <w:fldChar w:fldCharType="end"/>
        </w:r>
      </w:hyperlink>
      <w:r>
        <w:rPr>
          <w:bCs/>
        </w:rPr>
        <w:t xml:space="preserve"> It was also suggested that tannic acid could interfere with the cell membrane of pathogens, effectively preventing biofilm formation. </w:t>
      </w:r>
      <w:hyperlink w:anchor="_ENREF_174" w:tooltip="Akiyama, 2001 #489" w:history="1">
        <w:r w:rsidR="00512D09" w:rsidRPr="00AD783A">
          <w:rPr>
            <w:bCs/>
            <w:iCs/>
          </w:rPr>
          <w:fldChar w:fldCharType="begin"/>
        </w:r>
        <w:r w:rsidR="00512D09">
          <w:rPr>
            <w:bCs/>
            <w:iCs/>
          </w:rPr>
          <w:instrText xml:space="preserve"> ADDIN EN.CITE &lt;EndNote&gt;&lt;Cite&gt;&lt;Author&gt;Akiyama&lt;/Author&gt;&lt;Year&gt;2001&lt;/Year&gt;&lt;RecNum&gt;489&lt;/RecNum&gt;&lt;DisplayText&gt;&lt;style face="superscript"&gt;174&lt;/style&gt;&lt;/DisplayText&gt;&lt;record&gt;&lt;rec-number&gt;489&lt;/rec-number&gt;&lt;foreign-keys&gt;&lt;key app="EN" db-id="5trrespwzsdr07efd5tx2w96x22re9s0fsdt"&gt;489&lt;/key&gt;&lt;/foreign-keys&gt;&lt;ref-type name="Journal Article"&gt;17&lt;/ref-type&gt;&lt;contributors&gt;&lt;authors&gt;&lt;author&gt;Akiyama, Hisanori&lt;/author&gt;&lt;author&gt;Fujii, Kazuyasu&lt;/author&gt;&lt;author&gt;Yamasaki, Osamu&lt;/author&gt;&lt;author&gt;Oono, Takashi&lt;/author&gt;&lt;author&gt;Iwatsuki, Keiji&lt;/author&gt;&lt;/authors&gt;&lt;/contributors&gt;&lt;titles&gt;&lt;title&gt;Antibacterial action of several tannins against Staphylococcus aureus&lt;/title&gt;&lt;secondary-title&gt;Journal of Antimicrobial Chemotherapy&lt;/secondary-title&gt;&lt;/titles&gt;&lt;periodical&gt;&lt;full-title&gt;Journal of Antimicrobial Chemotherapy&lt;/full-title&gt;&lt;/periodical&gt;&lt;pages&gt;487-491&lt;/pages&gt;&lt;volume&gt;48&lt;/volume&gt;&lt;number&gt;4&lt;/number&gt;&lt;dates&gt;&lt;year&gt;2001&lt;/year&gt;&lt;pub-dates&gt;&lt;date&gt;October 1, 2001&lt;/date&gt;&lt;/pub-dates&gt;&lt;/dates&gt;&lt;urls&gt;&lt;related-urls&gt;&lt;url&gt;http://jac.oxfordjournals.org/content/48/4/487.abstract&lt;/url&gt;&lt;/related-urls&gt;&lt;/urls&gt;&lt;electronic-resource-num&gt;10.1093/jac/48.4.487&lt;/electronic-resource-num&gt;&lt;/record&gt;&lt;/Cite&gt;&lt;/EndNote&gt;</w:instrText>
        </w:r>
        <w:r w:rsidR="00512D09" w:rsidRPr="00AD783A">
          <w:rPr>
            <w:bCs/>
            <w:iCs/>
          </w:rPr>
          <w:fldChar w:fldCharType="separate"/>
        </w:r>
        <w:r w:rsidR="00512D09" w:rsidRPr="006421D1">
          <w:rPr>
            <w:bCs/>
            <w:iCs/>
            <w:noProof/>
            <w:vertAlign w:val="superscript"/>
          </w:rPr>
          <w:t>174</w:t>
        </w:r>
        <w:r w:rsidR="00512D09" w:rsidRPr="00AD783A">
          <w:rPr>
            <w:bCs/>
          </w:rPr>
          <w:fldChar w:fldCharType="end"/>
        </w:r>
      </w:hyperlink>
    </w:p>
    <w:p w:rsidR="000574FF" w:rsidRDefault="000574FF" w:rsidP="000574FF">
      <w:pPr>
        <w:spacing w:line="480" w:lineRule="auto"/>
        <w:jc w:val="both"/>
        <w:rPr>
          <w:bCs/>
        </w:rPr>
      </w:pPr>
      <w:r w:rsidRPr="008C20C4">
        <w:rPr>
          <w:bCs/>
        </w:rPr>
        <w:t>Tannic acid like other tannins binds to mucosal proteins in the mouth resulting in the unpleasant feeling of extreme dryness known as astringency which is thought to be responsible for deterring animals from eating tannin producing plants</w:t>
      </w:r>
      <w:r>
        <w:rPr>
          <w:bCs/>
        </w:rPr>
        <w:t>.</w:t>
      </w:r>
      <w:r w:rsidRPr="008C20C4">
        <w:rPr>
          <w:bCs/>
        </w:rPr>
        <w:t xml:space="preserve"> </w:t>
      </w:r>
      <w:hyperlink w:anchor="_ENREF_175" w:tooltip="Glick, 1970 #490" w:history="1">
        <w:r w:rsidR="00512D09" w:rsidRPr="00080EB3">
          <w:rPr>
            <w:bCs/>
          </w:rPr>
          <w:fldChar w:fldCharType="begin"/>
        </w:r>
        <w:r w:rsidR="00512D09">
          <w:rPr>
            <w:bCs/>
          </w:rPr>
          <w:instrText xml:space="preserve"> ADDIN EN.CITE &lt;EndNote&gt;&lt;Cite&gt;&lt;Author&gt;Glick&lt;/Author&gt;&lt;Year&gt;1970&lt;/Year&gt;&lt;RecNum&gt;490&lt;/RecNum&gt;&lt;DisplayText&gt;&lt;style face="superscript"&gt;175&lt;/style&gt;&lt;/DisplayText&gt;&lt;record&gt;&lt;rec-number&gt;490&lt;/rec-number&gt;&lt;foreign-keys&gt;&lt;key app="EN" db-id="5trrespwzsdr07efd5tx2w96x22re9s0fsdt"&gt;490&lt;/key&gt;&lt;/foreign-keys&gt;&lt;ref-type name="Journal Article"&gt;17&lt;/ref-type&gt;&lt;contributors&gt;&lt;authors&gt;&lt;author&gt;Glick, Z&lt;/author&gt;&lt;author&gt;Joslyn, MA&lt;/author&gt;&lt;/authors&gt;&lt;/contributors&gt;&lt;titles&gt;&lt;title&gt;Food intake depression and other metabolic effects of tannic acid in the rat&lt;/title&gt;&lt;secondary-title&gt;Journal of Nutrition&lt;/secondary-title&gt;&lt;/titles&gt;&lt;periodical&gt;&lt;full-title&gt;Journal of Nutrition&lt;/full-title&gt;&lt;/periodical&gt;&lt;pages&gt;509-515&lt;/pages&gt;&lt;volume&gt;100&lt;/volume&gt;&lt;dates&gt;&lt;year&gt;1970&lt;/year&gt;&lt;/dates&gt;&lt;isbn&gt;0022-3166&lt;/isbn&gt;&lt;urls&gt;&lt;/urls&gt;&lt;/record&gt;&lt;/Cite&gt;&lt;/EndNote&gt;</w:instrText>
        </w:r>
        <w:r w:rsidR="00512D09" w:rsidRPr="00080EB3">
          <w:rPr>
            <w:bCs/>
          </w:rPr>
          <w:fldChar w:fldCharType="separate"/>
        </w:r>
        <w:r w:rsidR="00512D09" w:rsidRPr="006421D1">
          <w:rPr>
            <w:bCs/>
            <w:noProof/>
            <w:vertAlign w:val="superscript"/>
          </w:rPr>
          <w:t>175</w:t>
        </w:r>
        <w:r w:rsidR="00512D09" w:rsidRPr="00080EB3">
          <w:fldChar w:fldCharType="end"/>
        </w:r>
      </w:hyperlink>
      <w:r w:rsidRPr="008C20C4">
        <w:rPr>
          <w:bCs/>
        </w:rPr>
        <w:t xml:space="preserve"> </w:t>
      </w:r>
      <w:r>
        <w:rPr>
          <w:bCs/>
        </w:rPr>
        <w:t>This phenomena has led to investigations into how tannic acid interacts with proteins. The structure activity relationship (SAR) has shown that tannic acid is capable of hydrogen bonding and hydrophobic interaction with proteins.</w:t>
      </w:r>
      <w:hyperlink w:anchor="_ENREF_176" w:tooltip="Hagerman, 1981 #477" w:history="1">
        <w:r w:rsidR="00512D09">
          <w:rPr>
            <w:bCs/>
          </w:rPr>
          <w:fldChar w:fldCharType="begin"/>
        </w:r>
        <w:r w:rsidR="00512D09">
          <w:rPr>
            <w:bCs/>
          </w:rPr>
          <w:instrText xml:space="preserve"> ADDIN EN.CITE &lt;EndNote&gt;&lt;Cite&gt;&lt;Author&gt;Hagerman&lt;/Author&gt;&lt;Year&gt;1981&lt;/Year&gt;&lt;RecNum&gt;477&lt;/RecNum&gt;&lt;DisplayText&gt;&lt;style face="superscript"&gt;176&lt;/style&gt;&lt;/DisplayText&gt;&lt;record&gt;&lt;rec-number&gt;477&lt;/rec-number&gt;&lt;foreign-keys&gt;&lt;key app="EN" db-id="5trrespwzsdr07efd5tx2w96x22re9s0fsdt"&gt;477&lt;/key&gt;&lt;/foreign-keys&gt;&lt;ref-type name="Journal Article"&gt;17&lt;/ref-type&gt;&lt;contributors&gt;&lt;authors&gt;&lt;author&gt;Hagerman, Ann E&lt;/author&gt;&lt;author&gt;Butler, Larry G&lt;/author&gt;&lt;/authors&gt;&lt;/contributors&gt;&lt;titles&gt;&lt;title&gt;The specificity of proanthocyanidin-protein interactions&lt;/title&gt;&lt;secondary-title&gt;Journal of Biological Chemistry&lt;/secondary-title&gt;&lt;/titles&gt;&lt;periodical&gt;&lt;full-title&gt;Journal of Biological Chemistry&lt;/full-title&gt;&lt;/periodical&gt;&lt;pages&gt;4494-4497&lt;/pages&gt;&lt;volume&gt;256&lt;/volume&gt;&lt;number&gt;9&lt;/number&gt;&lt;dates&gt;&lt;year&gt;1981&lt;/year&gt;&lt;/dates&gt;&lt;isbn&gt;0021-9258&lt;/isbn&gt;&lt;urls&gt;&lt;/urls&gt;&lt;/record&gt;&lt;/Cite&gt;&lt;/EndNote&gt;</w:instrText>
        </w:r>
        <w:r w:rsidR="00512D09">
          <w:rPr>
            <w:bCs/>
          </w:rPr>
          <w:fldChar w:fldCharType="separate"/>
        </w:r>
        <w:r w:rsidR="00512D09" w:rsidRPr="006421D1">
          <w:rPr>
            <w:bCs/>
            <w:noProof/>
            <w:vertAlign w:val="superscript"/>
          </w:rPr>
          <w:t>176</w:t>
        </w:r>
        <w:r w:rsidR="00512D09">
          <w:rPr>
            <w:bCs/>
          </w:rPr>
          <w:fldChar w:fldCharType="end"/>
        </w:r>
      </w:hyperlink>
      <w:r w:rsidR="00480BC7">
        <w:t xml:space="preserve"> </w:t>
      </w:r>
      <w:r w:rsidR="00480BC7">
        <w:rPr>
          <w:bCs/>
        </w:rPr>
        <w:t xml:space="preserve"> </w:t>
      </w:r>
    </w:p>
    <w:p w:rsidR="006C7EFF" w:rsidRDefault="000574FF" w:rsidP="000574FF">
      <w:pPr>
        <w:spacing w:line="480" w:lineRule="auto"/>
        <w:jc w:val="both"/>
        <w:rPr>
          <w:bCs/>
        </w:rPr>
      </w:pPr>
      <w:r>
        <w:rPr>
          <w:bCs/>
        </w:rPr>
        <w:t>Bovine serum albumin (BSA)</w:t>
      </w:r>
      <w:r w:rsidR="00074A3C">
        <w:rPr>
          <w:bCs/>
        </w:rPr>
        <w:t>, being representative of the albumins,</w:t>
      </w:r>
      <w:r>
        <w:rPr>
          <w:bCs/>
        </w:rPr>
        <w:t xml:space="preserve"> is a multifunctional </w:t>
      </w:r>
      <w:r w:rsidR="003F0540">
        <w:rPr>
          <w:bCs/>
        </w:rPr>
        <w:t>well-characterised</w:t>
      </w:r>
      <w:r>
        <w:rPr>
          <w:bCs/>
        </w:rPr>
        <w:t xml:space="preserve"> globular protein that serves as a transporter in the blood for a range of drugs, metabolites and nutrients (</w:t>
      </w:r>
      <w:r w:rsidR="0075172E">
        <w:rPr>
          <w:bCs/>
        </w:rPr>
        <w:fldChar w:fldCharType="begin"/>
      </w:r>
      <w:r w:rsidR="00051327">
        <w:rPr>
          <w:bCs/>
        </w:rPr>
        <w:instrText xml:space="preserve"> REF _Ref442869429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2</w:t>
      </w:r>
      <w:r w:rsidR="0075172E">
        <w:rPr>
          <w:bCs/>
        </w:rPr>
        <w:fldChar w:fldCharType="end"/>
      </w:r>
      <w:r>
        <w:rPr>
          <w:bCs/>
        </w:rPr>
        <w:t>).</w:t>
      </w:r>
      <w:r w:rsidR="0075172E">
        <w:rPr>
          <w:bCs/>
        </w:rPr>
        <w:fldChar w:fldCharType="begin">
          <w:fldData xml:space="preserve">PEVuZE5vdGU+PENpdGU+PEF1dGhvcj5TdWxrb3dza2E8L0F1dGhvcj48WWVhcj4yMDAyPC9ZZWFy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</w:fldData>
        </w:fldChar>
      </w:r>
      <w:r w:rsidR="006421D1">
        <w:rPr>
          <w:bCs/>
        </w:rPr>
        <w:instrText xml:space="preserve"> ADDIN EN.CITE </w:instrText>
      </w:r>
      <w:r w:rsidR="0075172E">
        <w:rPr>
          <w:bCs/>
        </w:rPr>
        <w:fldChar w:fldCharType="begin">
          <w:fldData xml:space="preserve">PEVuZE5vdGU+PENpdGU+PEF1dGhvcj5TdWxrb3dza2E8L0F1dGhvcj48WWVhcj4yMDAyPC9ZZWFy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</w:fldData>
        </w:fldChar>
      </w:r>
      <w:r w:rsidR="006421D1">
        <w:rPr>
          <w:bCs/>
        </w:rPr>
        <w:instrText xml:space="preserve"> ADDIN EN.CITE.DATA </w:instrText>
      </w:r>
      <w:r w:rsidR="0075172E">
        <w:rPr>
          <w:bCs/>
        </w:rPr>
      </w:r>
      <w:r w:rsidR="0075172E">
        <w:rPr>
          <w:bCs/>
        </w:rPr>
        <w:fldChar w:fldCharType="end"/>
      </w:r>
      <w:r w:rsidR="0075172E">
        <w:rPr>
          <w:bCs/>
        </w:rPr>
      </w:r>
      <w:r w:rsidR="0075172E">
        <w:rPr>
          <w:bCs/>
        </w:rPr>
        <w:fldChar w:fldCharType="separate"/>
      </w:r>
      <w:hyperlink w:anchor="_ENREF_177" w:tooltip="Sulkowska, 2002 #207" w:history="1">
        <w:r w:rsidR="00512D09" w:rsidRPr="006421D1">
          <w:rPr>
            <w:bCs/>
            <w:noProof/>
            <w:vertAlign w:val="superscript"/>
          </w:rPr>
          <w:t>177</w:t>
        </w:r>
      </w:hyperlink>
      <w:r w:rsidR="006421D1" w:rsidRPr="006421D1">
        <w:rPr>
          <w:bCs/>
          <w:noProof/>
          <w:vertAlign w:val="superscript"/>
        </w:rPr>
        <w:t>,</w:t>
      </w:r>
      <w:hyperlink w:anchor="_ENREF_178" w:tooltip="Majorek, 2012 #464" w:history="1">
        <w:r w:rsidR="00512D09" w:rsidRPr="006421D1">
          <w:rPr>
            <w:bCs/>
            <w:noProof/>
            <w:vertAlign w:val="superscript"/>
          </w:rPr>
          <w:t>178</w:t>
        </w:r>
      </w:hyperlink>
      <w:r w:rsidR="0075172E">
        <w:rPr>
          <w:bCs/>
        </w:rPr>
        <w:fldChar w:fldCharType="end"/>
      </w:r>
      <w:r w:rsidR="00103F06" w:rsidRPr="00103F06">
        <w:rPr>
          <w:bCs/>
        </w:rPr>
        <w:t xml:space="preserve"> </w:t>
      </w:r>
      <w:r w:rsidR="002B4159">
        <w:rPr>
          <w:bCs/>
        </w:rPr>
        <w:t>In terms of structure</w:t>
      </w:r>
      <w:r w:rsidR="00E62572">
        <w:rPr>
          <w:bCs/>
        </w:rPr>
        <w:t>,</w:t>
      </w:r>
      <w:r w:rsidR="002B4159">
        <w:rPr>
          <w:bCs/>
        </w:rPr>
        <w:t xml:space="preserve"> the protein has a high helical content of about 67% wit</w:t>
      </w:r>
      <w:r w:rsidR="00E62572">
        <w:rPr>
          <w:bCs/>
        </w:rPr>
        <w:t>h very little β-secondary</w:t>
      </w:r>
      <w:r w:rsidR="00FD49E4">
        <w:rPr>
          <w:bCs/>
        </w:rPr>
        <w:t xml:space="preserve"> structure, the remainder being composed of disordered regions</w:t>
      </w:r>
      <w:r w:rsidR="00103F06">
        <w:rPr>
          <w:bCs/>
        </w:rPr>
        <w:t xml:space="preserve"> which is similar to HSA</w:t>
      </w:r>
      <w:r w:rsidR="00FD49E4">
        <w:rPr>
          <w:bCs/>
        </w:rPr>
        <w:t xml:space="preserve">. </w:t>
      </w:r>
      <w:r w:rsidR="00E62572">
        <w:rPr>
          <w:bCs/>
        </w:rPr>
        <w:t xml:space="preserve"> </w:t>
      </w:r>
      <w:r w:rsidR="00103F06">
        <w:rPr>
          <w:bCs/>
        </w:rPr>
        <w:t>The protein also ha</w:t>
      </w:r>
      <w:r w:rsidR="00D85402">
        <w:rPr>
          <w:bCs/>
        </w:rPr>
        <w:t>s a high melting point (above 50</w:t>
      </w:r>
      <w:r w:rsidR="00103F06">
        <w:rPr>
          <w:bCs/>
        </w:rPr>
        <w:t>°C)</w:t>
      </w:r>
      <w:r w:rsidR="00684987">
        <w:rPr>
          <w:bCs/>
        </w:rPr>
        <w:t>,</w:t>
      </w:r>
      <w:hyperlink w:anchor="_ENREF_179" w:tooltip="Michnik, 2003 #452" w:history="1">
        <w:r w:rsidR="00512D09">
          <w:rPr>
            <w:bCs/>
          </w:rPr>
          <w:fldChar w:fldCharType="begin"/>
        </w:r>
        <w:r w:rsidR="00512D09">
          <w:rPr>
            <w:bCs/>
          </w:rPr>
          <w:instrText xml:space="preserve"> ADDIN EN.CITE &lt;EndNote&gt;&lt;Cite&gt;&lt;Author&gt;Michnik&lt;/Author&gt;&lt;Year&gt;2003&lt;/Year&gt;&lt;RecNum&gt;452&lt;/RecNum&gt;&lt;DisplayText&gt;&lt;style face="superscript"&gt;179&lt;/style&gt;&lt;/DisplayText&gt;&lt;record&gt;&lt;rec-number&gt;452&lt;/rec-number&gt;&lt;foreign-keys&gt;&lt;key app="EN" db-id="5trrespwzsdr07efd5tx2w96x22re9s0fsdt"&gt;452&lt;/key&gt;&lt;/foreign-keys&gt;&lt;ref-type name="Journal Article"&gt;17&lt;/ref-type&gt;&lt;contributors&gt;&lt;authors&gt;&lt;author&gt;Michnik, A&lt;/author&gt;&lt;/authors&gt;&lt;/contributors&gt;&lt;titles&gt;&lt;title&gt;Thermal stability of bovine serum albumin DSC study&lt;/title&gt;&lt;secondary-title&gt;Journal of Thermal Analysis and Calorimetry&lt;/secondary-title&gt;&lt;/titles&gt;&lt;periodical&gt;&lt;full-title&gt;Journal of Thermal Analysis and Calorimetry&lt;/full-title&gt;&lt;/periodical&gt;&lt;pages&gt;509-519&lt;/pages&gt;&lt;volume&gt;71&lt;/volume&gt;&lt;number&gt;2&lt;/number&gt;&lt;dates&gt;&lt;year&gt;2003&lt;/year&gt;&lt;/dates&gt;&lt;isbn&gt;1388-6150&lt;/isbn&gt;&lt;urls&gt;&lt;/urls&gt;&lt;/record&gt;&lt;/Cite&gt;&lt;/EndNote&gt;</w:instrText>
        </w:r>
        <w:r w:rsidR="00512D09">
          <w:rPr>
            <w:bCs/>
          </w:rPr>
          <w:fldChar w:fldCharType="separate"/>
        </w:r>
        <w:r w:rsidR="00512D09" w:rsidRPr="006421D1">
          <w:rPr>
            <w:bCs/>
            <w:noProof/>
            <w:vertAlign w:val="superscript"/>
          </w:rPr>
          <w:t>179</w:t>
        </w:r>
        <w:r w:rsidR="00512D09">
          <w:rPr>
            <w:bCs/>
          </w:rPr>
          <w:fldChar w:fldCharType="end"/>
        </w:r>
      </w:hyperlink>
      <w:r w:rsidR="00684987">
        <w:rPr>
          <w:bCs/>
        </w:rPr>
        <w:t xml:space="preserve"> highly soluble below 700 µM in a range of buffers</w:t>
      </w:r>
      <w:r w:rsidR="00570B47">
        <w:rPr>
          <w:bCs/>
        </w:rPr>
        <w:t>,</w:t>
      </w:r>
      <w:hyperlink w:anchor="_ENREF_180" w:tooltip="Arakawa, 1984 #745" w:history="1">
        <w:r w:rsidR="00512D09">
          <w:rPr>
            <w:bCs/>
          </w:rPr>
          <w:fldChar w:fldCharType="begin"/>
        </w:r>
        <w:r w:rsidR="00512D09">
          <w:rPr>
            <w:bCs/>
          </w:rPr>
          <w:instrText xml:space="preserve"> ADDIN EN.CITE &lt;EndNote&gt;&lt;Cite&gt;&lt;Author&gt;Arakawa&lt;/Author&gt;&lt;Year&gt;1984&lt;/Year&gt;&lt;RecNum&gt;745&lt;/RecNum&gt;&lt;DisplayText&gt;&lt;style face="superscript"&gt;180&lt;/style&gt;&lt;/DisplayText&gt;&lt;record&gt;&lt;rec-number&gt;745&lt;/rec-number&gt;&lt;foreign-keys&gt;&lt;key app="EN" db-id="5trrespwzsdr07efd5tx2w96x22re9s0fsdt"&gt;745&lt;/key&gt;&lt;/foreign-keys&gt;&lt;ref-type name="Journal Article"&gt;17&lt;/ref-type&gt;&lt;contributors&gt;&lt;authors&gt;&lt;author&gt;Arakawa, T&lt;/author&gt;&lt;author&gt;Timasheff, SN&lt;/author&gt;&lt;/authors&gt;&lt;/contributors&gt;&lt;titles&gt;&lt;title&gt;The mechanism of action of Na glutamate, lysine HCl, and piperazine-N, N&amp;apos;-bis (2-ethanesulfonic acid) in the stabilization of tubulin and microtubule formation&lt;/title&gt;&lt;secondary-title&gt;Journal of Biological Chemistry&lt;/secondary-title&gt;&lt;/titles&gt;&lt;periodical&gt;&lt;full-title&gt;Journal of Biological Chemistry&lt;/full-title&gt;&lt;/periodical&gt;&lt;pages&gt;4979-4986&lt;/pages&gt;&lt;volume&gt;259&lt;/volume&gt;&lt;number&gt;8&lt;/number&gt;&lt;dates&gt;&lt;year&gt;1984&lt;/year&gt;&lt;/dates&gt;&lt;isbn&gt;0021-9258&lt;/isbn&gt;&lt;urls&gt;&lt;/urls&gt;&lt;/record&gt;&lt;/Cite&gt;&lt;/EndNote&gt;</w:instrText>
        </w:r>
        <w:r w:rsidR="00512D09">
          <w:rPr>
            <w:bCs/>
          </w:rPr>
          <w:fldChar w:fldCharType="separate"/>
        </w:r>
        <w:r w:rsidR="00512D09" w:rsidRPr="006421D1">
          <w:rPr>
            <w:bCs/>
            <w:noProof/>
            <w:vertAlign w:val="superscript"/>
          </w:rPr>
          <w:t>180</w:t>
        </w:r>
        <w:r w:rsidR="00512D09">
          <w:rPr>
            <w:bCs/>
          </w:rPr>
          <w:fldChar w:fldCharType="end"/>
        </w:r>
      </w:hyperlink>
      <w:r w:rsidR="00570B47">
        <w:rPr>
          <w:bCs/>
        </w:rPr>
        <w:t xml:space="preserve"> </w:t>
      </w:r>
      <w:r w:rsidR="00103F06">
        <w:rPr>
          <w:bCs/>
        </w:rPr>
        <w:t>remains a monomer below 100 µM</w:t>
      </w:r>
      <w:r w:rsidR="00570B47">
        <w:rPr>
          <w:bCs/>
        </w:rPr>
        <w:t xml:space="preserve"> </w:t>
      </w:r>
      <w:hyperlink w:anchor="_ENREF_181" w:tooltip="Barbosa, 2010 #744" w:history="1">
        <w:r w:rsidR="00512D09">
          <w:rPr>
            <w:bCs/>
          </w:rPr>
          <w:fldChar w:fldCharType="begin"/>
        </w:r>
        <w:r w:rsidR="00512D09">
          <w:rPr>
            <w:bCs/>
          </w:rPr>
          <w:instrText xml:space="preserve"> ADDIN EN.CITE &lt;EndNote&gt;&lt;Cite&gt;&lt;Author&gt;Barbosa&lt;/Author&gt;&lt;Year&gt;2010&lt;/Year&gt;&lt;RecNum&gt;744&lt;/RecNum&gt;&lt;DisplayText&gt;&lt;style face="superscript"&gt;181&lt;/style&gt;&lt;/DisplayText&gt;&lt;record&gt;&lt;rec-number&gt;744&lt;/rec-number&gt;&lt;foreign-keys&gt;&lt;key app="EN" db-id="5trrespwzsdr07efd5tx2w96x22re9s0fsdt"&gt;744&lt;/key&gt;&lt;/foreign-keys&gt;&lt;ref-type name="Journal Article"&gt;17&lt;/ref-type&gt;&lt;contributors&gt;&lt;authors&gt;&lt;author&gt;Barbosa, Leandro R. S.&lt;/author&gt;&lt;author&gt;Ortore, Maria Grazia&lt;/author&gt;&lt;author&gt;Spinozzi, Francesco&lt;/author&gt;&lt;author&gt;Mariani, Paolo&lt;/author&gt;&lt;author&gt;Bernstorff, Sigrid&lt;/author&gt;&lt;author&gt;Itri, Rosangela&lt;/author&gt;&lt;/authors&gt;&lt;/contributors&gt;&lt;titles&gt;&lt;title&gt;The Importance of Protein-Protein Interactions on the pH-Induced Conformational Changes of Bovine Serum Albumin: A Small-Angle X-Ray Scattering Study&lt;/title&gt;&lt;secondary-title&gt;Biophysical Journal&lt;/secondary-title&gt;&lt;/titles&gt;&lt;periodical&gt;&lt;full-title&gt;Biophysical Journal&lt;/full-title&gt;&lt;/periodical&gt;&lt;pages&gt;147-157&lt;/pages&gt;&lt;volume&gt;98&lt;/volume&gt;&lt;number&gt;1&lt;/number&gt;&lt;dates&gt;&lt;year&gt;2010&lt;/year&gt;&lt;/dates&gt;&lt;publisher&gt;The Biophysical Society&lt;/publisher&gt;&lt;isbn&gt;0006-3495&amp;#xD;1542-0086&lt;/isbn&gt;&lt;accession-num&gt;PMC2800971&lt;/accession-num&gt;&lt;urls&gt;&lt;related-urls&gt;&lt;url&gt;http://www.ncbi.nlm.nih.gov/pmc/articles/PMC2800971/&lt;/url&gt;&lt;/related-urls&gt;&lt;/urls&gt;&lt;electronic-resource-num&gt;10.1016/j.bpj.2009.09.056&lt;/electronic-resource-num&gt;&lt;remote-database-name&gt;Pmc&lt;/remote-database-name&gt;&lt;/record&gt;&lt;/Cite&gt;&lt;/EndNote&gt;</w:instrText>
        </w:r>
        <w:r w:rsidR="00512D09">
          <w:rPr>
            <w:bCs/>
          </w:rPr>
          <w:fldChar w:fldCharType="separate"/>
        </w:r>
        <w:r w:rsidR="00512D09" w:rsidRPr="006421D1">
          <w:rPr>
            <w:bCs/>
            <w:noProof/>
            <w:vertAlign w:val="superscript"/>
          </w:rPr>
          <w:t>181</w:t>
        </w:r>
        <w:r w:rsidR="00512D09">
          <w:rPr>
            <w:bCs/>
          </w:rPr>
          <w:fldChar w:fldCharType="end"/>
        </w:r>
      </w:hyperlink>
      <w:r w:rsidR="00D85402">
        <w:rPr>
          <w:bCs/>
        </w:rPr>
        <w:t xml:space="preserve"> and is sold as highly pure fractions. </w:t>
      </w:r>
    </w:p>
    <w:p w:rsidR="000574FF" w:rsidRDefault="000C4E8D" w:rsidP="000574FF">
      <w:pPr>
        <w:spacing w:line="480" w:lineRule="auto"/>
        <w:jc w:val="both"/>
        <w:rPr>
          <w:bCs/>
        </w:rPr>
      </w:pPr>
      <w:r>
        <w:rPr>
          <w:bCs/>
        </w:rPr>
        <w:t>Size</w:t>
      </w:r>
      <w:r w:rsidR="000574FF">
        <w:rPr>
          <w:bCs/>
        </w:rPr>
        <w:t xml:space="preserve"> exclusion chromatography studies have suggested that BSA could bind to tannins indicating a potential </w:t>
      </w:r>
      <w:r w:rsidR="000574FF" w:rsidRPr="00722033">
        <w:rPr>
          <w:bCs/>
          <w:i/>
        </w:rPr>
        <w:t>in vivo</w:t>
      </w:r>
      <w:r w:rsidR="000574FF">
        <w:rPr>
          <w:bCs/>
        </w:rPr>
        <w:t xml:space="preserve"> carrier. </w:t>
      </w:r>
      <w:hyperlink w:anchor="_ENREF_182" w:tooltip="Hatano, 2003 #567" w:history="1">
        <w:r w:rsidR="00512D09">
          <w:rPr>
            <w:bCs/>
          </w:rPr>
          <w:fldChar w:fldCharType="begin"/>
        </w:r>
        <w:r w:rsidR="00512D09">
          <w:rPr>
            <w:bCs/>
          </w:rPr>
          <w:instrText xml:space="preserve"> ADDIN EN.CITE &lt;EndNote&gt;&lt;Cite&gt;&lt;Author&gt;Hatano&lt;/Author&gt;&lt;Year&gt;2003&lt;/Year&gt;&lt;RecNum&gt;567&lt;/RecNum&gt;&lt;DisplayText&gt;&lt;style face="superscript"&gt;182&lt;/style&gt;&lt;/DisplayText&gt;&lt;record&gt;&lt;rec-number&gt;567&lt;/rec-number&gt;&lt;foreign-keys&gt;&lt;key app="EN" db-id="5trrespwzsdr07efd5tx2w96x22re9s0fsdt"&gt;567&lt;/key&gt;&lt;/foreign-keys&gt;&lt;ref-type name="Journal Article"&gt;17&lt;/ref-type&gt;&lt;contributors&gt;&lt;authors&gt;&lt;author&gt;Hatano, Tsutomu&lt;/author&gt;&lt;author&gt;Hori, Mami&lt;/author&gt;&lt;author&gt;Hemingway, Richard W.&lt;/author&gt;&lt;author&gt;Yoshida, Takashi&lt;/author&gt;&lt;/authors&gt;&lt;/contributors&gt;&lt;titles&gt;&lt;title&gt;Size exclusion chromatographic analysis of polyphenol–serum albumin complexes&lt;/title&gt;&lt;secondary-title&gt;Phytochemistry&lt;/secondary-title&gt;&lt;/titles&gt;&lt;periodical&gt;&lt;full-title&gt;Phytochemistry&lt;/full-title&gt;&lt;/periodical&gt;&lt;pages&gt;817-823&lt;/pages&gt;&lt;volume&gt;63&lt;/volume&gt;&lt;number&gt;7&lt;/number&gt;&lt;keywords&gt;&lt;keyword&gt;Polyphenol&lt;/keyword&gt;&lt;keyword&gt;Tea&lt;/keyword&gt;&lt;keyword&gt;Camellia sinensis&lt;/keyword&gt;&lt;keyword&gt;Theaceae&lt;/keyword&gt;&lt;keyword&gt;Epigallocatechin gallate&lt;/keyword&gt;&lt;keyword&gt;Pentagalloylglucose&lt;/keyword&gt;&lt;keyword&gt;Proanthocyanidin&lt;/keyword&gt;&lt;keyword&gt;Hydrolysable tannin&lt;/keyword&gt;&lt;keyword&gt;Serum albumin&lt;/keyword&gt;&lt;keyword&gt;Cytochrome c&lt;/keyword&gt;&lt;keyword&gt;Complexation&lt;/keyword&gt;&lt;/keywords&gt;&lt;dates&gt;&lt;year&gt;2003&lt;/year&gt;&lt;/dates&gt;&lt;isbn&gt;0031-9422&lt;/isbn&gt;&lt;urls&gt;&lt;related-urls&gt;&lt;url&gt;http://www.sciencedirect.com/science/article/pii/S0031942203003406&lt;/url&gt;&lt;/related-urls&gt;&lt;/urls&gt;&lt;electronic-resource-num&gt;http://dx.doi.org/10.1016/S0031-9422(03)00340-6&lt;/electronic-resource-num&gt;&lt;/record&gt;&lt;/Cite&gt;&lt;/EndNote&gt;</w:instrText>
        </w:r>
        <w:r w:rsidR="00512D09">
          <w:rPr>
            <w:bCs/>
          </w:rPr>
          <w:fldChar w:fldCharType="separate"/>
        </w:r>
        <w:r w:rsidR="00512D09" w:rsidRPr="006421D1">
          <w:rPr>
            <w:bCs/>
            <w:noProof/>
            <w:vertAlign w:val="superscript"/>
          </w:rPr>
          <w:t>182</w:t>
        </w:r>
        <w:r w:rsidR="00512D09">
          <w:rPr>
            <w:bCs/>
          </w:rPr>
          <w:fldChar w:fldCharType="end"/>
        </w:r>
      </w:hyperlink>
      <w:r w:rsidR="000574FF">
        <w:rPr>
          <w:bCs/>
        </w:rPr>
        <w:t xml:space="preserve"> </w:t>
      </w:r>
    </w:p>
    <w:p w:rsidR="000574FF" w:rsidRDefault="000574FF" w:rsidP="000574FF">
      <w:pPr>
        <w:keepNext/>
        <w:spacing w:line="480" w:lineRule="auto"/>
        <w:jc w:val="center"/>
      </w:pPr>
      <w:r>
        <w:rPr>
          <w:bCs/>
          <w:noProof/>
          <w:lang w:eastAsia="en-GB"/>
        </w:rPr>
        <w:lastRenderedPageBreak/>
        <w:drawing>
          <wp:inline distT="0" distB="0" distL="0" distR="0" wp14:anchorId="129E7C99" wp14:editId="651EB1DA">
            <wp:extent cx="3021965" cy="2105025"/>
            <wp:effectExtent l="19050" t="0" r="6985"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b="8299"/>
                    <a:stretch>
                      <a:fillRect/>
                    </a:stretch>
                  </pic:blipFill>
                  <pic:spPr bwMode="auto">
                    <a:xfrm>
                      <a:off x="0" y="0"/>
                      <a:ext cx="3021965" cy="2105025"/>
                    </a:xfrm>
                    <a:prstGeom prst="rect">
                      <a:avLst/>
                    </a:prstGeom>
                    <a:noFill/>
                    <a:ln w="9525">
                      <a:noFill/>
                      <a:miter lim="800000"/>
                      <a:headEnd/>
                      <a:tailEnd/>
                    </a:ln>
                  </pic:spPr>
                </pic:pic>
              </a:graphicData>
            </a:graphic>
          </wp:inline>
        </w:drawing>
      </w:r>
    </w:p>
    <w:p w:rsidR="000574FF" w:rsidRDefault="000574FF" w:rsidP="000574FF">
      <w:pPr>
        <w:pStyle w:val="Caption"/>
        <w:jc w:val="center"/>
        <w:rPr>
          <w:bCs w:val="0"/>
        </w:rPr>
      </w:pPr>
      <w:bookmarkStart w:id="74" w:name="_Ref442869429"/>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w:t>
      </w:r>
      <w:r w:rsidR="0075172E">
        <w:fldChar w:fldCharType="end"/>
      </w:r>
      <w:bookmarkEnd w:id="74"/>
      <w:r>
        <w:t>: Crystal structure of BSA adapted from Bujacz</w:t>
      </w:r>
      <w:hyperlink w:anchor="_ENREF_183" w:tooltip="Bujacz, 2012 #494" w:history="1">
        <w:r w:rsidR="00512D09">
          <w:fldChar w:fldCharType="begin"/>
        </w:r>
        <w:r w:rsidR="00512D09">
          <w:instrText xml:space="preserve"> ADDIN EN.CITE &lt;EndNote&gt;&lt;Cite&gt;&lt;Author&gt;Bujacz&lt;/Author&gt;&lt;Year&gt;2012&lt;/Year&gt;&lt;RecNum&gt;48&lt;/RecNum&gt;&lt;DisplayText&gt;&lt;style face="superscript"&gt;183&lt;/style&gt;&lt;/DisplayText&gt;&lt;record&gt;&lt;rec-number&gt;48&lt;/rec-number&gt;&lt;foreign-keys&gt;&lt;key app="EN" db-id="wfdszdfzif59f9ewvd6xsa0rzree9a5wtxtv"&gt;48&lt;/key&gt;&lt;/foreign-keys&gt;&lt;ref-type name="Journal Article"&gt;17&lt;/ref-type&gt;&lt;contributors&gt;&lt;authors&gt;&lt;author&gt;Bujacz, Anna&lt;/author&gt;&lt;/authors&gt;&lt;/contributors&gt;&lt;titles&gt;&lt;title&gt;Structures of bovine, equine and leporine serum albumin&lt;/title&gt;&lt;secondary-title&gt;Acta Crystallographica Section D: Biological Crystallography&lt;/secondary-title&gt;&lt;/titles&gt;&lt;pages&gt;1278-1289&lt;/pages&gt;&lt;volume&gt;68&lt;/volume&gt;&lt;number&gt;10&lt;/number&gt;&lt;dates&gt;&lt;year&gt;2012&lt;/year&gt;&lt;/dates&gt;&lt;isbn&gt;0907-4449&lt;/isbn&gt;&lt;urls&gt;&lt;/urls&gt;&lt;/record&gt;&lt;/Cite&gt;&lt;/EndNote&gt;</w:instrText>
        </w:r>
        <w:r w:rsidR="00512D09">
          <w:fldChar w:fldCharType="separate"/>
        </w:r>
        <w:r w:rsidR="00512D09" w:rsidRPr="006421D1">
          <w:rPr>
            <w:noProof/>
            <w:vertAlign w:val="superscript"/>
          </w:rPr>
          <w:t>183</w:t>
        </w:r>
        <w:r w:rsidR="00512D09">
          <w:fldChar w:fldCharType="end"/>
        </w:r>
      </w:hyperlink>
    </w:p>
    <w:p w:rsidR="000574FF" w:rsidRPr="00160E30" w:rsidRDefault="000574FF" w:rsidP="000574FF">
      <w:pPr>
        <w:spacing w:line="480" w:lineRule="auto"/>
        <w:jc w:val="both"/>
        <w:rPr>
          <w:bCs/>
        </w:rPr>
      </w:pPr>
      <w:r>
        <w:rPr>
          <w:bCs/>
        </w:rPr>
        <w:t>Precipitation studies have shown that the optimum pH for tannic acid binding to BSA is between 2-5 with pH changes above or below yielding less soluble complexes.</w:t>
      </w:r>
      <w:hyperlink w:anchor="_ENREF_162" w:tooltip="Osawa, 1993 #453" w:history="1">
        <w:r w:rsidR="00512D09">
          <w:rPr>
            <w:bCs/>
          </w:rPr>
          <w:fldChar w:fldCharType="begin"/>
        </w:r>
        <w:r w:rsidR="00512D09">
          <w:rPr>
            <w:bCs/>
          </w:rPr>
          <w:instrText xml:space="preserve"> ADDIN EN.CITE &lt;EndNote&gt;&lt;Cite&gt;&lt;Author&gt;Osawa&lt;/Author&gt;&lt;Year&gt;1993&lt;/Year&gt;&lt;RecNum&gt;453&lt;/RecNum&gt;&lt;DisplayText&gt;&lt;style face="superscript"&gt;162&lt;/style&gt;&lt;/DisplayText&gt;&lt;record&gt;&lt;rec-number&gt;453&lt;/rec-number&gt;&lt;foreign-keys&gt;&lt;key app="EN" db-id="5trrespwzsdr07efd5tx2w96x22re9s0fsdt"&gt;453&lt;/key&gt;&lt;/foreign-keys&gt;&lt;ref-type name="Journal Article"&gt;17&lt;/ref-type&gt;&lt;contributors&gt;&lt;authors&gt;&lt;author&gt;Osawa, Ro&lt;/author&gt;&lt;author&gt;Walsh, Terence P.&lt;/author&gt;&lt;/authors&gt;&lt;/contributors&gt;&lt;titles&gt;&lt;title&gt;Effects of acidic and alkaline treatments on tannic acid and its binding property to protein&lt;/title&gt;&lt;secondary-title&gt;Journal of Agricultural and Food Chemistry&lt;/secondary-title&gt;&lt;/titles&gt;&lt;periodical&gt;&lt;full-title&gt;Journal of Agricultural and Food Chemistry&lt;/full-title&gt;&lt;/periodical&gt;&lt;pages&gt;704-707&lt;/pages&gt;&lt;volume&gt;41&lt;/volume&gt;&lt;number&gt;5&lt;/number&gt;&lt;dates&gt;&lt;year&gt;1993&lt;/year&gt;&lt;pub-dates&gt;&lt;date&gt;1993/05/01&lt;/date&gt;&lt;/pub-dates&gt;&lt;/dates&gt;&lt;publisher&gt;American Chemical Society&lt;/publisher&gt;&lt;isbn&gt;0021-8561&lt;/isbn&gt;&lt;urls&gt;&lt;related-urls&gt;&lt;url&gt;http://dx.doi.org/10.1021/jf00029a004&lt;/url&gt;&lt;/related-urls&gt;&lt;/urls&gt;&lt;electronic-resource-num&gt;10.1021/jf00029a004&lt;/electronic-resource-num&gt;&lt;access-date&gt;2014/10/29&lt;/access-date&gt;&lt;/record&gt;&lt;/Cite&gt;&lt;/EndNote&gt;</w:instrText>
        </w:r>
        <w:r w:rsidR="00512D09">
          <w:rPr>
            <w:bCs/>
          </w:rPr>
          <w:fldChar w:fldCharType="separate"/>
        </w:r>
        <w:r w:rsidR="00512D09" w:rsidRPr="006421D1">
          <w:rPr>
            <w:bCs/>
            <w:noProof/>
            <w:vertAlign w:val="superscript"/>
          </w:rPr>
          <w:t>162</w:t>
        </w:r>
        <w:r w:rsidR="00512D09">
          <w:rPr>
            <w:bCs/>
          </w:rPr>
          <w:fldChar w:fldCharType="end"/>
        </w:r>
      </w:hyperlink>
      <w:r>
        <w:rPr>
          <w:bCs/>
        </w:rPr>
        <w:t xml:space="preserve"> </w:t>
      </w:r>
      <w:r w:rsidRPr="004521D0">
        <w:rPr>
          <w:bCs/>
        </w:rPr>
        <w:t>S</w:t>
      </w:r>
      <w:r>
        <w:rPr>
          <w:bCs/>
        </w:rPr>
        <w:t xml:space="preserve">erafini </w:t>
      </w:r>
      <w:r w:rsidRPr="004521D0">
        <w:rPr>
          <w:bCs/>
          <w:i/>
        </w:rPr>
        <w:t>et al</w:t>
      </w:r>
      <w:r w:rsidR="002D4FF8">
        <w:rPr>
          <w:bCs/>
          <w:i/>
        </w:rPr>
        <w:t>.</w:t>
      </w:r>
      <w:r w:rsidRPr="004521D0">
        <w:rPr>
          <w:bCs/>
        </w:rPr>
        <w:t xml:space="preserve"> found that ethanol in the range 0-22 % correspondingly reduced </w:t>
      </w:r>
      <w:r>
        <w:rPr>
          <w:bCs/>
        </w:rPr>
        <w:t>insoluble tannin-BSA complexes</w:t>
      </w:r>
      <w:r w:rsidRPr="004521D0">
        <w:rPr>
          <w:bCs/>
        </w:rPr>
        <w:t xml:space="preserve"> f</w:t>
      </w:r>
      <w:r>
        <w:rPr>
          <w:bCs/>
        </w:rPr>
        <w:t xml:space="preserve">rom red wine. </w:t>
      </w:r>
      <w:hyperlink w:anchor="_ENREF_184" w:tooltip="Serafini, 1997 #568" w:history="1">
        <w:r w:rsidR="00512D09">
          <w:rPr>
            <w:bCs/>
          </w:rPr>
          <w:fldChar w:fldCharType="begin"/>
        </w:r>
        <w:r w:rsidR="00512D09">
          <w:rPr>
            <w:bCs/>
          </w:rPr>
          <w:instrText xml:space="preserve"> ADDIN EN.CITE &lt;EndNote&gt;&lt;Cite&gt;&lt;Author&gt;Serafini&lt;/Author&gt;&lt;Year&gt;1997&lt;/Year&gt;&lt;RecNum&gt;568&lt;/RecNum&gt;&lt;DisplayText&gt;&lt;style face="superscript"&gt;184&lt;/style&gt;&lt;/DisplayText&gt;&lt;record&gt;&lt;rec-number&gt;568&lt;/rec-number&gt;&lt;foreign-keys&gt;&lt;key app="EN" db-id="5trrespwzsdr07efd5tx2w96x22re9s0fsdt"&gt;568&lt;/key&gt;&lt;/foreign-keys&gt;&lt;ref-type name="Journal Article"&gt;17&lt;/ref-type&gt;&lt;contributors&gt;&lt;authors&gt;&lt;author&gt;Serafini, Mauro&lt;/author&gt;&lt;author&gt;Maiani, Giuseppe&lt;/author&gt;&lt;author&gt;Ferro-Luzzi, Anna&lt;/author&gt;&lt;/authors&gt;&lt;/contributors&gt;&lt;titles&gt;&lt;title&gt;Effect of Ethanol on Red Wine Tannin−Protein (BSA) Interactions&lt;/title&gt;&lt;secondary-title&gt;Journal of Agricultural and Food Chemistry&lt;/secondary-title&gt;&lt;/titles&gt;&lt;periodical&gt;&lt;full-title&gt;Journal of Agricultural and Food Chemistry&lt;/full-title&gt;&lt;/periodical&gt;&lt;pages&gt;3148-3151&lt;/pages&gt;&lt;volume&gt;45&lt;/volume&gt;&lt;number&gt;8&lt;/number&gt;&lt;dates&gt;&lt;year&gt;1997&lt;/year&gt;&lt;pub-dates&gt;&lt;date&gt;1997/08/01&lt;/date&gt;&lt;/pub-dates&gt;&lt;/dates&gt;&lt;publisher&gt;American Chemical Society&lt;/publisher&gt;&lt;isbn&gt;0021-8561&lt;/isbn&gt;&lt;urls&gt;&lt;related-urls&gt;&lt;url&gt;http://dx.doi.org/10.1021/jf960864x&lt;/url&gt;&lt;/related-urls&gt;&lt;/urls&gt;&lt;electronic-resource-num&gt;10.1021/jf960864x&lt;/electronic-resource-num&gt;&lt;/record&gt;&lt;/Cite&gt;&lt;/EndNote&gt;</w:instrText>
        </w:r>
        <w:r w:rsidR="00512D09">
          <w:rPr>
            <w:bCs/>
          </w:rPr>
          <w:fldChar w:fldCharType="separate"/>
        </w:r>
        <w:r w:rsidR="00512D09" w:rsidRPr="006421D1">
          <w:rPr>
            <w:bCs/>
            <w:noProof/>
            <w:vertAlign w:val="superscript"/>
          </w:rPr>
          <w:t>184</w:t>
        </w:r>
        <w:r w:rsidR="00512D09">
          <w:rPr>
            <w:bCs/>
          </w:rPr>
          <w:fldChar w:fldCharType="end"/>
        </w:r>
      </w:hyperlink>
      <w:r>
        <w:rPr>
          <w:bCs/>
        </w:rPr>
        <w:t xml:space="preserve"> It was suggested that increasing the ethanol concentration would increase the antioxidant capability of the tannins as there would be more free in solution. </w:t>
      </w:r>
    </w:p>
    <w:p w:rsidR="000574FF" w:rsidRDefault="000574FF" w:rsidP="000574FF">
      <w:pPr>
        <w:spacing w:line="480" w:lineRule="auto"/>
        <w:jc w:val="both"/>
      </w:pPr>
      <w:r w:rsidRPr="001620E2">
        <w:t>Proanthocyanidins</w:t>
      </w:r>
      <w:r>
        <w:t>, another type of tannin used in this study,</w:t>
      </w:r>
      <w:r w:rsidRPr="001620E2">
        <w:t xml:space="preserve"> are naturally occurring phenolics that are found in fruits, vegetables, nuts, seeds, flowers, and bark. </w:t>
      </w:r>
      <w:r>
        <w:t>Being condensed tannins, they are much more hydrophilic than tannic acid but are thought to still be capable of hydrophobic interaction in addition to hydrogen bonding.</w:t>
      </w:r>
      <w:hyperlink w:anchor="_ENREF_185" w:tooltip="Oh, 1980 #459" w:history="1">
        <w:r w:rsidR="00512D09">
          <w:fldChar w:fldCharType="begin"/>
        </w:r>
        <w:r w:rsidR="00512D09">
          <w:instrText xml:space="preserve"> ADDIN EN.CITE &lt;EndNote&gt;&lt;Cite&gt;&lt;Author&gt;Oh&lt;/Author&gt;&lt;Year&gt;1980&lt;/Year&gt;&lt;RecNum&gt;459&lt;/RecNum&gt;&lt;DisplayText&gt;&lt;style face="superscript"&gt;185&lt;/style&gt;&lt;/DisplayText&gt;&lt;record&gt;&lt;rec-number&gt;459&lt;/rec-number&gt;&lt;foreign-keys&gt;&lt;key app="EN" db-id="5trrespwzsdr07efd5tx2w96x22re9s0fsdt"&gt;459&lt;/key&gt;&lt;/foreign-keys&gt;&lt;ref-type name="Journal Article"&gt;17&lt;/ref-type&gt;&lt;contributors&gt;&lt;authors&gt;&lt;author&gt;Oh, Hoon Il&lt;/author&gt;&lt;author&gt;Hoff, Johan E.&lt;/author&gt;&lt;author&gt;Armstrong, Glenn S.&lt;/author&gt;&lt;author&gt;Haff, Lawrence A.&lt;/author&gt;&lt;/authors&gt;&lt;/contributors&gt;&lt;titles&gt;&lt;title&gt;Hydrophobic interaction in tannin-protein complexes&lt;/title&gt;&lt;secondary-title&gt;Journal of Agricultural and Food Chemistry&lt;/secondary-title&gt;&lt;/titles&gt;&lt;periodical&gt;&lt;full-title&gt;Journal of Agricultural and Food Chemistry&lt;/full-title&gt;&lt;/periodical&gt;&lt;pages&gt;394-398&lt;/pages&gt;&lt;volume&gt;28&lt;/volume&gt;&lt;number&gt;2&lt;/number&gt;&lt;dates&gt;&lt;year&gt;1980&lt;/year&gt;&lt;pub-dates&gt;&lt;date&gt;1980/03/01&lt;/date&gt;&lt;/pub-dates&gt;&lt;/dates&gt;&lt;publisher&gt;American Chemical Society&lt;/publisher&gt;&lt;isbn&gt;0021-8561&lt;/isbn&gt;&lt;urls&gt;&lt;related-urls&gt;&lt;url&gt;http://dx.doi.org/10.1021/jf60228a020&lt;/url&gt;&lt;/related-urls&gt;&lt;/urls&gt;&lt;electronic-resource-num&gt;10.1021/jf60228a020&lt;/electronic-resource-num&gt;&lt;access-date&gt;2014/10/31&lt;/access-date&gt;&lt;/record&gt;&lt;/Cite&gt;&lt;/EndNote&gt;</w:instrText>
        </w:r>
        <w:r w:rsidR="00512D09">
          <w:fldChar w:fldCharType="separate"/>
        </w:r>
        <w:r w:rsidR="00512D09" w:rsidRPr="006421D1">
          <w:rPr>
            <w:noProof/>
            <w:vertAlign w:val="superscript"/>
          </w:rPr>
          <w:t>185</w:t>
        </w:r>
        <w:r w:rsidR="00512D09">
          <w:fldChar w:fldCharType="end"/>
        </w:r>
      </w:hyperlink>
      <w:r>
        <w:t xml:space="preserve"> Structurally they </w:t>
      </w:r>
      <w:r w:rsidRPr="001620E2">
        <w:t>can be either oligomeric or polymeric units of polyhydroxy flavan-3-ol units, such as</w:t>
      </w:r>
      <w:r>
        <w:t xml:space="preserve"> (-</w:t>
      </w:r>
      <w:r w:rsidRPr="001620E2">
        <w:t>)-epicatechin</w:t>
      </w:r>
      <w:r>
        <w:t xml:space="preserve"> or more commonly (+)-catechin (</w:t>
      </w:r>
      <w:r w:rsidR="0075172E">
        <w:fldChar w:fldCharType="begin"/>
      </w:r>
      <w:r w:rsidR="00051327">
        <w:instrText xml:space="preserve"> REF _Ref442869476 \h </w:instrText>
      </w:r>
      <w:r w:rsidR="0075172E">
        <w:fldChar w:fldCharType="separate"/>
      </w:r>
      <w:r w:rsidR="00CB4EDC">
        <w:t xml:space="preserve">Figure </w:t>
      </w:r>
      <w:r w:rsidR="00CB4EDC">
        <w:rPr>
          <w:noProof/>
        </w:rPr>
        <w:t>3</w:t>
      </w:r>
      <w:r w:rsidR="00CB4EDC">
        <w:t>.</w:t>
      </w:r>
      <w:r w:rsidR="00CB4EDC">
        <w:rPr>
          <w:noProof/>
        </w:rPr>
        <w:t>3</w:t>
      </w:r>
      <w:r w:rsidR="0075172E">
        <w:fldChar w:fldCharType="end"/>
      </w:r>
      <w:r>
        <w:t>).</w:t>
      </w:r>
      <w:r w:rsidRPr="001620E2">
        <w:t xml:space="preserve"> </w:t>
      </w:r>
      <w:hyperlink w:anchor="_ENREF_186" w:tooltip="Santos-Buelga, 2000 #479" w:history="1">
        <w:r w:rsidR="00512D09">
          <w:fldChar w:fldCharType="begin"/>
        </w:r>
        <w:r w:rsidR="00512D09">
          <w:instrText xml:space="preserve"> ADDIN EN.CITE &lt;EndNote&gt;&lt;Cite&gt;&lt;Author&gt;Santos-Buelga&lt;/Author&gt;&lt;Year&gt;2000&lt;/Year&gt;&lt;RecNum&gt;479&lt;/RecNum&gt;&lt;DisplayText&gt;&lt;style face="superscript"&gt;186&lt;/style&gt;&lt;/DisplayText&gt;&lt;record&gt;&lt;rec-number&gt;479&lt;/rec-number&gt;&lt;foreign-keys&gt;&lt;key app="EN" db-id="5trrespwzsdr07efd5tx2w96x22re9s0fsdt"&gt;479&lt;/key&gt;&lt;/foreign-keys&gt;&lt;ref-type name="Journal Article"&gt;17&lt;/ref-type&gt;&lt;contributors&gt;&lt;authors&gt;&lt;author&gt;Santos-Buelga, Celestino&lt;/author&gt;&lt;author&gt;Scalbert, Augustin&lt;/author&gt;&lt;/authors&gt;&lt;/contributors&gt;&lt;titles&gt;&lt;title&gt;Proanthocyanidins and tannin-like compounds – nature, occurrence, dietary intake and effects on nutrition and health&lt;/title&gt;&lt;secondary-title&gt;Journal of the Science of Food and Agriculture&lt;/secondary-title&gt;&lt;/titles&gt;&lt;periodical&gt;&lt;full-title&gt;Journal of the Science of Food and Agriculture&lt;/full-title&gt;&lt;/periodical&gt;&lt;pages&gt;1094-1117&lt;/pages&gt;&lt;volume&gt;80&lt;/volume&gt;&lt;number&gt;7&lt;/number&gt;&lt;keywords&gt;&lt;keyword&gt;absorption&lt;/keyword&gt;&lt;keyword&gt;antioxidants&lt;/keyword&gt;&lt;keyword&gt;bioavailability&lt;/keyword&gt;&lt;keyword&gt;black tea&lt;/keyword&gt;&lt;keyword&gt;burden&lt;/keyword&gt;&lt;keyword&gt;cancer&lt;/keyword&gt;&lt;keyword&gt;cardiovascular diseases&lt;/keyword&gt;&lt;keyword&gt;condensed tannins&lt;/keyword&gt;&lt;keyword&gt;fruits&lt;/keyword&gt;&lt;keyword&gt;fruit juices&lt;/keyword&gt;&lt;keyword&gt;metabolism&lt;/keyword&gt;&lt;keyword&gt;metal ion bioavailability&lt;/keyword&gt;&lt;keyword&gt;polyphenols&lt;/keyword&gt;&lt;keyword&gt;proanthocyanidins&lt;/keyword&gt;&lt;keyword&gt;red wine review&lt;/keyword&gt;&lt;keyword&gt;tannin-like compounds&lt;/keyword&gt;&lt;keyword&gt;tea&lt;/keyword&gt;&lt;keyword&gt;wine&lt;/keyword&gt;&lt;/keywords&gt;&lt;dates&gt;&lt;year&gt;2000&lt;/year&gt;&lt;/dates&gt;&lt;publisher&gt;John Wiley &amp;amp; Sons, Ltd.&lt;/publisher&gt;&lt;isbn&gt;1097-0010&lt;/isbn&gt;&lt;urls&gt;&lt;related-urls&gt;&lt;url&gt;http://dx.doi.org/10.1002/(SICI)1097-0010(20000515)80:7&amp;lt;1094::AID-JSFA569&amp;gt;3.0.CO;2-1&lt;/url&gt;&lt;/related-urls&gt;&lt;/urls&gt;&lt;electronic-resource-num&gt;10.1002/(sici)1097-0010(20000515)80:7&amp;lt;1094::aid-jsfa569&amp;gt;3.0.co;2-1&lt;/electronic-resource-num&gt;&lt;/record&gt;&lt;/Cite&gt;&lt;/EndNote&gt;</w:instrText>
        </w:r>
        <w:r w:rsidR="00512D09">
          <w:fldChar w:fldCharType="separate"/>
        </w:r>
        <w:r w:rsidR="00512D09" w:rsidRPr="006421D1">
          <w:rPr>
            <w:noProof/>
            <w:vertAlign w:val="superscript"/>
          </w:rPr>
          <w:t>186</w:t>
        </w:r>
        <w:r w:rsidR="00512D09">
          <w:fldChar w:fldCharType="end"/>
        </w:r>
      </w:hyperlink>
      <w:r w:rsidRPr="001620E2">
        <w:t xml:space="preserve"> </w:t>
      </w:r>
      <w:r>
        <w:t xml:space="preserve">These proanthocyanidins can be purified from their natural sources meaning they have a distinct advantage over tannic acid preparations which cannot be purified. </w:t>
      </w:r>
    </w:p>
    <w:p w:rsidR="000574FF" w:rsidRDefault="000574FF" w:rsidP="000574FF">
      <w:pPr>
        <w:keepNext/>
        <w:spacing w:line="480" w:lineRule="auto"/>
        <w:jc w:val="center"/>
      </w:pPr>
      <w:r>
        <w:rPr>
          <w:noProof/>
          <w:lang w:eastAsia="en-GB"/>
        </w:rPr>
        <w:lastRenderedPageBreak/>
        <w:drawing>
          <wp:inline distT="0" distB="0" distL="0" distR="0" wp14:anchorId="6599E1D8" wp14:editId="5B79F9A7">
            <wp:extent cx="5027488" cy="1439186"/>
            <wp:effectExtent l="19050" t="0" r="1712"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3453" t="2804" b="12617"/>
                    <a:stretch>
                      <a:fillRect/>
                    </a:stretch>
                  </pic:blipFill>
                  <pic:spPr bwMode="auto">
                    <a:xfrm>
                      <a:off x="0" y="0"/>
                      <a:ext cx="5027488" cy="1439186"/>
                    </a:xfrm>
                    <a:prstGeom prst="rect">
                      <a:avLst/>
                    </a:prstGeom>
                    <a:noFill/>
                    <a:ln w="9525">
                      <a:noFill/>
                      <a:miter lim="800000"/>
                      <a:headEnd/>
                      <a:tailEnd/>
                    </a:ln>
                  </pic:spPr>
                </pic:pic>
              </a:graphicData>
            </a:graphic>
          </wp:inline>
        </w:drawing>
      </w:r>
    </w:p>
    <w:p w:rsidR="000574FF" w:rsidRDefault="000574FF" w:rsidP="000574FF">
      <w:pPr>
        <w:pStyle w:val="Caption"/>
        <w:jc w:val="center"/>
      </w:pPr>
      <w:bookmarkStart w:id="75" w:name="_Ref442869476"/>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3</w:t>
      </w:r>
      <w:r w:rsidR="0075172E">
        <w:fldChar w:fldCharType="end"/>
      </w:r>
      <w:bookmarkEnd w:id="75"/>
      <w:r>
        <w:t>:</w:t>
      </w:r>
      <w:r w:rsidR="00454354">
        <w:t xml:space="preserve"> </w:t>
      </w:r>
      <w:r>
        <w:t>Left: (+)-catechin. Right:</w:t>
      </w:r>
      <w:r w:rsidRPr="00345A70">
        <w:t xml:space="preserve"> </w:t>
      </w:r>
      <w:r>
        <w:t>(-</w:t>
      </w:r>
      <w:r w:rsidRPr="001620E2">
        <w:t>)-epicatechin</w:t>
      </w:r>
      <w:r>
        <w:t xml:space="preserve"> adapted from Abrahamse </w:t>
      </w:r>
      <w:r w:rsidRPr="002D4FF8">
        <w:rPr>
          <w:i/>
        </w:rPr>
        <w:t>et al</w:t>
      </w:r>
      <w:r w:rsidR="002D4FF8">
        <w:rPr>
          <w:i/>
        </w:rPr>
        <w:t>.</w:t>
      </w:r>
      <w:r>
        <w:t xml:space="preserve"> </w:t>
      </w:r>
      <w:hyperlink w:anchor="_ENREF_187" w:tooltip="Abrahamse, 2005 #705" w:history="1">
        <w:r w:rsidR="00512D09">
          <w:fldChar w:fldCharType="begin"/>
        </w:r>
        <w:r w:rsidR="00512D09">
          <w:instrText xml:space="preserve"> ADDIN EN.CITE &lt;EndNote&gt;&lt;Cite&gt;&lt;Author&gt;Abrahamse&lt;/Author&gt;&lt;Year&gt;2005&lt;/Year&gt;&lt;RecNum&gt;705&lt;/RecNum&gt;&lt;DisplayText&gt;&lt;style face="superscript"&gt;187&lt;/style&gt;&lt;/DisplayText&gt;&lt;record&gt;&lt;rec-number&gt;705&lt;/rec-number&gt;&lt;foreign-keys&gt;&lt;key app="EN" db-id="5trrespwzsdr07efd5tx2w96x22re9s0fsdt"&gt;705&lt;/key&gt;&lt;/foreign-keys&gt;&lt;ref-type name="Journal Article"&gt;17&lt;/ref-type&gt;&lt;contributors&gt;&lt;authors&gt;&lt;author&gt;Abrahamse, Salomon L.&lt;/author&gt;&lt;author&gt;Kloots, Willem J.&lt;/author&gt;&lt;author&gt;van Amelsvoort, Johan M. M.&lt;/author&gt;&lt;/authors&gt;&lt;/contributors&gt;&lt;titles&gt;&lt;title&gt;Absorption, distribution, and secretion of epicatechin and quercetin in the rat&lt;/title&gt;&lt;secondary-title&gt;Nutrition Research&lt;/secondary-title&gt;&lt;/titles&gt;&lt;periodical&gt;&lt;full-title&gt;Nutrition Research&lt;/full-title&gt;&lt;/periodical&gt;&lt;pages&gt;305-317&lt;/pages&gt;&lt;volume&gt;25&lt;/volume&gt;&lt;number&gt;3&lt;/number&gt;&lt;keywords&gt;&lt;keyword&gt;Flavanol&lt;/keyword&gt;&lt;keyword&gt;Flavonol&lt;/keyword&gt;&lt;keyword&gt;Bioavailability&lt;/keyword&gt;&lt;keyword&gt;Radioactive compounds&lt;/keyword&gt;&lt;keyword&gt;Rat&lt;/keyword&gt;&lt;/keywords&gt;&lt;dates&gt;&lt;year&gt;2005&lt;/year&gt;&lt;/dates&gt;&lt;isbn&gt;0271-5317&lt;/isbn&gt;&lt;urls&gt;&lt;related-urls&gt;&lt;url&gt;http://www.sciencedirect.com/science/article/pii/S0271531705000138&lt;/url&gt;&lt;/related-urls&gt;&lt;/urls&gt;&lt;electronic-resource-num&gt;http://dx.doi.org/10.1016/j.nutres.2004.10.013&lt;/electronic-resource-num&gt;&lt;/record&gt;&lt;/Cite&gt;&lt;/EndNote&gt;</w:instrText>
        </w:r>
        <w:r w:rsidR="00512D09">
          <w:fldChar w:fldCharType="separate"/>
        </w:r>
        <w:r w:rsidR="00512D09" w:rsidRPr="006421D1">
          <w:rPr>
            <w:noProof/>
            <w:vertAlign w:val="superscript"/>
          </w:rPr>
          <w:t>187</w:t>
        </w:r>
        <w:r w:rsidR="00512D09">
          <w:fldChar w:fldCharType="end"/>
        </w:r>
      </w:hyperlink>
    </w:p>
    <w:p w:rsidR="000574FF" w:rsidRDefault="000574FF" w:rsidP="000574FF">
      <w:pPr>
        <w:spacing w:line="480" w:lineRule="auto"/>
        <w:jc w:val="both"/>
      </w:pPr>
      <w:r w:rsidRPr="001620E2">
        <w:t>Proanthocyanidins are thought to be responsible for the nutritional benefit of some food stuffs and beverages</w:t>
      </w:r>
      <w:r>
        <w:t>.</w:t>
      </w:r>
      <w:r w:rsidRPr="001620E2">
        <w:t xml:space="preserve"> </w:t>
      </w:r>
      <w:hyperlink w:anchor="_ENREF_186" w:tooltip="Santos-Buelga, 2000 #479" w:history="1">
        <w:r w:rsidR="00512D09" w:rsidRPr="001620E2">
          <w:fldChar w:fldCharType="begin"/>
        </w:r>
        <w:r w:rsidR="00512D09">
          <w:instrText xml:space="preserve"> ADDIN EN.CITE &lt;EndNote&gt;&lt;Cite&gt;&lt;Author&gt;Santos-Buelga&lt;/Author&gt;&lt;Year&gt;2000&lt;/Year&gt;&lt;RecNum&gt;479&lt;/RecNum&gt;&lt;DisplayText&gt;&lt;style face="superscript"&gt;186&lt;/style&gt;&lt;/DisplayText&gt;&lt;record&gt;&lt;rec-number&gt;479&lt;/rec-number&gt;&lt;foreign-keys&gt;&lt;key app="EN" db-id="5trrespwzsdr07efd5tx2w96x22re9s0fsdt"&gt;479&lt;/key&gt;&lt;/foreign-keys&gt;&lt;ref-type name="Journal Article"&gt;17&lt;/ref-type&gt;&lt;contributors&gt;&lt;authors&gt;&lt;author&gt;Santos-Buelga, Celestino&lt;/author&gt;&lt;author&gt;Scalbert, Augustin&lt;/author&gt;&lt;/authors&gt;&lt;/contributors&gt;&lt;titles&gt;&lt;title&gt;Proanthocyanidins and tannin-like compounds – nature, occurrence, dietary intake and effects on nutrition and health&lt;/title&gt;&lt;secondary-title&gt;Journal of the Science of Food and Agriculture&lt;/secondary-title&gt;&lt;/titles&gt;&lt;periodical&gt;&lt;full-title&gt;Journal of the Science of Food and Agriculture&lt;/full-title&gt;&lt;/periodical&gt;&lt;pages&gt;1094-1117&lt;/pages&gt;&lt;volume&gt;80&lt;/volume&gt;&lt;number&gt;7&lt;/number&gt;&lt;keywords&gt;&lt;keyword&gt;absorption&lt;/keyword&gt;&lt;keyword&gt;antioxidants&lt;/keyword&gt;&lt;keyword&gt;bioavailability&lt;/keyword&gt;&lt;keyword&gt;black tea&lt;/keyword&gt;&lt;keyword&gt;burden&lt;/keyword&gt;&lt;keyword&gt;cancer&lt;/keyword&gt;&lt;keyword&gt;cardiovascular diseases&lt;/keyword&gt;&lt;keyword&gt;condensed tannins&lt;/keyword&gt;&lt;keyword&gt;fruits&lt;/keyword&gt;&lt;keyword&gt;fruit juices&lt;/keyword&gt;&lt;keyword&gt;metabolism&lt;/keyword&gt;&lt;keyword&gt;metal ion bioavailability&lt;/keyword&gt;&lt;keyword&gt;polyphenols&lt;/keyword&gt;&lt;keyword&gt;proanthocyanidins&lt;/keyword&gt;&lt;keyword&gt;red wine review&lt;/keyword&gt;&lt;keyword&gt;tannin-like compounds&lt;/keyword&gt;&lt;keyword&gt;tea&lt;/keyword&gt;&lt;keyword&gt;wine&lt;/keyword&gt;&lt;/keywords&gt;&lt;dates&gt;&lt;year&gt;2000&lt;/year&gt;&lt;/dates&gt;&lt;publisher&gt;John Wiley &amp;amp; Sons, Ltd.&lt;/publisher&gt;&lt;isbn&gt;1097-0010&lt;/isbn&gt;&lt;urls&gt;&lt;related-urls&gt;&lt;url&gt;http://dx.doi.org/10.1002/(SICI)1097-0010(20000515)80:7&amp;lt;1094::AID-JSFA569&amp;gt;3.0.CO;2-1&lt;/url&gt;&lt;/related-urls&gt;&lt;/urls&gt;&lt;electronic-resource-num&gt;10.1002/(sici)1097-0010(20000515)80:7&amp;lt;1094::aid-jsfa569&amp;gt;3.0.co;2-1&lt;/electronic-resource-num&gt;&lt;/record&gt;&lt;/Cite&gt;&lt;/EndNote&gt;</w:instrText>
        </w:r>
        <w:r w:rsidR="00512D09" w:rsidRPr="001620E2">
          <w:fldChar w:fldCharType="separate"/>
        </w:r>
        <w:r w:rsidR="00512D09" w:rsidRPr="006421D1">
          <w:rPr>
            <w:noProof/>
            <w:vertAlign w:val="superscript"/>
          </w:rPr>
          <w:t>186</w:t>
        </w:r>
        <w:r w:rsidR="00512D09" w:rsidRPr="001620E2">
          <w:fldChar w:fldCharType="end"/>
        </w:r>
      </w:hyperlink>
      <w:r w:rsidRPr="001620E2">
        <w:t xml:space="preserve"> Red wine is high in proanthocyanidins and they are thought to be responsible for the reduced risk of lung cancer associated with low intake of red wine</w:t>
      </w:r>
      <w:r>
        <w:t>.</w:t>
      </w:r>
      <w:hyperlink w:anchor="_ENREF_188" w:tooltip="Prescott, 1999 #480" w:history="1">
        <w:r w:rsidR="00512D09" w:rsidRPr="001620E2">
          <w:fldChar w:fldCharType="begin"/>
        </w:r>
        <w:r w:rsidR="00512D09">
          <w:instrText xml:space="preserve"> ADDIN EN.CITE &lt;EndNote&gt;&lt;Cite&gt;&lt;Author&gt;Prescott&lt;/Author&gt;&lt;Year&gt;1999&lt;/Year&gt;&lt;RecNum&gt;480&lt;/RecNum&gt;&lt;DisplayText&gt;&lt;style face="superscript"&gt;188&lt;/style&gt;&lt;/DisplayText&gt;&lt;record&gt;&lt;rec-number&gt;480&lt;/rec-number&gt;&lt;foreign-keys&gt;&lt;key app="EN" db-id="5trrespwzsdr07efd5tx2w96x22re9s0fsdt"&gt;480&lt;/key&gt;&lt;/foreign-keys&gt;&lt;ref-type name="Journal Article"&gt;17&lt;/ref-type&gt;&lt;contributors&gt;&lt;authors&gt;&lt;author&gt;Prescott, Eva&lt;/author&gt;&lt;author&gt;Grønbæk, Morten&lt;/author&gt;&lt;author&gt;Becker, Ulrik&lt;/author&gt;&lt;author&gt;Sørensen, Thorkild I. A.&lt;/author&gt;&lt;/authors&gt;&lt;/contributors&gt;&lt;titles&gt;&lt;title&gt;Alcohol Intake and the Risk of Lung Cancer: Influence of Type of Alcoholic Beverage&lt;/title&gt;&lt;secondary-title&gt;American Journal of Epidemiology&lt;/secondary-title&gt;&lt;/titles&gt;&lt;periodical&gt;&lt;full-title&gt;American Journal of Epidemiology&lt;/full-title&gt;&lt;/periodical&gt;&lt;pages&gt;463-470&lt;/pages&gt;&lt;volume&gt;149&lt;/volume&gt;&lt;number&gt;5&lt;/number&gt;&lt;dates&gt;&lt;year&gt;1999&lt;/year&gt;&lt;pub-dates&gt;&lt;date&gt;March 1, 1999&lt;/date&gt;&lt;/pub-dates&gt;&lt;/dates&gt;&lt;urls&gt;&lt;related-urls&gt;&lt;url&gt;http://aje.oxfordjournals.org/content/149/5/463.abstract&lt;/url&gt;&lt;/related-urls&gt;&lt;/urls&gt;&lt;/record&gt;&lt;/Cite&gt;&lt;/EndNote&gt;</w:instrText>
        </w:r>
        <w:r w:rsidR="00512D09" w:rsidRPr="001620E2">
          <w:fldChar w:fldCharType="separate"/>
        </w:r>
        <w:r w:rsidR="00512D09" w:rsidRPr="006421D1">
          <w:rPr>
            <w:noProof/>
            <w:vertAlign w:val="superscript"/>
          </w:rPr>
          <w:t>188</w:t>
        </w:r>
        <w:r w:rsidR="00512D09" w:rsidRPr="001620E2">
          <w:fldChar w:fldCharType="end"/>
        </w:r>
      </w:hyperlink>
      <w:r w:rsidRPr="001620E2">
        <w:t xml:space="preserve"> This chemopreventative action is also seen in rats fed epigallocatechin gallate, a common proanthocyanidin found in both tea and wine</w:t>
      </w:r>
      <w:r>
        <w:t>.</w:t>
      </w:r>
      <w:hyperlink w:anchor="_ENREF_189" w:tooltip="Cao, 1996 #481" w:history="1">
        <w:r w:rsidR="00512D09" w:rsidRPr="001620E2">
          <w:fldChar w:fldCharType="begin"/>
        </w:r>
        <w:r w:rsidR="00512D09">
          <w:instrText xml:space="preserve"> ADDIN EN.CITE &lt;EndNote&gt;&lt;Cite&gt;&lt;Author&gt;Cao&lt;/Author&gt;&lt;Year&gt;1996&lt;/Year&gt;&lt;RecNum&gt;481&lt;/RecNum&gt;&lt;DisplayText&gt;&lt;style face="superscript"&gt;189&lt;/style&gt;&lt;/DisplayText&gt;&lt;record&gt;&lt;rec-number&gt;481&lt;/rec-number&gt;&lt;foreign-keys&gt;&lt;key app="EN" db-id="5trrespwzsdr07efd5tx2w96x22re9s0fsdt"&gt;481&lt;/key&gt;&lt;/foreign-keys&gt;&lt;ref-type name="Journal Article"&gt;17&lt;/ref-type&gt;&lt;contributors&gt;&lt;authors&gt;&lt;author&gt;Cao, Jin&lt;/author&gt;&lt;author&gt;Xu, Yong&lt;/author&gt;&lt;author&gt;Chen, Junshi&lt;/author&gt;&lt;author&gt;Klaunig, James E.&lt;/author&gt;&lt;/authors&gt;&lt;/contributors&gt;&lt;titles&gt;&lt;title&gt;Chemopreventive Effects of Green and Black Tea on Pulmonary and Hepatic Carcinogenesis&lt;/title&gt;&lt;secondary-title&gt;Fundamental and Applied Toxicology&lt;/secondary-title&gt;&lt;/titles&gt;&lt;periodical&gt;&lt;full-title&gt;Fundamental and Applied Toxicology&lt;/full-title&gt;&lt;/periodical&gt;&lt;pages&gt;244-250&lt;/pages&gt;&lt;volume&gt;29&lt;/volume&gt;&lt;number&gt;2&lt;/number&gt;&lt;dates&gt;&lt;year&gt;1996&lt;/year&gt;&lt;/dates&gt;&lt;isbn&gt;0272-0590&lt;/isbn&gt;&lt;urls&gt;&lt;related-urls&gt;&lt;url&gt;http://www.sciencedirect.com/science/article/pii/S0272059096900287&lt;/url&gt;&lt;/related-urls&gt;&lt;/urls&gt;&lt;electronic-resource-num&gt;http://dx.doi.org/10.1006/faat.1996.0028&lt;/electronic-resource-num&gt;&lt;/record&gt;&lt;/Cite&gt;&lt;/EndNote&gt;</w:instrText>
        </w:r>
        <w:r w:rsidR="00512D09" w:rsidRPr="001620E2">
          <w:fldChar w:fldCharType="separate"/>
        </w:r>
        <w:r w:rsidR="00512D09" w:rsidRPr="006421D1">
          <w:rPr>
            <w:noProof/>
            <w:vertAlign w:val="superscript"/>
          </w:rPr>
          <w:t>189</w:t>
        </w:r>
        <w:r w:rsidR="00512D09" w:rsidRPr="001620E2">
          <w:fldChar w:fldCharType="end"/>
        </w:r>
      </w:hyperlink>
      <w:r w:rsidRPr="001620E2">
        <w:t xml:space="preserve"> Proanthocyanidins from grape seeds have been found to decrease the levels of oxidants and increase the levels of antioxidants suggesting that a diet rich in proanthocyanidins could help minimise</w:t>
      </w:r>
      <w:r>
        <w:t xml:space="preserve"> the chances of atherosclerosis.</w:t>
      </w:r>
      <w:hyperlink w:anchor="_ENREF_190" w:tooltip="Natella, 2002 #482" w:history="1">
        <w:r w:rsidR="00512D09" w:rsidRPr="001620E2">
          <w:fldChar w:fldCharType="begin"/>
        </w:r>
        <w:r w:rsidR="00512D09">
          <w:instrText xml:space="preserve"> ADDIN EN.CITE &lt;EndNote&gt;&lt;Cite&gt;&lt;Author&gt;Natella&lt;/Author&gt;&lt;Year&gt;2002&lt;/Year&gt;&lt;RecNum&gt;482&lt;/RecNum&gt;&lt;DisplayText&gt;&lt;style face="superscript"&gt;190&lt;/style&gt;&lt;/DisplayText&gt;&lt;record&gt;&lt;rec-number&gt;482&lt;/rec-number&gt;&lt;foreign-keys&gt;&lt;key app="EN" db-id="5trrespwzsdr07efd5tx2w96x22re9s0fsdt"&gt;482&lt;/key&gt;&lt;/foreign-keys&gt;&lt;ref-type name="Journal Article"&gt;17&lt;/ref-type&gt;&lt;contributors&gt;&lt;authors&gt;&lt;author&gt;Natella, Fausta&lt;/author&gt;&lt;author&gt;Belelli, Federica&lt;/author&gt;&lt;author&gt;Gentili, Vincenzo&lt;/author&gt;&lt;author&gt;Ursini, Fulvio&lt;/author&gt;&lt;author&gt;Scaccini, Cristina&lt;/author&gt;&lt;/authors&gt;&lt;/contributors&gt;&lt;titles&gt;&lt;title&gt;Grape Seed Proanthocyanidins Prevent Plasma Postprandial Oxidative Stress in Humans&lt;/title&gt;&lt;secondary-title&gt;Journal of Agricultural and Food Chemistry&lt;/secondary-title&gt;&lt;/titles&gt;&lt;periodical&gt;&lt;full-title&gt;Journal of Agricultural and Food Chemistry&lt;/full-title&gt;&lt;/periodical&gt;&lt;pages&gt;7720-7725&lt;/pages&gt;&lt;volume&gt;50&lt;/volume&gt;&lt;number&gt;26&lt;/number&gt;&lt;dates&gt;&lt;year&gt;2002&lt;/year&gt;&lt;pub-dates&gt;&lt;date&gt;2002/12/01&lt;/date&gt;&lt;/pub-dates&gt;&lt;/dates&gt;&lt;publisher&gt;American Chemical Society&lt;/publisher&gt;&lt;isbn&gt;0021-8561&lt;/isbn&gt;&lt;urls&gt;&lt;related-urls&gt;&lt;url&gt;http://dx.doi.org/10.1021/jf020346o&lt;/url&gt;&lt;/related-urls&gt;&lt;/urls&gt;&lt;electronic-resource-num&gt;10.1021/jf020346o&lt;/electronic-resource-num&gt;&lt;access-date&gt;2014/12/03&lt;/access-date&gt;&lt;/record&gt;&lt;/Cite&gt;&lt;/EndNote&gt;</w:instrText>
        </w:r>
        <w:r w:rsidR="00512D09" w:rsidRPr="001620E2">
          <w:fldChar w:fldCharType="separate"/>
        </w:r>
        <w:r w:rsidR="00512D09" w:rsidRPr="006421D1">
          <w:rPr>
            <w:noProof/>
            <w:vertAlign w:val="superscript"/>
          </w:rPr>
          <w:t>190</w:t>
        </w:r>
        <w:r w:rsidR="00512D09" w:rsidRPr="001620E2">
          <w:fldChar w:fldCharType="end"/>
        </w:r>
      </w:hyperlink>
    </w:p>
    <w:p w:rsidR="000574FF" w:rsidRDefault="000574FF" w:rsidP="000574FF">
      <w:pPr>
        <w:spacing w:line="480" w:lineRule="auto"/>
        <w:jc w:val="both"/>
      </w:pPr>
      <w:r>
        <w:t xml:space="preserve">Tea is perhaps on the most popular drinks in the world due to the taste and contains a high concentration of polyphenols. There is a general consensus that green tea assists in digestion and results show that this may due to polyphenols enhancing the catalytic activity of pepsin, an enzyme that degrades food proteins into peptides. </w:t>
      </w:r>
      <w:hyperlink w:anchor="_ENREF_191" w:tooltip="Tagliazucchi, 2005 #679" w:history="1">
        <w:r w:rsidR="00512D09">
          <w:fldChar w:fldCharType="begin"/>
        </w:r>
        <w:r w:rsidR="00512D09">
          <w:instrText xml:space="preserve"> ADDIN EN.CITE &lt;EndNote&gt;&lt;Cite&gt;&lt;Author&gt;Tagliazucchi&lt;/Author&gt;&lt;Year&gt;2005&lt;/Year&gt;&lt;RecNum&gt;679&lt;/RecNum&gt;&lt;DisplayText&gt;&lt;style face="superscript"&gt;191&lt;/style&gt;&lt;/DisplayText&gt;&lt;record&gt;&lt;rec-number&gt;679&lt;/rec-number&gt;&lt;foreign-keys&gt;&lt;key app="EN" db-id="5trrespwzsdr07efd5tx2w96x22re9s0fsdt"&gt;679&lt;/key&gt;&lt;/foreign-keys&gt;&lt;ref-type name="Journal Article"&gt;17&lt;/ref-type&gt;&lt;contributors&gt;&lt;authors&gt;&lt;author&gt;Tagliazucchi, Davide&lt;/author&gt;&lt;author&gt;Verzelloni, Elena&lt;/author&gt;&lt;author&gt;Conte, Angela&lt;/author&gt;&lt;/authors&gt;&lt;/contributors&gt;&lt;titles&gt;&lt;title&gt;Effect of Some Phenolic Compounds and Beverages on Pepsin Activity during Simulated Gastric Digestion&lt;/title&gt;&lt;secondary-title&gt;Journal of Agricultural and Food Chemistry&lt;/secondary-title&gt;&lt;/titles&gt;&lt;periodical&gt;&lt;full-title&gt;Journal of Agricultural and Food Chemistry&lt;/full-title&gt;&lt;/periodical&gt;&lt;pages&gt;8706-8713&lt;/pages&gt;&lt;volume&gt;53&lt;/volume&gt;&lt;number&gt;22&lt;/number&gt;&lt;dates&gt;&lt;year&gt;2005&lt;/year&gt;&lt;pub-dates&gt;&lt;date&gt;2005/11/01&lt;/date&gt;&lt;/pub-dates&gt;&lt;/dates&gt;&lt;publisher&gt;American Chemical Society&lt;/publisher&gt;&lt;isbn&gt;0021-8561&lt;/isbn&gt;&lt;urls&gt;&lt;related-urls&gt;&lt;url&gt;http://dx.doi.org/10.1021/jf058074n&lt;/url&gt;&lt;/related-urls&gt;&lt;/urls&gt;&lt;electronic-resource-num&gt;10.1021/jf058074n&lt;/electronic-resource-num&gt;&lt;/record&gt;&lt;/Cite&gt;&lt;/EndNote&gt;</w:instrText>
        </w:r>
        <w:r w:rsidR="00512D09">
          <w:fldChar w:fldCharType="separate"/>
        </w:r>
        <w:r w:rsidR="00512D09" w:rsidRPr="006421D1">
          <w:rPr>
            <w:noProof/>
            <w:vertAlign w:val="superscript"/>
          </w:rPr>
          <w:t>191</w:t>
        </w:r>
        <w:r w:rsidR="00512D09">
          <w:fldChar w:fldCharType="end"/>
        </w:r>
      </w:hyperlink>
    </w:p>
    <w:p w:rsidR="000574FF" w:rsidRDefault="000574FF" w:rsidP="000574FF">
      <w:pPr>
        <w:spacing w:line="480" w:lineRule="auto"/>
        <w:jc w:val="both"/>
      </w:pPr>
      <w:r>
        <w:t>Proanthocyanidins are thought to be responsible for the astringent sensation of wine.</w:t>
      </w:r>
      <w:hyperlink w:anchor="_ENREF_192" w:tooltip="McRae, 2011 #680" w:history="1">
        <w:r w:rsidR="00512D09">
          <w:fldChar w:fldCharType="begin"/>
        </w:r>
        <w:r w:rsidR="00512D09">
          <w:instrText xml:space="preserve"> ADDIN EN.CITE &lt;EndNote&gt;&lt;Cite&gt;&lt;Author&gt;McRae&lt;/Author&gt;&lt;Year&gt;2011&lt;/Year&gt;&lt;RecNum&gt;680&lt;/RecNum&gt;&lt;DisplayText&gt;&lt;style face="superscript"&gt;192&lt;/style&gt;&lt;/DisplayText&gt;&lt;record&gt;&lt;rec-number&gt;680&lt;/rec-number&gt;&lt;foreign-keys&gt;&lt;key app="EN" db-id="5trrespwzsdr07efd5tx2w96x22re9s0fsdt"&gt;680&lt;/key&gt;&lt;/foreign-keys&gt;&lt;ref-type name="Journal Article"&gt;17&lt;/ref-type&gt;&lt;contributors&gt;&lt;authors&gt;&lt;author&gt;McRae, Jacqui M&lt;/author&gt;&lt;author&gt;Kennedy, James A&lt;/author&gt;&lt;/authors&gt;&lt;/contributors&gt;&lt;titles&gt;&lt;title&gt;Wine and grape tannin interactions with salivary proteins and their impact on astringency: a review of current research&lt;/title&gt;&lt;secondary-title&gt;Molecules&lt;/secondary-title&gt;&lt;/titles&gt;&lt;periodical&gt;&lt;full-title&gt;Molecules&lt;/full-title&gt;&lt;/periodical&gt;&lt;pages&gt;2348-2364&lt;/pages&gt;&lt;volume&gt;16&lt;/volume&gt;&lt;number&gt;3&lt;/number&gt;&lt;dates&gt;&lt;year&gt;2011&lt;/year&gt;&lt;/dates&gt;&lt;urls&gt;&lt;/urls&gt;&lt;/record&gt;&lt;/Cite&gt;&lt;/EndNote&gt;</w:instrText>
        </w:r>
        <w:r w:rsidR="00512D09">
          <w:fldChar w:fldCharType="separate"/>
        </w:r>
        <w:r w:rsidR="00512D09" w:rsidRPr="006421D1">
          <w:rPr>
            <w:noProof/>
            <w:vertAlign w:val="superscript"/>
          </w:rPr>
          <w:t>192</w:t>
        </w:r>
        <w:r w:rsidR="00512D09">
          <w:fldChar w:fldCharType="end"/>
        </w:r>
      </w:hyperlink>
      <w:r>
        <w:t xml:space="preserve"> This dry puckering sensation after drinking wine is thought to be due to the proanthocyanid</w:t>
      </w:r>
      <w:r w:rsidR="00226E74">
        <w:t xml:space="preserve">ins precipitating glycoproteins </w:t>
      </w:r>
      <w:r>
        <w:t>which leads to reduced lubricating properties of the salvia.</w:t>
      </w:r>
      <w:r w:rsidR="0075172E">
        <w:fldChar w:fldCharType="begin">
          <w:fldData xml:space="preserve">PEVuZE5vdGU+PENpdGU+PEF1dGhvcj5QcmluejwvQXV0aG9yPjxZZWFyPjIwMDA8L1llYXI+PFJl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</w:fldData>
        </w:fldChar>
      </w:r>
      <w:r w:rsidR="006421D1">
        <w:instrText xml:space="preserve"> ADDIN EN.CITE </w:instrText>
      </w:r>
      <w:r w:rsidR="0075172E">
        <w:fldChar w:fldCharType="begin">
          <w:fldData xml:space="preserve">PEVuZE5vdGU+PENpdGU+PEF1dGhvcj5QcmluejwvQXV0aG9yPjxZZWFyPjIwMDA8L1llYXI+PFJl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</w:fldData>
        </w:fldChar>
      </w:r>
      <w:r w:rsidR="006421D1">
        <w:instrText xml:space="preserve"> ADDIN EN.CITE.DATA </w:instrText>
      </w:r>
      <w:r w:rsidR="0075172E">
        <w:fldChar w:fldCharType="end"/>
      </w:r>
      <w:r w:rsidR="0075172E">
        <w:fldChar w:fldCharType="separate"/>
      </w:r>
      <w:hyperlink w:anchor="_ENREF_193" w:tooltip="Prinz, 2000 #682" w:history="1">
        <w:r w:rsidR="00512D09" w:rsidRPr="006421D1">
          <w:rPr>
            <w:noProof/>
            <w:vertAlign w:val="superscript"/>
          </w:rPr>
          <w:t>193</w:t>
        </w:r>
      </w:hyperlink>
      <w:r w:rsidR="006421D1" w:rsidRPr="006421D1">
        <w:rPr>
          <w:noProof/>
          <w:vertAlign w:val="superscript"/>
        </w:rPr>
        <w:t>,</w:t>
      </w:r>
      <w:hyperlink w:anchor="_ENREF_194" w:tooltip="Payne, 2009 #683" w:history="1">
        <w:r w:rsidR="00512D09" w:rsidRPr="006421D1">
          <w:rPr>
            <w:noProof/>
            <w:vertAlign w:val="superscript"/>
          </w:rPr>
          <w:t>194</w:t>
        </w:r>
      </w:hyperlink>
      <w:r w:rsidR="0075172E">
        <w:fldChar w:fldCharType="end"/>
      </w:r>
      <w:r>
        <w:t xml:space="preserve"> Higher molecular weight proanthocyanidins </w:t>
      </w:r>
      <w:r w:rsidR="00FA359D">
        <w:t>(</w:t>
      </w:r>
      <w:r w:rsidR="0075172E">
        <w:fldChar w:fldCharType="begin"/>
      </w:r>
      <w:r w:rsidR="00911A38">
        <w:instrText xml:space="preserve"> REF _Ref442869875 \h </w:instrText>
      </w:r>
      <w:r w:rsidR="0075172E">
        <w:fldChar w:fldCharType="separate"/>
      </w:r>
      <w:r w:rsidR="00CB4EDC">
        <w:t xml:space="preserve">Figure </w:t>
      </w:r>
      <w:r w:rsidR="00CB4EDC">
        <w:rPr>
          <w:noProof/>
        </w:rPr>
        <w:t>3</w:t>
      </w:r>
      <w:r w:rsidR="00CB4EDC">
        <w:t>.</w:t>
      </w:r>
      <w:r w:rsidR="00CB4EDC">
        <w:rPr>
          <w:noProof/>
        </w:rPr>
        <w:t>4</w:t>
      </w:r>
      <w:r w:rsidR="0075172E">
        <w:fldChar w:fldCharType="end"/>
      </w:r>
      <w:r w:rsidR="00FA359D">
        <w:t xml:space="preserve">) </w:t>
      </w:r>
      <w:r>
        <w:t>have increased protein precipitating ability leading to an increased astringent sensation.</w:t>
      </w:r>
      <w:hyperlink w:anchor="_ENREF_195" w:tooltip="Vidal, 2003 #681" w:history="1">
        <w:r w:rsidR="00512D09">
          <w:fldChar w:fldCharType="begin"/>
        </w:r>
        <w:r w:rsidR="00512D09">
          <w:instrText xml:space="preserve"> ADDIN EN.CITE &lt;EndNote&gt;&lt;Cite&gt;&lt;Author&gt;Vidal&lt;/Author&gt;&lt;Year&gt;2003&lt;/Year&gt;&lt;RecNum&gt;681&lt;/RecNum&gt;&lt;DisplayText&gt;&lt;style face="superscript"&gt;195&lt;/style&gt;&lt;/DisplayText&gt;&lt;record&gt;&lt;rec-number&gt;681&lt;/rec-number&gt;&lt;foreign-keys&gt;&lt;key app="EN" db-id="5trrespwzsdr07efd5tx2w96x22re9s0fsdt"&gt;681&lt;/key&gt;&lt;/foreign-keys&gt;&lt;ref-type name="Journal Article"&gt;17&lt;/ref-type&gt;&lt;contributors&gt;&lt;authors&gt;&lt;author&gt;Vidal, Stéphane&lt;/author&gt;&lt;author&gt;Francis, Leigh&lt;/author&gt;&lt;author&gt;Guyot, Sylvain&lt;/author&gt;&lt;author&gt;Marnet, Nathalie&lt;/author&gt;&lt;author&gt;Kwiatkowski, Mariola&lt;/author&gt;&lt;author&gt;Gawel, Richard&lt;/author&gt;&lt;author&gt;Cheynier, Véronique&lt;/author&gt;&lt;author&gt;Waters, Elizabeth J.&lt;/author&gt;&lt;/authors&gt;&lt;/contributors&gt;&lt;titles&gt;&lt;title&gt;The mouth-feel properties of grape and apple proanthocyanidins in a wine-like medium&lt;/title&gt;&lt;secondary-title&gt;Journal of the Science of Food and Agriculture&lt;/secondary-title&gt;&lt;/titles&gt;&lt;periodical&gt;&lt;full-title&gt;Journal of the Science of Food and Agriculture&lt;/full-title&gt;&lt;/periodical&gt;&lt;pages&gt;564-573&lt;/pages&gt;&lt;volume&gt;83&lt;/volume&gt;&lt;number&gt;6&lt;/number&gt;&lt;keywords&gt;&lt;keyword&gt;grape&lt;/keyword&gt;&lt;keyword&gt;wine&lt;/keyword&gt;&lt;keyword&gt;apple&lt;/keyword&gt;&lt;keyword&gt;proanthocyanidins&lt;/keyword&gt;&lt;keyword&gt;astringency&lt;/keyword&gt;&lt;keyword&gt;bitterness&lt;/keyword&gt;&lt;keyword&gt;tannins&lt;/keyword&gt;&lt;keyword&gt;sensory descriptive analysis&lt;/keyword&gt;&lt;/keywords&gt;&lt;dates&gt;&lt;year&gt;2003&lt;/year&gt;&lt;/dates&gt;&lt;publisher&gt;John Wiley &amp;amp; Sons, Ltd.&lt;/publisher&gt;&lt;isbn&gt;1097-0010&lt;/isbn&gt;&lt;urls&gt;&lt;related-urls&gt;&lt;url&gt;http://dx.doi.org/10.1002/jsfa.1394&lt;/url&gt;&lt;/related-urls&gt;&lt;/urls&gt;&lt;electronic-resource-num&gt;10.1002/jsfa.1394&lt;/electronic-resource-num&gt;&lt;/record&gt;&lt;/Cite&gt;&lt;/EndNote&gt;</w:instrText>
        </w:r>
        <w:r w:rsidR="00512D09">
          <w:fldChar w:fldCharType="separate"/>
        </w:r>
        <w:r w:rsidR="00512D09" w:rsidRPr="006421D1">
          <w:rPr>
            <w:noProof/>
            <w:vertAlign w:val="superscript"/>
          </w:rPr>
          <w:t>195</w:t>
        </w:r>
        <w:r w:rsidR="00512D09">
          <w:fldChar w:fldCharType="end"/>
        </w:r>
      </w:hyperlink>
      <w:r>
        <w:t xml:space="preserve"> </w:t>
      </w:r>
    </w:p>
    <w:p w:rsidR="000574FF" w:rsidRDefault="000574FF" w:rsidP="000574FF">
      <w:pPr>
        <w:keepNext/>
        <w:spacing w:line="480" w:lineRule="auto"/>
        <w:jc w:val="center"/>
      </w:pPr>
      <w:r>
        <w:rPr>
          <w:noProof/>
          <w:lang w:eastAsia="en-GB"/>
        </w:rPr>
        <w:lastRenderedPageBreak/>
        <w:drawing>
          <wp:inline distT="0" distB="0" distL="0" distR="0" wp14:anchorId="716B61DE" wp14:editId="3F96788F">
            <wp:extent cx="3034722" cy="3392118"/>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035389" cy="3392864"/>
                    </a:xfrm>
                    <a:prstGeom prst="rect">
                      <a:avLst/>
                    </a:prstGeom>
                    <a:noFill/>
                    <a:ln w="9525">
                      <a:noFill/>
                      <a:miter lim="800000"/>
                      <a:headEnd/>
                      <a:tailEnd/>
                    </a:ln>
                  </pic:spPr>
                </pic:pic>
              </a:graphicData>
            </a:graphic>
          </wp:inline>
        </w:drawing>
      </w:r>
    </w:p>
    <w:p w:rsidR="000574FF" w:rsidRPr="001620E2" w:rsidRDefault="000574FF" w:rsidP="000574FF">
      <w:pPr>
        <w:pStyle w:val="Caption"/>
        <w:jc w:val="center"/>
      </w:pPr>
      <w:bookmarkStart w:id="76" w:name="_Ref442869875"/>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4</w:t>
      </w:r>
      <w:r w:rsidR="0075172E">
        <w:fldChar w:fldCharType="end"/>
      </w:r>
      <w:bookmarkEnd w:id="76"/>
      <w:r>
        <w:t>: Proanthocyanidin tetramer</w:t>
      </w:r>
    </w:p>
    <w:p w:rsidR="000574FF" w:rsidRDefault="000574FF" w:rsidP="000574FF">
      <w:pPr>
        <w:spacing w:line="480" w:lineRule="auto"/>
        <w:jc w:val="both"/>
      </w:pPr>
      <w:r w:rsidRPr="001620E2">
        <w:t xml:space="preserve">Examination of </w:t>
      </w:r>
      <w:r>
        <w:t>proanthocyanidins</w:t>
      </w:r>
      <w:r w:rsidRPr="001620E2">
        <w:t xml:space="preserve">-protein interactions using </w:t>
      </w:r>
      <w:r w:rsidR="00A47192">
        <w:t>I</w:t>
      </w:r>
      <w:r w:rsidR="005C77A3" w:rsidRPr="001620E2">
        <w:t xml:space="preserve">sothermal Titration Calorimetry </w:t>
      </w:r>
      <w:r w:rsidRPr="001620E2">
        <w:t xml:space="preserve">(ITC), </w:t>
      </w:r>
      <w:r w:rsidR="005C77A3" w:rsidRPr="001620E2">
        <w:t>Dynamic Light Scat</w:t>
      </w:r>
      <w:r w:rsidR="005C77A3">
        <w:t>tering (DLS), Molecular Dynamic Simulations</w:t>
      </w:r>
      <w:r w:rsidR="005C77A3" w:rsidRPr="001620E2">
        <w:t xml:space="preserve"> </w:t>
      </w:r>
      <w:r w:rsidRPr="001620E2">
        <w:t>(MD</w:t>
      </w:r>
      <w:r w:rsidR="005C77A3">
        <w:t>S</w:t>
      </w:r>
      <w:r w:rsidRPr="001620E2">
        <w:t xml:space="preserve">) and </w:t>
      </w:r>
      <w:r w:rsidR="005C77A3" w:rsidRPr="001620E2">
        <w:t xml:space="preserve">Nuclear Magnetic Resonance </w:t>
      </w:r>
      <w:r w:rsidRPr="001620E2">
        <w:t xml:space="preserve">(NMR) </w:t>
      </w:r>
      <w:r>
        <w:t xml:space="preserve">spectroscopy </w:t>
      </w:r>
      <w:r w:rsidRPr="001620E2">
        <w:t>has shown a complex protein-tannin structure activity relationshi</w:t>
      </w:r>
      <w:r>
        <w:t>p.</w:t>
      </w:r>
      <w:r w:rsidR="0075172E" w:rsidRPr="001620E2">
        <w:fldChar w:fldCharType="begin">
          <w:fldData xml:space="preserve">PEVuZE5vdGU+PENpdGU+PEF1dGhvcj5DaGFybHRvbjwvQXV0aG9yPjxZZWFyPjIwMDI8L1llYXI+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</w:fldData>
        </w:fldChar>
      </w:r>
      <w:r w:rsidR="006421D1">
        <w:instrText xml:space="preserve"> ADDIN EN.CITE </w:instrText>
      </w:r>
      <w:r w:rsidR="0075172E">
        <w:fldChar w:fldCharType="begin">
          <w:fldData xml:space="preserve">PEVuZE5vdGU+PENpdGU+PEF1dGhvcj5DaGFybHRvbjwvQXV0aG9yPjxZZWFyPjIwMDI8L1llYXI+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</w:fldData>
        </w:fldChar>
      </w:r>
      <w:r w:rsidR="006421D1">
        <w:instrText xml:space="preserve"> ADDIN EN.CITE.DATA </w:instrText>
      </w:r>
      <w:r w:rsidR="0075172E">
        <w:fldChar w:fldCharType="end"/>
      </w:r>
      <w:r w:rsidR="0075172E" w:rsidRPr="001620E2">
        <w:fldChar w:fldCharType="separate"/>
      </w:r>
      <w:hyperlink w:anchor="_ENREF_147" w:tooltip="Pascal, 2007 #411" w:history="1">
        <w:r w:rsidR="00512D09" w:rsidRPr="006421D1">
          <w:rPr>
            <w:noProof/>
            <w:vertAlign w:val="superscript"/>
          </w:rPr>
          <w:t>147</w:t>
        </w:r>
      </w:hyperlink>
      <w:r w:rsidR="006421D1" w:rsidRPr="006421D1">
        <w:rPr>
          <w:noProof/>
          <w:vertAlign w:val="superscript"/>
        </w:rPr>
        <w:t>,</w:t>
      </w:r>
      <w:hyperlink w:anchor="_ENREF_148" w:tooltip="Charlton, 2002 #404" w:history="1">
        <w:r w:rsidR="00512D09" w:rsidRPr="006421D1">
          <w:rPr>
            <w:noProof/>
            <w:vertAlign w:val="superscript"/>
          </w:rPr>
          <w:t>148</w:t>
        </w:r>
      </w:hyperlink>
      <w:r w:rsidR="006421D1" w:rsidRPr="006421D1">
        <w:rPr>
          <w:noProof/>
          <w:vertAlign w:val="superscript"/>
        </w:rPr>
        <w:t>,</w:t>
      </w:r>
      <w:hyperlink w:anchor="_ENREF_196" w:tooltip="Cala, 2012 #421" w:history="1">
        <w:r w:rsidR="00512D09" w:rsidRPr="006421D1">
          <w:rPr>
            <w:noProof/>
            <w:vertAlign w:val="superscript"/>
          </w:rPr>
          <w:t>196</w:t>
        </w:r>
      </w:hyperlink>
      <w:r w:rsidR="0075172E" w:rsidRPr="001620E2">
        <w:fldChar w:fldCharType="end"/>
      </w:r>
      <w:r w:rsidRPr="001620E2">
        <w:t xml:space="preserve">  Flexible proline rich proteins have high affinity for tannins. Procyanidin dimers, which are polymers of catechin, were shown to bind to the hydrophilic and not hydrophobic side of a proline rich peptide  IB7</w:t>
      </w:r>
      <w:r w:rsidRPr="001620E2">
        <w:rPr>
          <w:vertAlign w:val="subscript"/>
        </w:rPr>
        <w:t>14</w:t>
      </w:r>
      <w:r w:rsidRPr="001620E2">
        <w:t xml:space="preserve"> using a combined NMR and </w:t>
      </w:r>
      <w:r w:rsidR="005C77A3">
        <w:t>MDS</w:t>
      </w:r>
      <w:r w:rsidRPr="001620E2">
        <w:t>, suggesting that the association was driven by hydrogen bonding</w:t>
      </w:r>
      <w:r>
        <w:t>.</w:t>
      </w:r>
      <w:r w:rsidRPr="001620E2">
        <w:t xml:space="preserve"> </w:t>
      </w:r>
      <w:hyperlink w:anchor="_ENREF_197" w:tooltip="Simon, 2003 #439" w:history="1">
        <w:r w:rsidR="00512D09" w:rsidRPr="001620E2">
          <w:fldChar w:fldCharType="begin"/>
        </w:r>
        <w:r w:rsidR="00512D09">
          <w:instrText xml:space="preserve"> ADDIN EN.CITE &lt;EndNote&gt;&lt;Cite&gt;&lt;Author&gt;Simon&lt;/Author&gt;&lt;Year&gt;2003&lt;/Year&gt;&lt;RecNum&gt;439&lt;/RecNum&gt;&lt;DisplayText&gt;&lt;style face="superscript"&gt;197&lt;/style&gt;&lt;/DisplayText&gt;&lt;record&gt;&lt;rec-number&gt;439&lt;/rec-number&gt;&lt;foreign-keys&gt;&lt;key app="EN" db-id="5trrespwzsdr07efd5tx2w96x22re9s0fsdt"&gt;439&lt;/key&gt;&lt;/foreign-keys&gt;&lt;ref-type name="Journal Article"&gt;17&lt;/ref-type&gt;&lt;contributors&gt;&lt;authors&gt;&lt;author&gt;Simon, Cécile&lt;/author&gt;&lt;author&gt;Barathieu, Karine&lt;/author&gt;&lt;author&gt;Laguerre, Michel&lt;/author&gt;&lt;author&gt;Schmitter, Jean-Marie&lt;/author&gt;&lt;author&gt;Fouquet, Eric&lt;/author&gt;&lt;author&gt;Pianet, Isabelle&lt;/author&gt;&lt;author&gt;Dufourc, Erick J.&lt;/author&gt;&lt;/authors&gt;&lt;/contributors&gt;&lt;titles&gt;&lt;title&gt;Three-Dimensional Structure and Dynamics of Wine Tannin−Saliva Protein Complexes. A Multitechnique Approach†&lt;/title&gt;&lt;secondary-title&gt;Biochemistry&lt;/secondary-title&gt;&lt;/titles&gt;&lt;periodical&gt;&lt;full-title&gt;Biochemistry&lt;/full-title&gt;&lt;abbr-1&gt;Biochemistry&lt;/abbr-1&gt;&lt;/periodical&gt;&lt;pages&gt;10385-10395&lt;/pages&gt;&lt;volume&gt;42&lt;/volume&gt;&lt;number&gt;35&lt;/number&gt;&lt;dates&gt;&lt;year&gt;2003&lt;/year&gt;&lt;pub-dates&gt;&lt;date&gt;2003/09/01&lt;/date&gt;&lt;/pub-dates&gt;&lt;/dates&gt;&lt;publisher&gt;American Chemical Society&lt;/publisher&gt;&lt;isbn&gt;0006-2960&lt;/isbn&gt;&lt;urls&gt;&lt;related-urls&gt;&lt;url&gt;http://dx.doi.org/10.1021/bi034354p&lt;/url&gt;&lt;/related-urls&gt;&lt;/urls&gt;&lt;electronic-resource-num&gt;10.1021/bi034354p&lt;/electronic-resource-num&gt;&lt;access-date&gt;2014/10/22&lt;/access-date&gt;&lt;/record&gt;&lt;/Cite&gt;&lt;/EndNote&gt;</w:instrText>
        </w:r>
        <w:r w:rsidR="00512D09" w:rsidRPr="001620E2">
          <w:fldChar w:fldCharType="separate"/>
        </w:r>
        <w:r w:rsidR="00512D09" w:rsidRPr="006421D1">
          <w:rPr>
            <w:noProof/>
            <w:vertAlign w:val="superscript"/>
          </w:rPr>
          <w:t>197</w:t>
        </w:r>
        <w:r w:rsidR="00512D09" w:rsidRPr="001620E2">
          <w:fldChar w:fldCharType="end"/>
        </w:r>
      </w:hyperlink>
      <w:r w:rsidRPr="001620E2">
        <w:t xml:space="preserve"> </w:t>
      </w:r>
    </w:p>
    <w:p w:rsidR="000574FF" w:rsidRDefault="000574FF" w:rsidP="000574FF">
      <w:pPr>
        <w:spacing w:line="480" w:lineRule="auto"/>
        <w:jc w:val="both"/>
        <w:rPr>
          <w:bCs/>
        </w:rPr>
      </w:pPr>
      <w:r>
        <w:t>Polyproline has been utilised in many tannin binding studies because of its simple secondary helical structure consisting of proline residues (</w:t>
      </w:r>
      <w:r w:rsidR="0075172E">
        <w:fldChar w:fldCharType="begin"/>
      </w:r>
      <w:r w:rsidR="00911A38">
        <w:instrText xml:space="preserve"> REF _Ref442869904 \h </w:instrText>
      </w:r>
      <w:r w:rsidR="0075172E">
        <w:fldChar w:fldCharType="separate"/>
      </w:r>
      <w:r w:rsidR="00CB4EDC">
        <w:t xml:space="preserve">Figure </w:t>
      </w:r>
      <w:r w:rsidR="00CB4EDC">
        <w:rPr>
          <w:noProof/>
        </w:rPr>
        <w:t>3</w:t>
      </w:r>
      <w:r w:rsidR="00CB4EDC">
        <w:t>.</w:t>
      </w:r>
      <w:r w:rsidR="00CB4EDC">
        <w:rPr>
          <w:noProof/>
        </w:rPr>
        <w:t>5</w:t>
      </w:r>
      <w:r w:rsidR="0075172E">
        <w:fldChar w:fldCharType="end"/>
      </w:r>
      <w:r>
        <w:t xml:space="preserve">). </w:t>
      </w:r>
      <w:r w:rsidRPr="00741A3B">
        <w:rPr>
          <w:bCs/>
        </w:rPr>
        <w:t>This structure is distinct from the two major structures found in folded globular proteins, the α-helix and the β-pleated sheet and although less common, it is found in a number of folded and unfolded proteins</w:t>
      </w:r>
      <w:r w:rsidR="005C77A3">
        <w:rPr>
          <w:bCs/>
        </w:rPr>
        <w:t>.</w:t>
      </w:r>
      <w:hyperlink w:anchor="_ENREF_198" w:tooltip="Adzhubei, 2013 #560" w:history="1">
        <w:r w:rsidR="00512D09" w:rsidRPr="00741A3B">
          <w:rPr>
            <w:bCs/>
          </w:rPr>
          <w:fldChar w:fldCharType="begin"/>
        </w:r>
        <w:r w:rsidR="00512D09">
          <w:rPr>
            <w:bCs/>
          </w:rPr>
          <w:instrText xml:space="preserve"> ADDIN EN.CITE &lt;EndNote&gt;&lt;Cite&gt;&lt;Author&gt;Adzhubei&lt;/Author&gt;&lt;Year&gt;2013&lt;/Year&gt;&lt;RecNum&gt;560&lt;/RecNum&gt;&lt;DisplayText&gt;&lt;style face="superscript"&gt;198&lt;/style&gt;&lt;/DisplayText&gt;&lt;record&gt;&lt;rec-number&gt;560&lt;/rec-number&gt;&lt;foreign-keys&gt;&lt;key app="EN" db-id="5trrespwzsdr07efd5tx2w96x22re9s0fsdt"&gt;560&lt;/key&gt;&lt;/foreign-keys&gt;&lt;ref-type name="Journal Article"&gt;17&lt;/ref-type&gt;&lt;contributors&gt;&lt;authors&gt;&lt;author&gt;Adzhubei, Alexei A.&lt;/author&gt;&lt;author&gt;Sternberg, Michael J. E.&lt;/author&gt;&lt;author&gt;Makarov, Alexander A.&lt;/author&gt;&lt;/authors&gt;&lt;/contributors&gt;&lt;titles&gt;&lt;title&gt;Polyproline-II Helix in Proteins: Structure and Function&lt;/title&gt;&lt;secondary-title&gt;Journal of Molecular Biology&lt;/secondary-title&gt;&lt;/titles&gt;&lt;periodical&gt;&lt;full-title&gt;Journal of Molecular Biology&lt;/full-title&gt;&lt;/periodical&gt;&lt;pages&gt;2100-2132&lt;/pages&gt;&lt;volume&gt;425&lt;/volume&gt;&lt;number&gt;12&lt;/number&gt;&lt;keywords&gt;&lt;keyword&gt;PPII conformation&lt;/keyword&gt;&lt;keyword&gt;extended left-handed helix&lt;/keyword&gt;&lt;keyword&gt;secondary structure&lt;/keyword&gt;&lt;keyword&gt;protein interactions&lt;/keyword&gt;&lt;keyword&gt;folded and unfolded proteins&lt;/keyword&gt;&lt;/keywords&gt;&lt;dates&gt;&lt;year&gt;2013&lt;/year&gt;&lt;/dates&gt;&lt;isbn&gt;0022-2836&lt;/isbn&gt;&lt;urls&gt;&lt;related-urls&gt;&lt;url&gt;http://www.sciencedirect.com/science/article/pii/S0022283613001666&lt;/url&gt;&lt;/related-urls&gt;&lt;/urls&gt;&lt;electronic-resource-num&gt;http://dx.doi.org/10.1016/j.jmb.2013.03.018&lt;/electronic-resource-num&gt;&lt;/record&gt;&lt;/Cite&gt;&lt;/EndNote&gt;</w:instrText>
        </w:r>
        <w:r w:rsidR="00512D09" w:rsidRPr="00741A3B">
          <w:rPr>
            <w:bCs/>
          </w:rPr>
          <w:fldChar w:fldCharType="separate"/>
        </w:r>
        <w:r w:rsidR="00512D09" w:rsidRPr="006421D1">
          <w:rPr>
            <w:bCs/>
            <w:noProof/>
            <w:vertAlign w:val="superscript"/>
          </w:rPr>
          <w:t>198</w:t>
        </w:r>
        <w:r w:rsidR="00512D09" w:rsidRPr="00741A3B">
          <w:fldChar w:fldCharType="end"/>
        </w:r>
      </w:hyperlink>
      <w:r w:rsidRPr="00741A3B">
        <w:rPr>
          <w:bCs/>
        </w:rPr>
        <w:t xml:space="preserve"> </w:t>
      </w:r>
      <w:r>
        <w:rPr>
          <w:bCs/>
        </w:rPr>
        <w:t xml:space="preserve">Unlike the α-helix, the type II polyproline helix is left handed.  </w:t>
      </w:r>
    </w:p>
    <w:p w:rsidR="000574FF" w:rsidRDefault="000574FF" w:rsidP="000574FF">
      <w:pPr>
        <w:spacing w:line="480" w:lineRule="auto"/>
        <w:jc w:val="both"/>
        <w:rPr>
          <w:bCs/>
        </w:rPr>
      </w:pPr>
      <w:r w:rsidRPr="006B4D5B">
        <w:rPr>
          <w:bCs/>
        </w:rPr>
        <w:t xml:space="preserve">Among the 20 common amino acids, the proline residue is generally held to be a good binding site as it provides a flat, rigid, hydrophobic surface that is favourable to interactions </w:t>
      </w:r>
      <w:r w:rsidRPr="006B4D5B">
        <w:rPr>
          <w:bCs/>
        </w:rPr>
        <w:lastRenderedPageBreak/>
        <w:t>with hydrophobic polyphenol rings</w:t>
      </w:r>
      <w:r>
        <w:rPr>
          <w:bCs/>
        </w:rPr>
        <w:t>.</w:t>
      </w:r>
      <w:r w:rsidR="0075172E" w:rsidRPr="006B4D5B">
        <w:rPr>
          <w:bCs/>
        </w:rPr>
        <w:fldChar w:fldCharType="begin">
          <w:fldData xml:space="preserve">PEVuZE5vdGU+PENpdGU+PEF1dGhvcj5CYXh0ZXI8L0F1dGhvcj48WWVhcj4xOTk3PC9ZZWFyPjxS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</w:fldData>
        </w:fldChar>
      </w:r>
      <w:r w:rsidR="006421D1">
        <w:rPr>
          <w:bCs/>
        </w:rPr>
        <w:instrText xml:space="preserve"> ADDIN EN.CITE </w:instrText>
      </w:r>
      <w:r w:rsidR="0075172E">
        <w:rPr>
          <w:bCs/>
        </w:rPr>
        <w:fldChar w:fldCharType="begin">
          <w:fldData xml:space="preserve">PEVuZE5vdGU+PENpdGU+PEF1dGhvcj5CYXh0ZXI8L0F1dGhvcj48WWVhcj4xOTk3PC9ZZWFyPjxS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</w:fldData>
        </w:fldChar>
      </w:r>
      <w:r w:rsidR="006421D1">
        <w:rPr>
          <w:bCs/>
        </w:rPr>
        <w:instrText xml:space="preserve"> ADDIN EN.CITE.DATA </w:instrText>
      </w:r>
      <w:r w:rsidR="0075172E">
        <w:rPr>
          <w:bCs/>
        </w:rPr>
      </w:r>
      <w:r w:rsidR="0075172E">
        <w:rPr>
          <w:bCs/>
        </w:rPr>
        <w:fldChar w:fldCharType="end"/>
      </w:r>
      <w:r w:rsidR="0075172E" w:rsidRPr="006B4D5B">
        <w:rPr>
          <w:bCs/>
        </w:rPr>
      </w:r>
      <w:r w:rsidR="0075172E" w:rsidRPr="006B4D5B">
        <w:rPr>
          <w:bCs/>
        </w:rPr>
        <w:fldChar w:fldCharType="separate"/>
      </w:r>
      <w:hyperlink w:anchor="_ENREF_148" w:tooltip="Charlton, 2002 #404" w:history="1">
        <w:r w:rsidR="00512D09" w:rsidRPr="006421D1">
          <w:rPr>
            <w:bCs/>
            <w:noProof/>
            <w:vertAlign w:val="superscript"/>
          </w:rPr>
          <w:t>148</w:t>
        </w:r>
      </w:hyperlink>
      <w:r w:rsidR="006421D1" w:rsidRPr="006421D1">
        <w:rPr>
          <w:bCs/>
          <w:noProof/>
          <w:vertAlign w:val="superscript"/>
        </w:rPr>
        <w:t>,</w:t>
      </w:r>
      <w:hyperlink w:anchor="_ENREF_199" w:tooltip="Baxter, 1997 #417" w:history="1">
        <w:r w:rsidR="00512D09" w:rsidRPr="006421D1">
          <w:rPr>
            <w:bCs/>
            <w:noProof/>
            <w:vertAlign w:val="superscript"/>
          </w:rPr>
          <w:t>199</w:t>
        </w:r>
      </w:hyperlink>
      <w:r w:rsidR="006421D1" w:rsidRPr="006421D1">
        <w:rPr>
          <w:bCs/>
          <w:noProof/>
          <w:vertAlign w:val="superscript"/>
        </w:rPr>
        <w:t>,</w:t>
      </w:r>
      <w:hyperlink w:anchor="_ENREF_200" w:tooltip="Charlton, 1996 #447" w:history="1">
        <w:r w:rsidR="00512D09" w:rsidRPr="006421D1">
          <w:rPr>
            <w:bCs/>
            <w:noProof/>
            <w:vertAlign w:val="superscript"/>
          </w:rPr>
          <w:t>200</w:t>
        </w:r>
      </w:hyperlink>
      <w:r w:rsidR="0075172E" w:rsidRPr="006B4D5B">
        <w:rPr>
          <w:bCs/>
        </w:rPr>
        <w:fldChar w:fldCharType="end"/>
      </w:r>
      <w:r w:rsidRPr="006B4D5B">
        <w:rPr>
          <w:bCs/>
        </w:rPr>
        <w:t xml:space="preserve"> Oh </w:t>
      </w:r>
      <w:r w:rsidRPr="006B4D5B">
        <w:rPr>
          <w:bCs/>
          <w:i/>
        </w:rPr>
        <w:t>et al</w:t>
      </w:r>
      <w:r w:rsidR="002D4FF8">
        <w:rPr>
          <w:bCs/>
          <w:i/>
        </w:rPr>
        <w:t>.</w:t>
      </w:r>
      <w:r w:rsidRPr="006B4D5B">
        <w:rPr>
          <w:bCs/>
        </w:rPr>
        <w:t xml:space="preserve"> suggested hydrogen bonding and hydrophobic interaction to the principal driving forces for binding between polyproline and a mixture of proanthocyanidins</w:t>
      </w:r>
      <w:r>
        <w:rPr>
          <w:bCs/>
        </w:rPr>
        <w:t>.</w:t>
      </w:r>
      <w:hyperlink w:anchor="_ENREF_185" w:tooltip="Oh, 1980 #459" w:history="1">
        <w:r w:rsidR="00512D09" w:rsidRPr="006B4D5B">
          <w:rPr>
            <w:bCs/>
          </w:rPr>
          <w:fldChar w:fldCharType="begin"/>
        </w:r>
        <w:r w:rsidR="00512D09">
          <w:rPr>
            <w:bCs/>
          </w:rPr>
          <w:instrText xml:space="preserve"> ADDIN EN.CITE &lt;EndNote&gt;&lt;Cite&gt;&lt;Author&gt;Oh&lt;/Author&gt;&lt;Year&gt;1980&lt;/Year&gt;&lt;RecNum&gt;459&lt;/RecNum&gt;&lt;DisplayText&gt;&lt;style face="superscript"&gt;185&lt;/style&gt;&lt;/DisplayText&gt;&lt;record&gt;&lt;rec-number&gt;459&lt;/rec-number&gt;&lt;foreign-keys&gt;&lt;key app="EN" db-id="5trrespwzsdr07efd5tx2w96x22re9s0fsdt"&gt;459&lt;/key&gt;&lt;/foreign-keys&gt;&lt;ref-type name="Journal Article"&gt;17&lt;/ref-type&gt;&lt;contributors&gt;&lt;authors&gt;&lt;author&gt;Oh, Hoon Il&lt;/author&gt;&lt;author&gt;Hoff, Johan E.&lt;/author&gt;&lt;author&gt;Armstrong, Glenn S.&lt;/author&gt;&lt;author&gt;Haff, Lawrence A.&lt;/author&gt;&lt;/authors&gt;&lt;/contributors&gt;&lt;titles&gt;&lt;title&gt;Hydrophobic interaction in tannin-protein complexes&lt;/title&gt;&lt;secondary-title&gt;Journal of Agricultural and Food Chemistry&lt;/secondary-title&gt;&lt;/titles&gt;&lt;periodical&gt;&lt;full-title&gt;Journal of Agricultural and Food Chemistry&lt;/full-title&gt;&lt;/periodical&gt;&lt;pages&gt;394-398&lt;/pages&gt;&lt;volume&gt;28&lt;/volume&gt;&lt;number&gt;2&lt;/number&gt;&lt;dates&gt;&lt;year&gt;1980&lt;/year&gt;&lt;pub-dates&gt;&lt;date&gt;1980/03/01&lt;/date&gt;&lt;/pub-dates&gt;&lt;/dates&gt;&lt;publisher&gt;American Chemical Society&lt;/publisher&gt;&lt;isbn&gt;0021-8561&lt;/isbn&gt;&lt;urls&gt;&lt;related-urls&gt;&lt;url&gt;http://dx.doi.org/10.1021/jf60228a020&lt;/url&gt;&lt;/related-urls&gt;&lt;/urls&gt;&lt;electronic-resource-num&gt;10.1021/jf60228a020&lt;/electronic-resource-num&gt;&lt;access-date&gt;2014/10/31&lt;/access-date&gt;&lt;/record&gt;&lt;/Cite&gt;&lt;/EndNote&gt;</w:instrText>
        </w:r>
        <w:r w:rsidR="00512D09" w:rsidRPr="006B4D5B">
          <w:rPr>
            <w:bCs/>
          </w:rPr>
          <w:fldChar w:fldCharType="separate"/>
        </w:r>
        <w:r w:rsidR="00512D09" w:rsidRPr="006421D1">
          <w:rPr>
            <w:bCs/>
            <w:noProof/>
            <w:vertAlign w:val="superscript"/>
          </w:rPr>
          <w:t>185</w:t>
        </w:r>
        <w:r w:rsidR="00512D09" w:rsidRPr="006B4D5B">
          <w:rPr>
            <w:bCs/>
          </w:rPr>
          <w:fldChar w:fldCharType="end"/>
        </w:r>
      </w:hyperlink>
      <w:r w:rsidRPr="006B4D5B">
        <w:rPr>
          <w:bCs/>
        </w:rPr>
        <w:t xml:space="preserve"> Tannin-peptide formation increased with increasing temperature and ionic strength which is indicative of hydrophobic interactions.</w:t>
      </w:r>
    </w:p>
    <w:p w:rsidR="000574FF" w:rsidRDefault="000574FF" w:rsidP="000574FF">
      <w:pPr>
        <w:keepNext/>
        <w:spacing w:line="480" w:lineRule="auto"/>
        <w:jc w:val="center"/>
      </w:pPr>
      <w:r>
        <w:rPr>
          <w:bCs/>
          <w:noProof/>
          <w:lang w:eastAsia="en-GB"/>
        </w:rPr>
        <w:drawing>
          <wp:inline distT="0" distB="0" distL="0" distR="0" wp14:anchorId="0A9BE9FB" wp14:editId="1A6C0878">
            <wp:extent cx="3024000" cy="1901497"/>
            <wp:effectExtent l="19050" t="0" r="495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3024000" cy="1901497"/>
                    </a:xfrm>
                    <a:prstGeom prst="rect">
                      <a:avLst/>
                    </a:prstGeom>
                    <a:noFill/>
                    <a:ln w="9525">
                      <a:noFill/>
                      <a:miter lim="800000"/>
                      <a:headEnd/>
                      <a:tailEnd/>
                    </a:ln>
                  </pic:spPr>
                </pic:pic>
              </a:graphicData>
            </a:graphic>
          </wp:inline>
        </w:drawing>
      </w:r>
    </w:p>
    <w:p w:rsidR="000574FF" w:rsidRDefault="000574FF" w:rsidP="000574FF">
      <w:pPr>
        <w:pStyle w:val="Caption"/>
        <w:jc w:val="center"/>
        <w:rPr>
          <w:bCs w:val="0"/>
        </w:rPr>
      </w:pPr>
      <w:bookmarkStart w:id="77" w:name="_Ref442869904"/>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5</w:t>
      </w:r>
      <w:r w:rsidR="0075172E">
        <w:fldChar w:fldCharType="end"/>
      </w:r>
      <w:bookmarkEnd w:id="77"/>
      <w:r>
        <w:t xml:space="preserve">: Left handed polyproline II helix adapted from Dvir </w:t>
      </w:r>
      <w:r w:rsidRPr="002D4FF8">
        <w:rPr>
          <w:i/>
        </w:rPr>
        <w:t>et al</w:t>
      </w:r>
      <w:r w:rsidR="002D4FF8">
        <w:rPr>
          <w:i/>
        </w:rPr>
        <w:t>.</w:t>
      </w:r>
      <w:r>
        <w:t xml:space="preserve"> </w:t>
      </w:r>
      <w:hyperlink w:anchor="_ENREF_201" w:tooltip="Dvir, 2004 #706" w:history="1">
        <w:r w:rsidR="00512D09">
          <w:fldChar w:fldCharType="begin"/>
        </w:r>
        <w:r w:rsidR="00512D09">
          <w:instrText xml:space="preserve"> ADDIN EN.CITE &lt;EndNote&gt;&lt;Cite&gt;&lt;Author&gt;Dvir&lt;/Author&gt;&lt;Year&gt;2004&lt;/Year&gt;&lt;RecNum&gt;706&lt;/RecNum&gt;&lt;DisplayText&gt;&lt;style face="superscript"&gt;201&lt;/style&gt;&lt;/DisplayText&gt;&lt;record&gt;&lt;rec-number&gt;706&lt;/rec-number&gt;&lt;foreign-keys&gt;&lt;key app="EN" db-id="5trrespwzsdr07efd5tx2w96x22re9s0fsdt"&gt;706&lt;/key&gt;&lt;/foreign-keys&gt;&lt;ref-type name="Journal Article"&gt;17&lt;/ref-type&gt;&lt;contributors&gt;&lt;authors&gt;&lt;author&gt;Dvir, Hay&lt;/author&gt;&lt;author&gt;Harel, Michal&lt;/author&gt;&lt;author&gt;Bon, Suzanne&lt;/author&gt;&lt;author&gt;Liu, Wang‐Qing&lt;/author&gt;&lt;author&gt;Vidal, Michel&lt;/author&gt;&lt;author&gt;Garbay, Christiane&lt;/author&gt;&lt;author&gt;Sussman, Joel L&lt;/author&gt;&lt;author&gt;Massoulié, Jean&lt;/author&gt;&lt;author&gt;Silman, Israel&lt;/author&gt;&lt;/authors&gt;&lt;/contributors&gt;&lt;titles&gt;&lt;title&gt;The synaptic acetylcholinesterase tetramer assembles around a polyproline II helix&lt;/title&gt;&lt;secondary-title&gt;The EMBO Journal&lt;/secondary-title&gt;&lt;/titles&gt;&lt;periodical&gt;&lt;full-title&gt;The EMBO Journal&lt;/full-title&gt;&lt;/periodical&gt;&lt;pages&gt;4394-4405&lt;/pages&gt;&lt;volume&gt;23&lt;/volume&gt;&lt;number&gt;22&lt;/number&gt;&lt;dates&gt;&lt;year&gt;2004&lt;/year&gt;&lt;pub-dates&gt;&lt;date&gt;2004-11-10 00:00:00&lt;/date&gt;&lt;/pub-dates&gt;&lt;/dates&gt;&lt;urls&gt;&lt;related-urls&gt;&lt;url&gt;http://emboj.embopress.org/embojnl/23/22/4394.full.pdf&lt;/url&gt;&lt;/related-urls&gt;&lt;/urls&gt;&lt;electronic-resource-num&gt;10.1038/sj.emboj.7600425&lt;/electronic-resource-num&gt;&lt;/record&gt;&lt;/Cite&gt;&lt;/EndNote&gt;</w:instrText>
        </w:r>
        <w:r w:rsidR="00512D09">
          <w:fldChar w:fldCharType="separate"/>
        </w:r>
        <w:r w:rsidR="00512D09" w:rsidRPr="006421D1">
          <w:rPr>
            <w:noProof/>
            <w:vertAlign w:val="superscript"/>
          </w:rPr>
          <w:t>201</w:t>
        </w:r>
        <w:r w:rsidR="00512D09">
          <w:fldChar w:fldCharType="end"/>
        </w:r>
      </w:hyperlink>
    </w:p>
    <w:p w:rsidR="00647082" w:rsidRDefault="00647082" w:rsidP="00647082">
      <w:pPr>
        <w:spacing w:line="480" w:lineRule="auto"/>
        <w:jc w:val="both"/>
      </w:pPr>
      <w:r w:rsidRPr="001620E2">
        <w:t xml:space="preserve">No enthalpy change was measured when epicatechin and catechin were titrated into </w:t>
      </w:r>
      <w:r>
        <w:t xml:space="preserve">polyproline </w:t>
      </w:r>
      <w:r w:rsidRPr="001620E2">
        <w:t>using ITC</w:t>
      </w:r>
      <w:r>
        <w:t>.</w:t>
      </w:r>
      <w:r w:rsidRPr="001620E2">
        <w:t xml:space="preserve"> </w:t>
      </w:r>
      <w:hyperlink w:anchor="_ENREF_144" w:tooltip="Poncet-Legrand, 2007 #425" w:history="1">
        <w:r w:rsidR="00512D09" w:rsidRPr="001620E2">
          <w:fldChar w:fldCharType="begin"/>
        </w:r>
        <w:r w:rsidR="00512D09">
          <w:instrText xml:space="preserve"> ADDIN EN.CITE &lt;EndNote&gt;&lt;Cite&gt;&lt;Author&gt;Poncet-Legrand&lt;/Author&gt;&lt;Year&gt;2007&lt;/Year&gt;&lt;RecNum&gt;425&lt;/RecNum&gt;&lt;DisplayText&gt;&lt;style face="superscript"&gt;144&lt;/style&gt;&lt;/DisplayText&gt;&lt;record&gt;&lt;rec-number&gt;425&lt;/rec-number&gt;&lt;foreign-keys&gt;&lt;key app="EN" db-id="5trrespwzsdr07efd5tx2w96x22re9s0fsdt"&gt;425&lt;/key&gt;&lt;/foreign-keys&gt;&lt;ref-type name="Journal Article"&gt;17&lt;/ref-type&gt;&lt;contributors&gt;&lt;authors&gt;&lt;author&gt;Poncet-Legrand, Céline&lt;/author&gt;&lt;author&gt;Gautier, Catherine&lt;/author&gt;&lt;author&gt;Cheynier, Véronique&lt;/author&gt;&lt;author&gt;Imberty, Anne&lt;/author&gt;&lt;/authors&gt;&lt;/contributors&gt;&lt;titles&gt;&lt;title&gt;Interactions between flavan-3-ols and poly (L-proline) studied by isothermal titration calorimetry: effect of the tannin structure&lt;/title&gt;&lt;secondary-title&gt;Journal of Agricultural and Food Chemistry&lt;/secondary-title&gt;&lt;/titles&gt;&lt;periodical&gt;&lt;full-title&gt;Journal of Agricultural and Food Chemistry&lt;/full-title&gt;&lt;/periodical&gt;&lt;pages&gt;9235-9240&lt;/pages&gt;&lt;volume&gt;55&lt;/volume&gt;&lt;number&gt;22&lt;/number&gt;&lt;dates&gt;&lt;year&gt;2007&lt;/year&gt;&lt;/dates&gt;&lt;isbn&gt;0021-8561&lt;/isbn&gt;&lt;urls&gt;&lt;/urls&gt;&lt;/record&gt;&lt;/Cite&gt;&lt;/EndNote&gt;</w:instrText>
        </w:r>
        <w:r w:rsidR="00512D09" w:rsidRPr="001620E2">
          <w:fldChar w:fldCharType="separate"/>
        </w:r>
        <w:r w:rsidR="00512D09" w:rsidRPr="00F80CAD">
          <w:rPr>
            <w:noProof/>
            <w:vertAlign w:val="superscript"/>
          </w:rPr>
          <w:t>144</w:t>
        </w:r>
        <w:r w:rsidR="00512D09" w:rsidRPr="001620E2">
          <w:fldChar w:fldCharType="end"/>
        </w:r>
      </w:hyperlink>
      <w:r w:rsidRPr="001620E2">
        <w:t xml:space="preserve"> Upon galloylation of these monomers, ITC measured a strongly enthalpy driven interaction. Although the entropy change was rather minor, this did confirm the importance of the hydrophobic </w:t>
      </w:r>
      <w:r>
        <w:t>interaction</w:t>
      </w:r>
      <w:r w:rsidRPr="001620E2">
        <w:t xml:space="preserve"> in binding</w:t>
      </w:r>
      <w:r>
        <w:t>.</w:t>
      </w:r>
      <w:r w:rsidRPr="001620E2">
        <w:t xml:space="preserve"> </w:t>
      </w:r>
      <w:hyperlink w:anchor="_ENREF_144" w:tooltip="Poncet-Legrand, 2007 #425" w:history="1">
        <w:r w:rsidR="00512D09" w:rsidRPr="001620E2">
          <w:fldChar w:fldCharType="begin"/>
        </w:r>
        <w:r w:rsidR="00512D09">
          <w:instrText xml:space="preserve"> ADDIN EN.CITE &lt;EndNote&gt;&lt;Cite&gt;&lt;Author&gt;Poncet-Legrand&lt;/Author&gt;&lt;Year&gt;2007&lt;/Year&gt;&lt;RecNum&gt;425&lt;/RecNum&gt;&lt;DisplayText&gt;&lt;style face="superscript"&gt;144&lt;/style&gt;&lt;/DisplayText&gt;&lt;record&gt;&lt;rec-number&gt;425&lt;/rec-number&gt;&lt;foreign-keys&gt;&lt;key app="EN" db-id="5trrespwzsdr07efd5tx2w96x22re9s0fsdt"&gt;425&lt;/key&gt;&lt;/foreign-keys&gt;&lt;ref-type name="Journal Article"&gt;17&lt;/ref-type&gt;&lt;contributors&gt;&lt;authors&gt;&lt;author&gt;Poncet-Legrand, Céline&lt;/author&gt;&lt;author&gt;Gautier, Catherine&lt;/author&gt;&lt;author&gt;Cheynier, Véronique&lt;/author&gt;&lt;author&gt;Imberty, Anne&lt;/author&gt;&lt;/authors&gt;&lt;/contributors&gt;&lt;titles&gt;&lt;title&gt;Interactions between flavan-3-ols and poly (L-proline) studied by isothermal titration calorimetry: effect of the tannin structure&lt;/title&gt;&lt;secondary-title&gt;Journal of Agricultural and Food Chemistry&lt;/secondary-title&gt;&lt;/titles&gt;&lt;periodical&gt;&lt;full-title&gt;Journal of Agricultural and Food Chemistry&lt;/full-title&gt;&lt;/periodical&gt;&lt;pages&gt;9235-9240&lt;/pages&gt;&lt;volume&gt;55&lt;/volume&gt;&lt;number&gt;22&lt;/number&gt;&lt;dates&gt;&lt;year&gt;2007&lt;/year&gt;&lt;/dates&gt;&lt;isbn&gt;0021-8561&lt;/isbn&gt;&lt;urls&gt;&lt;/urls&gt;&lt;/record&gt;&lt;/Cite&gt;&lt;/EndNote&gt;</w:instrText>
        </w:r>
        <w:r w:rsidR="00512D09" w:rsidRPr="001620E2">
          <w:fldChar w:fldCharType="separate"/>
        </w:r>
        <w:r w:rsidR="00512D09" w:rsidRPr="00F80CAD">
          <w:rPr>
            <w:noProof/>
            <w:vertAlign w:val="superscript"/>
          </w:rPr>
          <w:t>144</w:t>
        </w:r>
        <w:r w:rsidR="00512D09" w:rsidRPr="001620E2">
          <w:fldChar w:fldCharType="end"/>
        </w:r>
      </w:hyperlink>
    </w:p>
    <w:p w:rsidR="00647082" w:rsidRDefault="00647082" w:rsidP="00647082">
      <w:pPr>
        <w:pStyle w:val="Heading3"/>
      </w:pPr>
      <w:bookmarkStart w:id="78" w:name="_Ref457231358"/>
      <w:bookmarkStart w:id="79" w:name="_Ref457231371"/>
      <w:bookmarkStart w:id="80" w:name="_Ref457231393"/>
      <w:bookmarkStart w:id="81" w:name="_Toc459130691"/>
      <w:r>
        <w:t>Binding modes</w:t>
      </w:r>
      <w:bookmarkEnd w:id="78"/>
      <w:bookmarkEnd w:id="79"/>
      <w:bookmarkEnd w:id="80"/>
      <w:bookmarkEnd w:id="81"/>
      <w:r>
        <w:t xml:space="preserve"> </w:t>
      </w:r>
    </w:p>
    <w:p w:rsidR="006C608B" w:rsidRDefault="006C608B" w:rsidP="00647082">
      <w:pPr>
        <w:spacing w:line="480" w:lineRule="auto"/>
        <w:jc w:val="both"/>
      </w:pPr>
    </w:p>
    <w:p w:rsidR="00647082" w:rsidRDefault="00647082" w:rsidP="00647082">
      <w:pPr>
        <w:spacing w:line="480" w:lineRule="auto"/>
        <w:jc w:val="both"/>
      </w:pPr>
      <w:r>
        <w:t>ITC has been used to determine a number of binding modes such as independent single site binding, multisite binding, competitive binding and cooperative binding.</w:t>
      </w:r>
      <w:hyperlink w:anchor="_ENREF_202" w:tooltip="Miller, 2014 #733" w:history="1">
        <w:r w:rsidR="00512D09">
          <w:fldChar w:fldCharType="begin">
            <w:fldData xml:space="preserve">PEVuZE5vdGU+PENpdGU+PEF1dGhvcj5NaWxsZXI8L0F1dGhvcj48WWVhcj4yMDE0PC9ZZWFyPjxS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</w:fldData>
          </w:fldChar>
        </w:r>
        <w:r w:rsidR="00512D09">
          <w:instrText xml:space="preserve"> ADDIN EN.CITE </w:instrText>
        </w:r>
        <w:r w:rsidR="00512D09">
          <w:fldChar w:fldCharType="begin">
            <w:fldData xml:space="preserve">PEVuZE5vdGU+PENpdGU+PEF1dGhvcj5NaWxsZXI8L0F1dGhvcj48WWVhcj4yMDE0PC9ZZWFyPjxS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</w:fldData>
          </w:fldChar>
        </w:r>
        <w:r w:rsidR="00512D09">
          <w:instrText xml:space="preserve"> ADDIN EN.CITE.DATA </w:instrText>
        </w:r>
        <w:r w:rsidR="00512D09">
          <w:fldChar w:fldCharType="end"/>
        </w:r>
        <w:r w:rsidR="00512D09">
          <w:fldChar w:fldCharType="separate"/>
        </w:r>
        <w:r w:rsidR="00512D09" w:rsidRPr="006421D1">
          <w:rPr>
            <w:noProof/>
            <w:vertAlign w:val="superscript"/>
          </w:rPr>
          <w:t>202-205</w:t>
        </w:r>
        <w:r w:rsidR="00512D09">
          <w:fldChar w:fldCharType="end"/>
        </w:r>
      </w:hyperlink>
      <w:r>
        <w:t xml:space="preserve"> </w:t>
      </w:r>
      <w:r w:rsidRPr="002A3979">
        <w:t>Allosteric cooperativity</w:t>
      </w:r>
      <w:r>
        <w:t xml:space="preserve">, a form of cooperativity exhibited by </w:t>
      </w:r>
      <w:r w:rsidRPr="002A3979">
        <w:t>proteins</w:t>
      </w:r>
      <w:r>
        <w:t>,</w:t>
      </w:r>
      <w:r w:rsidRPr="002A3979">
        <w:t xml:space="preserve"> describes how ligand binding at one site can indirectly affect the binding of a ligand to another site. It has remained a focal point of biochemistry for the past fifty years due to the role it plays in regulating metabolism. </w:t>
      </w:r>
      <w:r>
        <w:t>Two models were produced to describe allosteric behaviour: the KNF (</w:t>
      </w:r>
      <w:r w:rsidRPr="00C74596">
        <w:t>Koshland, Nemethy and Filmer</w:t>
      </w:r>
      <w:r>
        <w:t>)</w:t>
      </w:r>
      <w:hyperlink w:anchor="_ENREF_130" w:tooltip="Koshland Jr, 1966 #575" w:history="1">
        <w:r w:rsidR="00512D09">
          <w:fldChar w:fldCharType="begin"/>
        </w:r>
        <w:r w:rsidR="00512D09">
          <w:instrText xml:space="preserve"> ADDIN EN.CITE &lt;EndNote&gt;&lt;Cite&gt;&lt;Author&gt;Koshland Jr&lt;/Author&gt;&lt;Year&gt;1966&lt;/Year&gt;&lt;RecNum&gt;575&lt;/RecNum&gt;&lt;DisplayText&gt;&lt;style face="superscript"&gt;130&lt;/style&gt;&lt;/DisplayText&gt;&lt;record&gt;&lt;rec-number&gt;575&lt;/rec-number&gt;&lt;foreign-keys&gt;&lt;key app="EN" db-id="5trrespwzsdr07efd5tx2w96x22re9s0fsdt"&gt;575&lt;/key&gt;&lt;/foreign-keys&gt;&lt;ref-type name="Journal Article"&gt;17&lt;/ref-type&gt;&lt;contributors&gt;&lt;authors&gt;&lt;author&gt;Koshland Jr, DE&lt;/author&gt;&lt;author&gt;Nemethy, G&lt;/author&gt;&lt;author&gt;Filmer, D_&lt;/author&gt;&lt;/authors&gt;&lt;/contributors&gt;&lt;titles&gt;&lt;title&gt;Comparison of experimental binding data and theoretical models in proteins containing subunits&lt;/title&gt;&lt;secondary-title&gt;Biochemistry&lt;/secondary-title&gt;&lt;/titles&gt;&lt;periodical&gt;&lt;full-title&gt;Biochemistry&lt;/full-title&gt;&lt;abbr-1&gt;Biochemistry&lt;/abbr-1&gt;&lt;/periodical&gt;&lt;pages&gt;365-385&lt;/pages&gt;&lt;volume&gt;5&lt;/volume&gt;&lt;number&gt;1&lt;/number&gt;&lt;dates&gt;&lt;year&gt;1966&lt;/year&gt;&lt;/dates&gt;&lt;isbn&gt;0006-2960&lt;/isbn&gt;&lt;urls&gt;&lt;/urls&gt;&lt;/record&gt;&lt;/Cite&gt;&lt;/EndNote&gt;</w:instrText>
        </w:r>
        <w:r w:rsidR="00512D09">
          <w:fldChar w:fldCharType="separate"/>
        </w:r>
        <w:r w:rsidR="00512D09" w:rsidRPr="00F80CAD">
          <w:rPr>
            <w:noProof/>
            <w:vertAlign w:val="superscript"/>
          </w:rPr>
          <w:t>130</w:t>
        </w:r>
        <w:r w:rsidR="00512D09">
          <w:fldChar w:fldCharType="end"/>
        </w:r>
      </w:hyperlink>
      <w:r>
        <w:t xml:space="preserve"> which involves a progressive change of protein structure as it binds ligand </w:t>
      </w:r>
      <w:r w:rsidRPr="00C74596">
        <w:t xml:space="preserve">excluding any conformational change in its absence </w:t>
      </w:r>
      <w:r>
        <w:t xml:space="preserve">and the MWC </w:t>
      </w:r>
      <w:r>
        <w:lastRenderedPageBreak/>
        <w:t>(</w:t>
      </w:r>
      <w:r w:rsidRPr="00C74596">
        <w:t>Monod, Wyman and Changeux</w:t>
      </w:r>
      <w:r>
        <w:t>)</w:t>
      </w:r>
      <w:hyperlink w:anchor="_ENREF_128" w:tooltip="Monod, 1965 #573" w:history="1">
        <w:r w:rsidR="00512D09">
          <w:fldChar w:fldCharType="begin"/>
        </w:r>
        <w:r w:rsidR="00512D09">
          <w:instrText xml:space="preserve"> ADDIN EN.CITE &lt;EndNote&gt;&lt;Cite&gt;&lt;Author&gt;Monod&lt;/Author&gt;&lt;Year&gt;1965&lt;/Year&gt;&lt;RecNum&gt;573&lt;/RecNum&gt;&lt;DisplayText&gt;&lt;style face="superscript"&gt;128&lt;/style&gt;&lt;/DisplayText&gt;&lt;record&gt;&lt;rec-number&gt;573&lt;/rec-number&gt;&lt;foreign-keys&gt;&lt;key app="EN" db-id="5trrespwzsdr07efd5tx2w96x22re9s0fsdt"&gt;573&lt;/key&gt;&lt;/foreign-keys&gt;&lt;ref-type name="Journal Article"&gt;17&lt;/ref-type&gt;&lt;contributors&gt;&lt;authors&gt;&lt;author&gt;Monod, Jacque&lt;/author&gt;&lt;author&gt;Wyman, Jeffries&lt;/author&gt;&lt;author&gt;Changeux, Jean-Pierre&lt;/author&gt;&lt;/authors&gt;&lt;/contributors&gt;&lt;titles&gt;&lt;title&gt;On the nature of allosteric transitions: A plausible model&lt;/title&gt;&lt;secondary-title&gt;Journal of Molecular Biology&lt;/secondary-title&gt;&lt;/titles&gt;&lt;periodical&gt;&lt;full-title&gt;Journal of Molecular Biology&lt;/full-title&gt;&lt;/periodical&gt;&lt;pages&gt;88-118&lt;/pages&gt;&lt;volume&gt;12&lt;/volume&gt;&lt;number&gt;1&lt;/number&gt;&lt;dates&gt;&lt;year&gt;1965&lt;/year&gt;&lt;/dates&gt;&lt;isbn&gt;0022-2836&lt;/isbn&gt;&lt;urls&gt;&lt;related-urls&gt;&lt;url&gt;http://www.sciencedirect.com/science/article/pii/S0022283665802856&lt;/url&gt;&lt;/related-urls&gt;&lt;/urls&gt;&lt;electronic-resource-num&gt;http://dx.doi.org/10.1016/S0022-2836(65)80285-6&lt;/electronic-resource-num&gt;&lt;/record&gt;&lt;/Cite&gt;&lt;/EndNote&gt;</w:instrText>
        </w:r>
        <w:r w:rsidR="00512D09">
          <w:fldChar w:fldCharType="separate"/>
        </w:r>
        <w:r w:rsidR="00512D09" w:rsidRPr="00F80CAD">
          <w:rPr>
            <w:noProof/>
            <w:vertAlign w:val="superscript"/>
          </w:rPr>
          <w:t>128</w:t>
        </w:r>
        <w:r w:rsidR="00512D09">
          <w:fldChar w:fldCharType="end"/>
        </w:r>
      </w:hyperlink>
      <w:r w:rsidRPr="00C74596">
        <w:t xml:space="preserve"> </w:t>
      </w:r>
      <w:r>
        <w:t xml:space="preserve">that suggests </w:t>
      </w:r>
      <w:r w:rsidRPr="00C74596">
        <w:t>the ligand stabilises certain preformed conformations</w:t>
      </w:r>
      <w:r>
        <w:t xml:space="preserve"> of the protein at equilibrium. Certain aspects of the models are purely </w:t>
      </w:r>
      <w:r w:rsidRPr="00761DF9">
        <w:t>phenomenological</w:t>
      </w:r>
      <w:r w:rsidR="008F2959">
        <w:t>;</w:t>
      </w:r>
      <w:r>
        <w:t xml:space="preserve"> however</w:t>
      </w:r>
      <w:r w:rsidR="008F2959">
        <w:t>,</w:t>
      </w:r>
      <w:r>
        <w:t xml:space="preserve"> the definitions here or a hybridisation of the two are thought to be able to explain allostery. </w:t>
      </w:r>
    </w:p>
    <w:p w:rsidR="00647082" w:rsidRDefault="00647082" w:rsidP="00647082">
      <w:pPr>
        <w:spacing w:line="480" w:lineRule="auto"/>
        <w:jc w:val="both"/>
      </w:pPr>
      <w:r w:rsidRPr="002A3979">
        <w:t>Traditionally, the definition of cooperative binding could only be applied to oligomeric proteins as it was thought subunit interactions withi</w:t>
      </w:r>
      <w:r>
        <w:t xml:space="preserve">n the protein were responsible. </w:t>
      </w:r>
      <w:r w:rsidRPr="002A3979">
        <w:t>In the last 20 years, it has been identified that monomeric proteins are capable of allostery which has greatly improved our understanding of metabolism, particularly how drugs are broken down and distributed round the body</w:t>
      </w:r>
      <w:r>
        <w:t>.</w:t>
      </w:r>
      <w:hyperlink w:anchor="_ENREF_206" w:tooltip="Varshney, 2010 #214" w:history="1">
        <w:r w:rsidR="00512D09" w:rsidRPr="002A3979">
          <w:fldChar w:fldCharType="begin"/>
        </w:r>
        <w:r w:rsidR="00512D09">
          <w:instrText xml:space="preserve"> ADDIN EN.CITE &lt;EndNote&gt;&lt;Cite&gt;&lt;Author&gt;Varshney&lt;/Author&gt;&lt;Year&gt;2010&lt;/Year&gt;&lt;RecNum&gt;214&lt;/RecNum&gt;&lt;DisplayText&gt;&lt;style face="superscript"&gt;206&lt;/style&gt;&lt;/DisplayText&gt;&lt;record&gt;&lt;rec-number&gt;214&lt;/rec-number&gt;&lt;foreign-keys&gt;&lt;key app="EN" db-id="5trrespwzsdr07efd5tx2w96x22re9s0fsdt"&gt;214&lt;/key&gt;&lt;/foreign-keys&gt;&lt;ref-type name="Journal Article"&gt;17&lt;/ref-type&gt;&lt;contributors&gt;&lt;authors&gt;&lt;author&gt;Varshney, Ankita&lt;/author&gt;&lt;author&gt;Sen, Priyankar&lt;/author&gt;&lt;author&gt;Ahmad, Ejaz&lt;/author&gt;&lt;author&gt;Rehan, Mohd&lt;/author&gt;&lt;author&gt;Subbarao, Naidu&lt;/author&gt;&lt;author&gt;Khan, Rizwan Hasan&lt;/author&gt;&lt;/authors&gt;&lt;/contributors&gt;&lt;titles&gt;&lt;title&gt;Ligand Binding Strategies of Human Serum Albumin: How Can the Cargo be Utilized?&lt;/title&gt;&lt;secondary-title&gt;Chirality&lt;/secondary-title&gt;&lt;/titles&gt;&lt;periodical&gt;&lt;full-title&gt;Chirality&lt;/full-title&gt;&lt;/periodical&gt;&lt;pages&gt;77-87&lt;/pages&gt;&lt;volume&gt;22&lt;/volume&gt;&lt;number&gt;1&lt;/number&gt;&lt;dates&gt;&lt;year&gt;2010&lt;/year&gt;&lt;pub-dates&gt;&lt;date&gt;Jan&lt;/date&gt;&lt;/pub-dates&gt;&lt;/dates&gt;&lt;isbn&gt;0899-0042&lt;/isbn&gt;&lt;accession-num&gt;WOS:000273192200012&lt;/accession-num&gt;&lt;urls&gt;&lt;related-urls&gt;&lt;url&gt;&amp;lt;Go to ISI&amp;gt;://WOS:000273192200012&lt;/url&gt;&lt;/related-urls&gt;&lt;/urls&gt;&lt;electronic-resource-num&gt;10.1002/chir.20709&lt;/electronic-resource-num&gt;&lt;/record&gt;&lt;/Cite&gt;&lt;/EndNote&gt;</w:instrText>
        </w:r>
        <w:r w:rsidR="00512D09" w:rsidRPr="002A3979">
          <w:fldChar w:fldCharType="separate"/>
        </w:r>
        <w:r w:rsidR="00512D09" w:rsidRPr="006421D1">
          <w:rPr>
            <w:noProof/>
            <w:vertAlign w:val="superscript"/>
          </w:rPr>
          <w:t>206</w:t>
        </w:r>
        <w:r w:rsidR="00512D09" w:rsidRPr="002A3979">
          <w:fldChar w:fldCharType="end"/>
        </w:r>
      </w:hyperlink>
      <w:r w:rsidRPr="002A3979">
        <w:t xml:space="preserve"> </w:t>
      </w:r>
      <w:r w:rsidRPr="008F6A2C">
        <w:rPr>
          <w:i/>
        </w:rPr>
        <w:t>(S)-</w:t>
      </w:r>
      <w:r>
        <w:t xml:space="preserve">Lorezepam which is used to treat anxiety was found to increase the affinity of human serum albumin for </w:t>
      </w:r>
      <w:r w:rsidRPr="008F6A2C">
        <w:rPr>
          <w:i/>
        </w:rPr>
        <w:t>(S)</w:t>
      </w:r>
      <w:r>
        <w:t>-warfarin an anticoagulant.</w:t>
      </w:r>
      <w:hyperlink w:anchor="_ENREF_207" w:tooltip="Fitos, 2002 #603" w:history="1">
        <w:r w:rsidR="00512D09">
          <w:fldChar w:fldCharType="begin"/>
        </w:r>
        <w:r w:rsidR="00512D09">
          <w:instrText xml:space="preserve"> ADDIN EN.CITE &lt;EndNote&gt;&lt;Cite&gt;&lt;Author&gt;Fitos&lt;/Author&gt;&lt;Year&gt;2002&lt;/Year&gt;&lt;RecNum&gt;603&lt;/RecNum&gt;&lt;DisplayText&gt;&lt;style face="superscript"&gt;207&lt;/style&gt;&lt;/DisplayText&gt;&lt;record&gt;&lt;rec-number&gt;603&lt;/rec-number&gt;&lt;foreign-keys&gt;&lt;key app="EN" db-id="5trrespwzsdr07efd5tx2w96x22re9s0fsdt"&gt;603&lt;/key&gt;&lt;/foreign-keys&gt;&lt;ref-type name="Journal Article"&gt;17&lt;/ref-type&gt;&lt;contributors&gt;&lt;authors&gt;&lt;author&gt;Fitos, Ilona&lt;/author&gt;&lt;author&gt;Visy, Julia&lt;/author&gt;&lt;author&gt;Kardos, Julianna&lt;/author&gt;&lt;/authors&gt;&lt;/contributors&gt;&lt;titles&gt;&lt;title&gt;Stereoselective kinetics of warfarin binding to human serum albumin: effect of an allosteric interaction&lt;/title&gt;&lt;secondary-title&gt;Chirality&lt;/secondary-title&gt;&lt;/titles&gt;&lt;periodical&gt;&lt;full-title&gt;Chirality&lt;/full-title&gt;&lt;/periodical&gt;&lt;pages&gt;442-448&lt;/pages&gt;&lt;volume&gt;14&lt;/volume&gt;&lt;number&gt;5&lt;/number&gt;&lt;dates&gt;&lt;year&gt;2002&lt;/year&gt;&lt;/dates&gt;&lt;isbn&gt;1520-636X&lt;/isbn&gt;&lt;urls&gt;&lt;/urls&gt;&lt;/record&gt;&lt;/Cite&gt;&lt;/EndNote&gt;</w:instrText>
        </w:r>
        <w:r w:rsidR="00512D09">
          <w:fldChar w:fldCharType="separate"/>
        </w:r>
        <w:r w:rsidR="00512D09" w:rsidRPr="006421D1">
          <w:rPr>
            <w:noProof/>
            <w:vertAlign w:val="superscript"/>
          </w:rPr>
          <w:t>207</w:t>
        </w:r>
        <w:r w:rsidR="00512D09">
          <w:fldChar w:fldCharType="end"/>
        </w:r>
      </w:hyperlink>
      <w:r>
        <w:t xml:space="preserve"> In the presence of myristate, human serum albumin binds thyroxine cooperatively.</w:t>
      </w:r>
      <w:hyperlink w:anchor="_ENREF_208" w:tooltip="Petitpas, 2003 #602" w:history="1">
        <w:r w:rsidR="00512D09">
          <w:fldChar w:fldCharType="begin"/>
        </w:r>
        <w:r w:rsidR="00512D09">
          <w:instrText xml:space="preserve"> ADDIN EN.CITE &lt;EndNote&gt;&lt;Cite&gt;&lt;Author&gt;Petitpas&lt;/Author&gt;&lt;Year&gt;2003&lt;/Year&gt;&lt;RecNum&gt;602&lt;/RecNum&gt;&lt;DisplayText&gt;&lt;style face="superscript"&gt;208&lt;/style&gt;&lt;/DisplayText&gt;&lt;record&gt;&lt;rec-number&gt;602&lt;/rec-number&gt;&lt;foreign-keys&gt;&lt;key app="EN" db-id="5trrespwzsdr07efd5tx2w96x22re9s0fsdt"&gt;602&lt;/key&gt;&lt;/foreign-keys&gt;&lt;ref-type name="Journal Article"&gt;17&lt;/ref-type&gt;&lt;contributors&gt;&lt;authors&gt;&lt;author&gt;Petitpas, Isabelle&lt;/author&gt;&lt;author&gt;Petersen, Charles E&lt;/author&gt;&lt;author&gt;Ha, Chung-Eun&lt;/author&gt;&lt;author&gt;Bhattacharya, Ananyo A&lt;/author&gt;&lt;author&gt;Zunszain, Patricia A&lt;/author&gt;&lt;author&gt;Ghuman, Jamie&lt;/author&gt;&lt;author&gt;Bhagavan, Nadhipuram V&lt;/author&gt;&lt;author&gt;Curry, Stephen&lt;/author&gt;&lt;/authors&gt;&lt;/contributors&gt;&lt;titles&gt;&lt;title&gt;Structural basis of albumin–thyroxine interactions and familial dysalbuminemic hyperthyroxinemia&lt;/title&gt;&lt;secondary-title&gt;Proceedings of the National Academy of Sciences&lt;/secondary-title&gt;&lt;/titles&gt;&lt;periodical&gt;&lt;full-title&gt;Proceedings of the National Academy of Sciences&lt;/full-title&gt;&lt;/periodical&gt;&lt;pages&gt;6440-6445&lt;/pages&gt;&lt;volume&gt;100&lt;/volume&gt;&lt;number&gt;11&lt;/number&gt;&lt;dates&gt;&lt;year&gt;2003&lt;/year&gt;&lt;/dates&gt;&lt;isbn&gt;0027-8424&lt;/isbn&gt;&lt;urls&gt;&lt;/urls&gt;&lt;/record&gt;&lt;/Cite&gt;&lt;/EndNote&gt;</w:instrText>
        </w:r>
        <w:r w:rsidR="00512D09">
          <w:fldChar w:fldCharType="separate"/>
        </w:r>
        <w:r w:rsidR="00512D09" w:rsidRPr="006421D1">
          <w:rPr>
            <w:noProof/>
            <w:vertAlign w:val="superscript"/>
          </w:rPr>
          <w:t>208</w:t>
        </w:r>
        <w:r w:rsidR="00512D09">
          <w:fldChar w:fldCharType="end"/>
        </w:r>
      </w:hyperlink>
      <w:r>
        <w:t xml:space="preserve"> </w:t>
      </w:r>
      <w:r w:rsidRPr="002A3979">
        <w:t>Crystallographic analysis showed that myristate induced conformational chan</w:t>
      </w:r>
      <w:r>
        <w:t xml:space="preserve">ges within human serum albumin allowing thyroxine to bind to a now open high affinity site. </w:t>
      </w:r>
      <w:r w:rsidRPr="002A3979">
        <w:t xml:space="preserve">Consequently, identifying proteins that are allosterically regulated is a vital topic within pharmacology.  </w:t>
      </w:r>
    </w:p>
    <w:p w:rsidR="00647082" w:rsidRPr="00C66419" w:rsidRDefault="00647082" w:rsidP="00647082">
      <w:pPr>
        <w:spacing w:line="480" w:lineRule="auto"/>
        <w:jc w:val="both"/>
        <w:rPr>
          <w:bCs/>
        </w:rPr>
      </w:pPr>
      <w:r w:rsidRPr="00C66419">
        <w:rPr>
          <w:bCs/>
        </w:rPr>
        <w:t xml:space="preserve"> </w:t>
      </w:r>
      <w:r>
        <w:t>ITC</w:t>
      </w:r>
      <w:r w:rsidRPr="002A3979">
        <w:t xml:space="preserve"> has been used to identify both homotropic (the ligand binds to the binding site and changes the affinity of another binding site for the same ligand) and heterotrophic (a ligand affects the affinity of another binding site for a different ligand) modulation of protein allostery</w:t>
      </w:r>
      <w:r>
        <w:t>.</w:t>
      </w:r>
      <w:r w:rsidR="0075172E" w:rsidRPr="002A3979">
        <w:fldChar w:fldCharType="begin">
          <w:fldData xml:space="preserve">PEVuZE5vdGU+PENpdGU+PEF1dGhvcj5WZWxhenF1ZXotQ2FtcG95PC9BdXRob3I+PFllYXI+MjAw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</w:fldData>
        </w:fldChar>
      </w:r>
      <w:r w:rsidR="006421D1">
        <w:instrText xml:space="preserve"> ADDIN EN.CITE </w:instrText>
      </w:r>
      <w:r w:rsidR="0075172E">
        <w:fldChar w:fldCharType="begin">
          <w:fldData xml:space="preserve">PEVuZE5vdGU+PENpdGU+PEF1dGhvcj5WZWxhenF1ZXotQ2FtcG95PC9BdXRob3I+PFllYXI+MjAw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</w:fldData>
        </w:fldChar>
      </w:r>
      <w:r w:rsidR="006421D1">
        <w:instrText xml:space="preserve"> ADDIN EN.CITE.DATA </w:instrText>
      </w:r>
      <w:r w:rsidR="0075172E">
        <w:fldChar w:fldCharType="end"/>
      </w:r>
      <w:r w:rsidR="0075172E" w:rsidRPr="002A3979">
        <w:fldChar w:fldCharType="separate"/>
      </w:r>
      <w:hyperlink w:anchor="_ENREF_209" w:tooltip="Velazquez-Campoy, 2006 #599" w:history="1">
        <w:r w:rsidR="00512D09" w:rsidRPr="006421D1">
          <w:rPr>
            <w:noProof/>
            <w:vertAlign w:val="superscript"/>
          </w:rPr>
          <w:t>209</w:t>
        </w:r>
      </w:hyperlink>
      <w:r w:rsidR="006421D1" w:rsidRPr="006421D1">
        <w:rPr>
          <w:noProof/>
          <w:vertAlign w:val="superscript"/>
        </w:rPr>
        <w:t>,</w:t>
      </w:r>
      <w:hyperlink w:anchor="_ENREF_210" w:tooltip="Freiburger, 2014 #601" w:history="1">
        <w:r w:rsidR="00512D09" w:rsidRPr="006421D1">
          <w:rPr>
            <w:noProof/>
            <w:vertAlign w:val="superscript"/>
          </w:rPr>
          <w:t>210</w:t>
        </w:r>
      </w:hyperlink>
      <w:r w:rsidR="0075172E" w:rsidRPr="002A3979">
        <w:fldChar w:fldCharType="end"/>
      </w:r>
      <w:r>
        <w:t xml:space="preserve"> </w:t>
      </w:r>
      <w:r w:rsidRPr="002A3979">
        <w:t>However, there has been some difficulty in differentiating between binding isotherms that display positive cooperativity of binding to two sites and those that demonstrate that a ligand binds to different sites on a protein independently. This has led to the development of simulations to model binding isotherms that attempt to make this differentiation between independent and cooperative binding</w:t>
      </w:r>
      <w:r>
        <w:t>.</w:t>
      </w:r>
      <w:r w:rsidR="0075172E" w:rsidRPr="002A3979">
        <w:fldChar w:fldCharType="begin">
          <w:fldData xml:space="preserve">PEVuZE5vdGU+PENpdGU+PEF1dGhvcj5Qb29uPC9BdXRob3I+PFllYXI+MjAxMDwvWWVhcj48UmVj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</w:fldData>
        </w:fldChar>
      </w:r>
      <w:r w:rsidR="006421D1">
        <w:instrText xml:space="preserve"> ADDIN EN.CITE </w:instrText>
      </w:r>
      <w:r w:rsidR="0075172E">
        <w:fldChar w:fldCharType="begin">
          <w:fldData xml:space="preserve">PEVuZE5vdGU+PENpdGU+PEF1dGhvcj5Qb29uPC9BdXRob3I+PFllYXI+MjAxMDwvWWVhcj48UmVj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</w:fldData>
        </w:fldChar>
      </w:r>
      <w:r w:rsidR="006421D1">
        <w:instrText xml:space="preserve"> ADDIN EN.CITE.DATA </w:instrText>
      </w:r>
      <w:r w:rsidR="0075172E">
        <w:fldChar w:fldCharType="end"/>
      </w:r>
      <w:r w:rsidR="0075172E" w:rsidRPr="002A3979">
        <w:fldChar w:fldCharType="separate"/>
      </w:r>
      <w:hyperlink w:anchor="_ENREF_211" w:tooltip="Poon, 2010 #586" w:history="1">
        <w:r w:rsidR="00512D09" w:rsidRPr="006421D1">
          <w:rPr>
            <w:noProof/>
            <w:vertAlign w:val="superscript"/>
          </w:rPr>
          <w:t>211</w:t>
        </w:r>
      </w:hyperlink>
      <w:r w:rsidR="006421D1" w:rsidRPr="006421D1">
        <w:rPr>
          <w:noProof/>
          <w:vertAlign w:val="superscript"/>
        </w:rPr>
        <w:t>,</w:t>
      </w:r>
      <w:hyperlink w:anchor="_ENREF_212" w:tooltip="Freiburger, 2015 #587" w:history="1">
        <w:r w:rsidR="00512D09" w:rsidRPr="006421D1">
          <w:rPr>
            <w:noProof/>
            <w:vertAlign w:val="superscript"/>
          </w:rPr>
          <w:t>212</w:t>
        </w:r>
      </w:hyperlink>
      <w:r w:rsidR="0075172E" w:rsidRPr="002A3979">
        <w:fldChar w:fldCharType="end"/>
      </w:r>
      <w:r w:rsidRPr="002A3979">
        <w:t xml:space="preserve"> The issue arises due to the fact that a protein exhibiting two or more different binding sites with similar affinities for the same ligand but different enthalpies produces binding isotherms that are </w:t>
      </w:r>
      <w:r w:rsidRPr="002A3979">
        <w:lastRenderedPageBreak/>
        <w:t xml:space="preserve">comparable to those identified as homotropic positive protein cooperativity. </w:t>
      </w:r>
      <w:r>
        <w:t>Additionally</w:t>
      </w:r>
      <w:r w:rsidR="00C20849">
        <w:t>,</w:t>
      </w:r>
      <w:r>
        <w:t xml:space="preserve"> precipitation</w:t>
      </w:r>
      <w:r w:rsidR="00C20849">
        <w:t xml:space="preserve">, a process where complexes assemble and become insoluble, </w:t>
      </w:r>
      <w:r>
        <w:t xml:space="preserve"> seem to produce ITC binding isotherms indicative of supposed positive cooperativity.</w:t>
      </w:r>
      <w:hyperlink w:anchor="_ENREF_213" w:tooltip="Cooper, 1993 #416" w:history="1">
        <w:r w:rsidR="00512D09">
          <w:fldChar w:fldCharType="begin"/>
        </w:r>
        <w:r w:rsidR="00512D09">
          <w:instrText xml:space="preserve"> ADDIN EN.CITE &lt;EndNote&gt;&lt;Cite&gt;&lt;Author&gt;Cooper&lt;/Author&gt;&lt;Year&gt;1993&lt;/Year&gt;&lt;RecNum&gt;416&lt;/RecNum&gt;&lt;DisplayText&gt;&lt;style face="superscript"&gt;213&lt;/style&gt;&lt;/DisplayText&gt;&lt;record&gt;&lt;rec-number&gt;416&lt;/rec-number&gt;&lt;foreign-keys&gt;&lt;key app="EN" db-id="5trrespwzsdr07efd5tx2w96x22re9s0fsdt"&gt;416&lt;/key&gt;&lt;/foreign-keys&gt;&lt;ref-type name="Journal Article"&gt;17&lt;/ref-type&gt;&lt;contributors&gt;&lt;authors&gt;&lt;author&gt;Cooper, Alan&lt;/author&gt;&lt;author&gt;McAuley-Hecht, Katherine E.&lt;/author&gt;&lt;/authors&gt;&lt;/contributors&gt;&lt;titles&gt;&lt;title&gt;Microcalorimetry and the Molecular Recognition of Peptides and Proteins&lt;/title&gt;&lt;secondary-title&gt;Philosophical Transactions of the Royal Society of London. Series A: Physical and Engineering Sciences&lt;/secondary-title&gt;&lt;/titles&gt;&lt;periodical&gt;&lt;full-title&gt;Philosophical Transactions of the Royal Society of London. Series A: Physical and Engineering Sciences&lt;/full-title&gt;&lt;/periodical&gt;&lt;pages&gt;23-35&lt;/pages&gt;&lt;volume&gt;345&lt;/volume&gt;&lt;number&gt;1674&lt;/number&gt;&lt;dates&gt;&lt;year&gt;1993&lt;/year&gt;&lt;pub-dates&gt;&lt;date&gt;October 15, 1993&lt;/date&gt;&lt;/pub-dates&gt;&lt;/dates&gt;&lt;urls&gt;&lt;related-urls&gt;&lt;url&gt;http://rsta.royalsocietypublishing.org/content/345/1674/23.abstract&lt;/url&gt;&lt;/related-urls&gt;&lt;/urls&gt;&lt;electronic-resource-num&gt;10.1098/rsta.1993.0114&lt;/electronic-resource-num&gt;&lt;/record&gt;&lt;/Cite&gt;&lt;/EndNote&gt;</w:instrText>
        </w:r>
        <w:r w:rsidR="00512D09">
          <w:fldChar w:fldCharType="separate"/>
        </w:r>
        <w:r w:rsidR="00512D09" w:rsidRPr="006421D1">
          <w:rPr>
            <w:noProof/>
            <w:vertAlign w:val="superscript"/>
          </w:rPr>
          <w:t>213</w:t>
        </w:r>
        <w:r w:rsidR="00512D09">
          <w:fldChar w:fldCharType="end"/>
        </w:r>
      </w:hyperlink>
    </w:p>
    <w:p w:rsidR="007D1E77" w:rsidRDefault="000574FF" w:rsidP="000574FF">
      <w:pPr>
        <w:spacing w:line="480" w:lineRule="auto"/>
        <w:jc w:val="both"/>
      </w:pPr>
      <w:r w:rsidRPr="001620E2">
        <w:t xml:space="preserve">The enthalpy increase at the start of </w:t>
      </w:r>
      <w:r>
        <w:t>a titration of a tannin fraction</w:t>
      </w:r>
      <w:r w:rsidRPr="001620E2">
        <w:t xml:space="preserve"> </w:t>
      </w:r>
      <w:r>
        <w:t>into polyproline</w:t>
      </w:r>
      <w:r w:rsidRPr="001620E2">
        <w:t xml:space="preserve"> was suggested to be due to positive cooperativity, that the </w:t>
      </w:r>
      <w:r>
        <w:t xml:space="preserve">differing molecular weight </w:t>
      </w:r>
      <w:r w:rsidRPr="001620E2">
        <w:t xml:space="preserve">procyanidins already bound to </w:t>
      </w:r>
      <w:r>
        <w:t>polyproline</w:t>
      </w:r>
      <w:r w:rsidRPr="001620E2">
        <w:t xml:space="preserve"> have a favourable effect on the next binding interaction. The authors suggested that a bound ligand would be exposed allowing another protein to bind to it</w:t>
      </w:r>
      <w:r w:rsidR="00BA7E7A">
        <w:t>, so called crosslinking</w:t>
      </w:r>
      <w:r>
        <w:t>.</w:t>
      </w:r>
      <w:r w:rsidRPr="001620E2">
        <w:t xml:space="preserve"> </w:t>
      </w:r>
      <w:hyperlink w:anchor="_ENREF_144" w:tooltip="Poncet-Legrand, 2007 #425" w:history="1">
        <w:r w:rsidR="00512D09" w:rsidRPr="001620E2">
          <w:fldChar w:fldCharType="begin"/>
        </w:r>
        <w:r w:rsidR="00512D09">
          <w:instrText xml:space="preserve"> ADDIN EN.CITE &lt;EndNote&gt;&lt;Cite&gt;&lt;Author&gt;Poncet-Legrand&lt;/Author&gt;&lt;Year&gt;2007&lt;/Year&gt;&lt;RecNum&gt;425&lt;/RecNum&gt;&lt;DisplayText&gt;&lt;style face="superscript"&gt;144&lt;/style&gt;&lt;/DisplayText&gt;&lt;record&gt;&lt;rec-number&gt;425&lt;/rec-number&gt;&lt;foreign-keys&gt;&lt;key app="EN" db-id="5trrespwzsdr07efd5tx2w96x22re9s0fsdt"&gt;425&lt;/key&gt;&lt;/foreign-keys&gt;&lt;ref-type name="Journal Article"&gt;17&lt;/ref-type&gt;&lt;contributors&gt;&lt;authors&gt;&lt;author&gt;Poncet-Legrand, Céline&lt;/author&gt;&lt;author&gt;Gautier, Catherine&lt;/author&gt;&lt;author&gt;Cheynier, Véronique&lt;/author&gt;&lt;author&gt;Imberty, Anne&lt;/author&gt;&lt;/authors&gt;&lt;/contributors&gt;&lt;titles&gt;&lt;title&gt;Interactions between flavan-3-ols and poly (L-proline) studied by isothermal titration calorimetry: effect of the tannin structure&lt;/title&gt;&lt;secondary-title&gt;Journal of Agricultural and Food Chemistry&lt;/secondary-title&gt;&lt;/titles&gt;&lt;periodical&gt;&lt;full-title&gt;Journal of Agricultural and Food Chemistry&lt;/full-title&gt;&lt;/periodical&gt;&lt;pages&gt;9235-9240&lt;/pages&gt;&lt;volume&gt;55&lt;/volume&gt;&lt;number&gt;22&lt;/number&gt;&lt;dates&gt;&lt;year&gt;2007&lt;/year&gt;&lt;/dates&gt;&lt;isbn&gt;0021-8561&lt;/isbn&gt;&lt;urls&gt;&lt;/urls&gt;&lt;/record&gt;&lt;/Cite&gt;&lt;/EndNote&gt;</w:instrText>
        </w:r>
        <w:r w:rsidR="00512D09" w:rsidRPr="001620E2">
          <w:fldChar w:fldCharType="separate"/>
        </w:r>
        <w:r w:rsidR="00512D09" w:rsidRPr="00F80CAD">
          <w:rPr>
            <w:noProof/>
            <w:vertAlign w:val="superscript"/>
          </w:rPr>
          <w:t>144</w:t>
        </w:r>
        <w:r w:rsidR="00512D09" w:rsidRPr="001620E2">
          <w:fldChar w:fldCharType="end"/>
        </w:r>
      </w:hyperlink>
      <w:r w:rsidRPr="001620E2">
        <w:t xml:space="preserve"> Frazier </w:t>
      </w:r>
      <w:r w:rsidRPr="001620E2">
        <w:rPr>
          <w:i/>
        </w:rPr>
        <w:t>et al</w:t>
      </w:r>
      <w:r w:rsidR="002D4FF8">
        <w:rPr>
          <w:i/>
        </w:rPr>
        <w:t>.</w:t>
      </w:r>
      <w:r w:rsidRPr="001620E2">
        <w:t xml:space="preserve"> also suggested the enthalpy increase observed in the early stages of the titration of myrobolan and tara tannins into gelatin to be evidence of positive cooperativity, that the tannins already bound to gelatin were crosslinking other gelatin molecules. </w:t>
      </w:r>
      <w:hyperlink w:anchor="_ENREF_146" w:tooltip="Frazier, 2003 #407" w:history="1">
        <w:r w:rsidR="00512D09" w:rsidRPr="001620E2">
          <w:fldChar w:fldCharType="begin"/>
        </w:r>
        <w:r w:rsidR="00512D09">
          <w:instrText xml:space="preserve"> ADDIN EN.CITE &lt;EndNote&gt;&lt;Cite&gt;&lt;Author&gt;Frazier&lt;/Author&gt;&lt;Year&gt;2003&lt;/Year&gt;&lt;RecNum&gt;407&lt;/RecNum&gt;&lt;DisplayText&gt;&lt;style face="superscript"&gt;146&lt;/style&gt;&lt;/DisplayText&gt;&lt;record&gt;&lt;rec-number&gt;407&lt;/rec-number&gt;&lt;foreign-keys&gt;&lt;key app="EN" db-id="5trrespwzsdr07efd5tx2w96x22re9s0fsdt"&gt;407&lt;/key&gt;&lt;/foreign-keys&gt;&lt;ref-type name="Journal Article"&gt;17&lt;/ref-type&gt;&lt;contributors&gt;&lt;authors&gt;&lt;author&gt;Frazier, Richard A.&lt;/author&gt;&lt;author&gt;Papadopoulou, Athina&lt;/author&gt;&lt;author&gt;Mueller-Harvey, Irene&lt;/author&gt;&lt;author&gt;Kissoon, Dawn&lt;/author&gt;&lt;author&gt;Green, Rebecca J.&lt;/author&gt;&lt;/authors&gt;&lt;/contributors&gt;&lt;titles&gt;&lt;title&gt;Probing Protein−Tannin Interactions by Isothermal Titration Microcalorimetry&lt;/title&gt;&lt;secondary-title&gt;Journal of Agricultural and Food Chemistry&lt;/secondary-title&gt;&lt;/titles&gt;&lt;periodical&gt;&lt;full-title&gt;Journal of Agricultural and Food Chemistry&lt;/full-title&gt;&lt;/periodical&gt;&lt;pages&gt;5189-5195&lt;/pages&gt;&lt;volume&gt;51&lt;/volume&gt;&lt;number&gt;18&lt;/number&gt;&lt;dates&gt;&lt;year&gt;2003&lt;/year&gt;&lt;pub-dates&gt;&lt;date&gt;2003/08/01&lt;/date&gt;&lt;/pub-dates&gt;&lt;/dates&gt;&lt;publisher&gt;American Chemical Society&lt;/publisher&gt;&lt;isbn&gt;0021-8561&lt;/isbn&gt;&lt;urls&gt;&lt;related-urls&gt;&lt;url&gt;http://dx.doi.org/10.1021/jf021179v&lt;/url&gt;&lt;/related-urls&gt;&lt;/urls&gt;&lt;electronic-resource-num&gt;10.1021/jf021179v&lt;/electronic-resource-num&gt;&lt;access-date&gt;2014/09/19&lt;/access-date&gt;&lt;/record&gt;&lt;/Cite&gt;&lt;/EndNote&gt;</w:instrText>
        </w:r>
        <w:r w:rsidR="00512D09" w:rsidRPr="001620E2">
          <w:fldChar w:fldCharType="separate"/>
        </w:r>
        <w:r w:rsidR="00512D09" w:rsidRPr="00F80CAD">
          <w:rPr>
            <w:noProof/>
            <w:vertAlign w:val="superscript"/>
          </w:rPr>
          <w:t>146</w:t>
        </w:r>
        <w:r w:rsidR="00512D09" w:rsidRPr="001620E2">
          <w:fldChar w:fldCharType="end"/>
        </w:r>
      </w:hyperlink>
      <w:r w:rsidRPr="001620E2">
        <w:t xml:space="preserve"> </w:t>
      </w:r>
      <w:r w:rsidR="0049631F">
        <w:t xml:space="preserve">Charlton </w:t>
      </w:r>
      <w:r w:rsidR="0049631F" w:rsidRPr="0049631F">
        <w:rPr>
          <w:i/>
        </w:rPr>
        <w:t>et al.</w:t>
      </w:r>
      <w:r w:rsidR="0049631F">
        <w:t xml:space="preserve"> originally stated this term</w:t>
      </w:r>
      <w:r w:rsidR="0049631F">
        <w:rPr>
          <w:i/>
        </w:rPr>
        <w:t xml:space="preserve"> </w:t>
      </w:r>
      <w:r w:rsidR="0049631F">
        <w:t>in a three stage mechanism to describe polyphenol binding and precipitation</w:t>
      </w:r>
      <w:r w:rsidR="0069267B">
        <w:t xml:space="preserve"> </w:t>
      </w:r>
      <w:r w:rsidR="00F90E22">
        <w:t>(</w:t>
      </w:r>
      <w:r w:rsidR="0075172E">
        <w:fldChar w:fldCharType="begin"/>
      </w:r>
      <w:r w:rsidR="00F90E22">
        <w:instrText xml:space="preserve"> REF _Ref456875131 \h </w:instrText>
      </w:r>
      <w:r w:rsidR="0075172E">
        <w:fldChar w:fldCharType="separate"/>
      </w:r>
      <w:r w:rsidR="00CB4EDC">
        <w:t xml:space="preserve">Figure </w:t>
      </w:r>
      <w:r w:rsidR="00CB4EDC">
        <w:rPr>
          <w:noProof/>
        </w:rPr>
        <w:t>3</w:t>
      </w:r>
      <w:r w:rsidR="00CB4EDC">
        <w:t>.</w:t>
      </w:r>
      <w:r w:rsidR="00CB4EDC">
        <w:rPr>
          <w:noProof/>
        </w:rPr>
        <w:t>6</w:t>
      </w:r>
      <w:r w:rsidR="0075172E">
        <w:fldChar w:fldCharType="end"/>
      </w:r>
      <w:r w:rsidR="00F90E22">
        <w:t>)</w:t>
      </w:r>
      <w:r w:rsidR="0049631F">
        <w:t>. The first stage was simple binding of the polyphenol to peptide. The second stage is where bound polyphenol binds to free peptide in solution forming polyphenol-peptide dimers. The last stage, refers to an aggregation event, namely where</w:t>
      </w:r>
      <w:r w:rsidR="0049631F" w:rsidRPr="0049631F">
        <w:t xml:space="preserve"> </w:t>
      </w:r>
      <w:r w:rsidR="0049631F">
        <w:t>polyphenol-peptide crosslinked complexes self associate due to favourable interactions and a lack of charge repulsion.</w:t>
      </w:r>
      <w:r w:rsidR="00A86E1B">
        <w:t xml:space="preserve"> It is difficult to discriminate between aggregation and crosslinking using ITC. It would require another technique, such as DLS to determine where crosslinking finishes and aggregation begins. </w:t>
      </w:r>
      <w:r w:rsidR="0049631F">
        <w:t xml:space="preserve"> </w:t>
      </w:r>
      <w:r w:rsidR="00C31B19">
        <w:t xml:space="preserve">This study tries not to discriminate between the stages. </w:t>
      </w:r>
    </w:p>
    <w:p w:rsidR="007D1E77" w:rsidRDefault="007D1E77" w:rsidP="000574FF">
      <w:pPr>
        <w:spacing w:line="480" w:lineRule="auto"/>
        <w:jc w:val="both"/>
      </w:pPr>
    </w:p>
    <w:p w:rsidR="007D1E77" w:rsidRDefault="007D1E77" w:rsidP="000574FF">
      <w:pPr>
        <w:spacing w:line="480" w:lineRule="auto"/>
        <w:jc w:val="both"/>
      </w:pPr>
    </w:p>
    <w:p w:rsidR="007D1E77" w:rsidRDefault="007D1E77" w:rsidP="000574FF">
      <w:pPr>
        <w:spacing w:line="480" w:lineRule="auto"/>
        <w:jc w:val="both"/>
      </w:pPr>
    </w:p>
    <w:p w:rsidR="005B32FB" w:rsidRDefault="00F84DDC" w:rsidP="005B32FB">
      <w:pPr>
        <w:keepNext/>
        <w:spacing w:line="480" w:lineRule="auto"/>
        <w:jc w:val="both"/>
      </w:pPr>
      <w:r>
        <w:rPr>
          <w:noProof/>
          <w:lang w:eastAsia="en-GB"/>
        </w:rPr>
        <w:lastRenderedPageBreak/>
        <w:drawing>
          <wp:inline distT="0" distB="0" distL="0" distR="0" wp14:anchorId="3D8DA59B" wp14:editId="7E17061E">
            <wp:extent cx="5205730" cy="3788816"/>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205730" cy="3788816"/>
                    </a:xfrm>
                    <a:prstGeom prst="rect">
                      <a:avLst/>
                    </a:prstGeom>
                    <a:noFill/>
                    <a:ln w="9525">
                      <a:noFill/>
                      <a:miter lim="800000"/>
                      <a:headEnd/>
                      <a:tailEnd/>
                    </a:ln>
                  </pic:spPr>
                </pic:pic>
              </a:graphicData>
            </a:graphic>
          </wp:inline>
        </w:drawing>
      </w:r>
    </w:p>
    <w:p w:rsidR="007D1E77" w:rsidRDefault="005B32FB" w:rsidP="0082541C">
      <w:pPr>
        <w:pStyle w:val="Caption"/>
        <w:spacing w:line="480" w:lineRule="auto"/>
        <w:jc w:val="center"/>
      </w:pPr>
      <w:bookmarkStart w:id="82" w:name="_Ref456875131"/>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6</w:t>
      </w:r>
      <w:r w:rsidR="0075172E">
        <w:fldChar w:fldCharType="end"/>
      </w:r>
      <w:bookmarkEnd w:id="82"/>
      <w:r>
        <w:t xml:space="preserve">: Schematic representation of the stages occurring in binding and aggregation of polyphenols by peptides according to Charlton </w:t>
      </w:r>
      <w:r w:rsidRPr="005B32FB">
        <w:rPr>
          <w:i/>
        </w:rPr>
        <w:t>et al.</w:t>
      </w:r>
      <w:r>
        <w:t xml:space="preserve"> Stage 1: addition of polyphenol and subsequent binding to the peptide. Stage 2: addition of more polyphenol leads to crosslinking of peptides by the polyphenol. These complexes are not soluble. Stage 3: Association of the polyphenol-peptide complexes leads to aggregation. This is suggested to be due to the lack of charge repulsion between the complexes.</w:t>
      </w:r>
    </w:p>
    <w:p w:rsidR="000574FF" w:rsidRDefault="000574FF" w:rsidP="000574FF">
      <w:pPr>
        <w:spacing w:line="480" w:lineRule="auto"/>
        <w:jc w:val="both"/>
      </w:pPr>
      <w:r>
        <w:t xml:space="preserve">Generally, tannin-protein binding is not site specific and these interactions occur at multiple protein areas. BSA was chosen as it is composed of polar and </w:t>
      </w:r>
      <w:r w:rsidR="00BA7E7A">
        <w:t>apolar</w:t>
      </w:r>
      <w:r>
        <w:t xml:space="preserve"> regions meaning polyphenolic binding will have differing thermodynamics. Polyproline on the other hand is a uniform helix consisting of proline. This will allow investigation of: </w:t>
      </w:r>
    </w:p>
    <w:p w:rsidR="000574FF" w:rsidRDefault="000574FF" w:rsidP="000574FF">
      <w:pPr>
        <w:pStyle w:val="ListParagraph"/>
        <w:numPr>
          <w:ilvl w:val="0"/>
          <w:numId w:val="9"/>
        </w:numPr>
        <w:spacing w:line="480" w:lineRule="auto"/>
        <w:jc w:val="both"/>
      </w:pPr>
      <w:r>
        <w:t xml:space="preserve">If crosslinking induces positive cooperativity as tannins should be able to crosslink both polyproline and BSA producing an enthalpy increase at low molar ratios. </w:t>
      </w:r>
    </w:p>
    <w:p w:rsidR="000574FF" w:rsidRDefault="000574FF" w:rsidP="000574FF">
      <w:pPr>
        <w:pStyle w:val="ListParagraph"/>
        <w:numPr>
          <w:ilvl w:val="0"/>
          <w:numId w:val="9"/>
        </w:numPr>
        <w:spacing w:line="480" w:lineRule="auto"/>
        <w:jc w:val="both"/>
      </w:pPr>
      <w:r>
        <w:t xml:space="preserve">If the exothermic increase at the start of the titration is due to other tannins present in the fraction binding to the macromolecule. For this to be occurring there </w:t>
      </w:r>
      <w:r>
        <w:lastRenderedPageBreak/>
        <w:t xml:space="preserve">should be initial increases in enthalpy at the start of the titration if a more pure fraction of tannins is used. </w:t>
      </w:r>
    </w:p>
    <w:p w:rsidR="000574FF" w:rsidRDefault="000574FF" w:rsidP="000574FF">
      <w:pPr>
        <w:spacing w:line="480" w:lineRule="auto"/>
        <w:jc w:val="both"/>
        <w:rPr>
          <w:bCs/>
        </w:rPr>
      </w:pPr>
      <w:r>
        <w:t>Performing the titrations at different temperatures allows calculation of the heat capacity of binding</w:t>
      </w:r>
      <w:r w:rsidRPr="0042623E">
        <w:rPr>
          <w:bCs/>
          <w:i/>
        </w:rPr>
        <w:t xml:space="preserve"> ΔC</w:t>
      </w:r>
      <w:r w:rsidRPr="0042623E">
        <w:rPr>
          <w:bCs/>
          <w:i/>
          <w:vertAlign w:val="subscript"/>
        </w:rPr>
        <w:t>p</w:t>
      </w:r>
      <w:r>
        <w:t xml:space="preserve">. </w:t>
      </w:r>
      <w:r w:rsidRPr="0042623E">
        <w:rPr>
          <w:bCs/>
          <w:i/>
        </w:rPr>
        <w:t>ΔC</w:t>
      </w:r>
      <w:r w:rsidRPr="0042623E">
        <w:rPr>
          <w:bCs/>
          <w:i/>
          <w:vertAlign w:val="subscript"/>
        </w:rPr>
        <w:t>p</w:t>
      </w:r>
      <w:r>
        <w:rPr>
          <w:bCs/>
          <w:i/>
        </w:rPr>
        <w:t xml:space="preserve"> </w:t>
      </w:r>
      <w:r>
        <w:rPr>
          <w:bCs/>
        </w:rPr>
        <w:t>provides thermodynamic values regarding the change in hydration of apolar and polar residues of the protein in addition to the ligand itself upon binding</w:t>
      </w:r>
      <w:r w:rsidR="0075172E">
        <w:rPr>
          <w:bCs/>
        </w:rPr>
        <w:fldChar w:fldCharType="begin"/>
      </w:r>
      <w:r w:rsidR="006421D1">
        <w:rPr>
          <w:bCs/>
        </w:rPr>
        <w:instrText xml:space="preserve"> ADDIN EN.CITE &lt;EndNote&gt;&lt;Cite&gt;&lt;Author&gt;Sturtevant&lt;/Author&gt;&lt;Year&gt;1977&lt;/Year&gt;&lt;RecNum&gt;493&lt;/RecNum&gt;&lt;DisplayText&gt;&lt;style face="superscript"&gt;88,214&lt;/style&gt;&lt;/DisplayText&gt;&lt;record&gt;&lt;rec-number&gt;493&lt;/rec-number&gt;&lt;foreign-keys&gt;&lt;key app="EN" db-id="5trrespwzsdr07efd5tx2w96x22re9s0fsdt"&gt;493&lt;/key&gt;&lt;/foreign-keys&gt;&lt;ref-type name="Journal Article"&gt;17&lt;/ref-type&gt;&lt;contributors&gt;&lt;authors&gt;&lt;author&gt;Sturtevant, J M&lt;/author&gt;&lt;/authors&gt;&lt;/contributors&gt;&lt;titles&gt;&lt;title&gt;Heat capacity and entropy changes in processes involving proteins&lt;/title&gt;&lt;secondary-title&gt;Proceedings of the National Academy of Sciences&lt;/secondary-title&gt;&lt;/titles&gt;&lt;periodical&gt;&lt;full-title&gt;Proceedings of the National Academy of Sciences&lt;/full-title&gt;&lt;/periodical&gt;&lt;pages&gt;2236-2240&lt;/pages&gt;&lt;volume&gt;74&lt;/volume&gt;&lt;number&gt;6&lt;/number&gt;&lt;dates&gt;&lt;year&gt;1977&lt;/year&gt;&lt;pub-dates&gt;&lt;date&gt;June 1, 1977&lt;/date&gt;&lt;/pub-dates&gt;&lt;/dates&gt;&lt;urls&gt;&lt;related-urls&gt;&lt;url&gt;http://www.pnas.org/content/74/6/2236.abstract&lt;/url&gt;&lt;/related-urls&gt;&lt;/urls&gt;&lt;/record&gt;&lt;/Cite&gt;&lt;Cite&gt;&lt;Author&gt;Privalov&lt;/Author&gt;&lt;Year&gt;1989&lt;/Year&gt;&lt;RecNum&gt;563&lt;/RecNum&gt;&lt;record&gt;&lt;rec-number&gt;563&lt;/rec-number&gt;&lt;foreign-keys&gt;&lt;key app="EN" db-id="5trrespwzsdr07efd5tx2w96x22re9s0fsdt"&gt;563&lt;/key&gt;&lt;/foreign-keys&gt;&lt;ref-type name="Journal Article"&gt;17&lt;/ref-type&gt;&lt;contributors&gt;&lt;authors&gt;&lt;author&gt;Privalov, PL&lt;/author&gt;&lt;author&gt;Gill, Stanley J&lt;/author&gt;&lt;/authors&gt;&lt;/contributors&gt;&lt;titles&gt;&lt;title&gt;The hydrophobic effect: a reappraisal&lt;/title&gt;&lt;secondary-title&gt;Pure and applied chemistry&lt;/secondary-title&gt;&lt;/titles&gt;&lt;periodical&gt;&lt;full-title&gt;Pure and applied chemistry&lt;/full-title&gt;&lt;/periodical&gt;&lt;pages&gt;1097-1104&lt;/pages&gt;&lt;volume&gt;61&lt;/volume&gt;&lt;number&gt;6&lt;/number&gt;&lt;dates&gt;&lt;year&gt;1989&lt;/year&gt;&lt;/dates&gt;&lt;isbn&gt;1365-3075&lt;/isbn&gt;&lt;urls&gt;&lt;/urls&gt;&lt;/record&gt;&lt;/Cite&gt;&lt;/EndNote&gt;</w:instrText>
      </w:r>
      <w:r w:rsidR="0075172E">
        <w:rPr>
          <w:bCs/>
        </w:rPr>
        <w:fldChar w:fldCharType="separate"/>
      </w:r>
      <w:hyperlink w:anchor="_ENREF_88" w:tooltip="Sturtevant, 1977 #493" w:history="1">
        <w:r w:rsidR="00512D09" w:rsidRPr="006421D1">
          <w:rPr>
            <w:bCs/>
            <w:noProof/>
            <w:vertAlign w:val="superscript"/>
          </w:rPr>
          <w:t>88</w:t>
        </w:r>
      </w:hyperlink>
      <w:r w:rsidR="006421D1" w:rsidRPr="006421D1">
        <w:rPr>
          <w:bCs/>
          <w:noProof/>
          <w:vertAlign w:val="superscript"/>
        </w:rPr>
        <w:t>,</w:t>
      </w:r>
      <w:hyperlink w:anchor="_ENREF_214" w:tooltip="Privalov, 1989 #563" w:history="1">
        <w:r w:rsidR="00512D09" w:rsidRPr="006421D1">
          <w:rPr>
            <w:bCs/>
            <w:noProof/>
            <w:vertAlign w:val="superscript"/>
          </w:rPr>
          <w:t>214</w:t>
        </w:r>
      </w:hyperlink>
      <w:r w:rsidR="0075172E">
        <w:rPr>
          <w:bCs/>
        </w:rPr>
        <w:fldChar w:fldCharType="end"/>
      </w:r>
      <w:r>
        <w:rPr>
          <w:bCs/>
        </w:rPr>
        <w:t xml:space="preserve">. In most ITC studies, a negative </w:t>
      </w:r>
      <w:r w:rsidRPr="008D32EF">
        <w:rPr>
          <w:bCs/>
          <w:i/>
        </w:rPr>
        <w:t>ΔC</w:t>
      </w:r>
      <w:r w:rsidRPr="008D32EF">
        <w:rPr>
          <w:bCs/>
          <w:i/>
          <w:vertAlign w:val="subscript"/>
        </w:rPr>
        <w:t>p</w:t>
      </w:r>
      <w:r>
        <w:rPr>
          <w:bCs/>
          <w:i/>
          <w:vertAlign w:val="subscript"/>
        </w:rPr>
        <w:t xml:space="preserve"> </w:t>
      </w:r>
      <w:r>
        <w:rPr>
          <w:bCs/>
        </w:rPr>
        <w:t>is measured which is an indication that water is being displaced from apolar groups.</w:t>
      </w:r>
      <w:hyperlink w:anchor="_ENREF_45" w:tooltip="Makhatadze, 1990 #273" w:history="1">
        <w:r w:rsidR="00512D09">
          <w:rPr>
            <w:bCs/>
          </w:rPr>
          <w:fldChar w:fldCharType="begin"/>
        </w:r>
        <w:r w:rsidR="00512D09">
          <w:rPr>
            <w:bCs/>
          </w:rPr>
          <w:instrText xml:space="preserve"> ADDIN EN.CITE &lt;EndNote&gt;&lt;Cite&gt;&lt;Author&gt;Makhatadze&lt;/Author&gt;&lt;Year&gt;1990&lt;/Year&gt;&lt;RecNum&gt;273&lt;/RecNum&gt;&lt;DisplayText&gt;&lt;style face="superscript"&gt;45&lt;/style&gt;&lt;/DisplayText&gt;&lt;record&gt;&lt;rec-number&gt;273&lt;/rec-number&gt;&lt;foreign-keys&gt;&lt;key app="EN" db-id="5trrespwzsdr07efd5tx2w96x22re9s0fsdt"&gt;273&lt;/key&gt;&lt;/foreign-keys&gt;&lt;ref-type name="Journal Article"&gt;17&lt;/ref-type&gt;&lt;contributors&gt;&lt;authors&gt;&lt;author&gt;Makhatadze, G. I.&lt;/author&gt;&lt;author&gt;Privalov, P. L.&lt;/author&gt;&lt;/authors&gt;&lt;/contributors&gt;&lt;titles&gt;&lt;title&gt;Heat capacity of proteins: I. Partial molar heat capacity of individual amino acid residues in aqueous solution: Hydration effect&lt;/title&gt;&lt;secondary-title&gt;Journal of Molecular Biology&lt;/secondary-title&gt;&lt;/titles&gt;&lt;periodical&gt;&lt;full-title&gt;Journal of Molecular Biology&lt;/full-title&gt;&lt;/periodical&gt;&lt;pages&gt;375-384&lt;/pages&gt;&lt;volume&gt;213&lt;/volume&gt;&lt;number&gt;2&lt;/number&gt;&lt;dates&gt;&lt;year&gt;1990&lt;/year&gt;&lt;/dates&gt;&lt;isbn&gt;0022-2836&lt;/isbn&gt;&lt;urls&gt;&lt;related-urls&gt;&lt;url&gt;http://www.sciencedirect.com/science/article/pii/S0022283605801974&lt;/url&gt;&lt;/related-urls&gt;&lt;/urls&gt;&lt;electronic-resource-num&gt;http://dx.doi.org/10.1016/S0022-2836(05)80197-4&lt;/electronic-resource-num&gt;&lt;/record&gt;&lt;/Cite&gt;&lt;/EndNote&gt;</w:instrText>
        </w:r>
        <w:r w:rsidR="00512D09">
          <w:rPr>
            <w:bCs/>
          </w:rPr>
          <w:fldChar w:fldCharType="separate"/>
        </w:r>
        <w:r w:rsidR="00512D09" w:rsidRPr="00F04E2C">
          <w:rPr>
            <w:bCs/>
            <w:noProof/>
            <w:vertAlign w:val="superscript"/>
          </w:rPr>
          <w:t>45</w:t>
        </w:r>
        <w:r w:rsidR="00512D09">
          <w:rPr>
            <w:bCs/>
          </w:rPr>
          <w:fldChar w:fldCharType="end"/>
        </w:r>
      </w:hyperlink>
      <w:r>
        <w:rPr>
          <w:bCs/>
        </w:rPr>
        <w:t xml:space="preserve"> </w:t>
      </w:r>
      <w:r w:rsidRPr="0042623E">
        <w:rPr>
          <w:bCs/>
        </w:rPr>
        <w:t xml:space="preserve">It </w:t>
      </w:r>
      <w:r>
        <w:rPr>
          <w:bCs/>
        </w:rPr>
        <w:t>may not be possible</w:t>
      </w:r>
      <w:r w:rsidRPr="0042623E">
        <w:rPr>
          <w:bCs/>
        </w:rPr>
        <w:t xml:space="preserve"> to calculate </w:t>
      </w:r>
      <w:r w:rsidRPr="0042623E">
        <w:rPr>
          <w:bCs/>
          <w:i/>
        </w:rPr>
        <w:t>ΔC</w:t>
      </w:r>
      <w:r w:rsidRPr="0042623E">
        <w:rPr>
          <w:bCs/>
          <w:i/>
          <w:vertAlign w:val="subscript"/>
        </w:rPr>
        <w:t>p</w:t>
      </w:r>
      <w:r w:rsidRPr="0042623E">
        <w:rPr>
          <w:bCs/>
          <w:i/>
        </w:rPr>
        <w:t xml:space="preserve"> </w:t>
      </w:r>
      <w:r w:rsidRPr="0042623E">
        <w:rPr>
          <w:bCs/>
        </w:rPr>
        <w:t>for tannin-protein interactions due to the non-specificity in the interaction</w:t>
      </w:r>
      <w:r>
        <w:rPr>
          <w:bCs/>
        </w:rPr>
        <w:t>s</w:t>
      </w:r>
      <w:r w:rsidRPr="0042623E">
        <w:rPr>
          <w:bCs/>
        </w:rPr>
        <w:t xml:space="preserve"> but some gross estimate can be derived i.e. if the interaction becomes increasingly endo or exothermic</w:t>
      </w:r>
      <w:r>
        <w:rPr>
          <w:bCs/>
        </w:rPr>
        <w:t>. This chapter shows binding at low protein-polyphenol molar ratio exhibits strong temperature dependent enthalpy in comparison to the rest of the binding isotherm with a positive</w:t>
      </w:r>
      <w:r w:rsidRPr="00666357">
        <w:rPr>
          <w:bCs/>
          <w:i/>
        </w:rPr>
        <w:t xml:space="preserve"> </w:t>
      </w:r>
      <w:r w:rsidRPr="00666357">
        <w:rPr>
          <w:bCs/>
        </w:rPr>
        <w:t>Δ</w:t>
      </w:r>
      <w:r w:rsidRPr="00D80ED1">
        <w:rPr>
          <w:bCs/>
          <w:i/>
        </w:rPr>
        <w:t>C</w:t>
      </w:r>
      <w:r w:rsidRPr="00D80ED1">
        <w:rPr>
          <w:bCs/>
          <w:i/>
          <w:vertAlign w:val="subscript"/>
        </w:rPr>
        <w:t>p</w:t>
      </w:r>
      <w:r>
        <w:rPr>
          <w:bCs/>
        </w:rPr>
        <w:t xml:space="preserve">. </w:t>
      </w:r>
    </w:p>
    <w:p w:rsidR="00911A38" w:rsidRDefault="00911A38" w:rsidP="000574FF">
      <w:pPr>
        <w:spacing w:line="480" w:lineRule="auto"/>
        <w:jc w:val="both"/>
        <w:rPr>
          <w:bCs/>
        </w:rPr>
      </w:pPr>
    </w:p>
    <w:p w:rsidR="00911A38" w:rsidRDefault="00911A38" w:rsidP="000574FF">
      <w:pPr>
        <w:spacing w:line="480" w:lineRule="auto"/>
        <w:jc w:val="both"/>
      </w:pPr>
    </w:p>
    <w:p w:rsidR="005C77A3" w:rsidRDefault="005C77A3" w:rsidP="000574FF">
      <w:pPr>
        <w:spacing w:line="480" w:lineRule="auto"/>
        <w:jc w:val="both"/>
      </w:pPr>
    </w:p>
    <w:p w:rsidR="00647082" w:rsidRDefault="00647082" w:rsidP="000574FF">
      <w:pPr>
        <w:spacing w:line="480" w:lineRule="auto"/>
        <w:jc w:val="both"/>
      </w:pPr>
    </w:p>
    <w:p w:rsidR="00647082" w:rsidRDefault="00647082" w:rsidP="000574FF">
      <w:pPr>
        <w:spacing w:line="480" w:lineRule="auto"/>
        <w:jc w:val="both"/>
      </w:pPr>
    </w:p>
    <w:p w:rsidR="00647082" w:rsidRDefault="00647082" w:rsidP="000574FF">
      <w:pPr>
        <w:spacing w:line="480" w:lineRule="auto"/>
        <w:jc w:val="both"/>
      </w:pPr>
    </w:p>
    <w:p w:rsidR="00647082" w:rsidRDefault="00647082" w:rsidP="000574FF">
      <w:pPr>
        <w:spacing w:line="480" w:lineRule="auto"/>
        <w:jc w:val="both"/>
      </w:pPr>
    </w:p>
    <w:p w:rsidR="00647082" w:rsidRDefault="00647082" w:rsidP="000574FF">
      <w:pPr>
        <w:spacing w:line="480" w:lineRule="auto"/>
        <w:jc w:val="both"/>
      </w:pPr>
    </w:p>
    <w:p w:rsidR="005C77A3" w:rsidRPr="002430F5" w:rsidRDefault="005C77A3" w:rsidP="000574FF">
      <w:pPr>
        <w:spacing w:line="480" w:lineRule="auto"/>
        <w:jc w:val="both"/>
      </w:pPr>
    </w:p>
    <w:p w:rsidR="00E73475" w:rsidRPr="005C77A3" w:rsidRDefault="000574FF" w:rsidP="005C77A3">
      <w:pPr>
        <w:pStyle w:val="Heading2"/>
      </w:pPr>
      <w:bookmarkStart w:id="83" w:name="_Toc459130692"/>
      <w:r w:rsidRPr="00463AB1">
        <w:lastRenderedPageBreak/>
        <w:t>Materials and Methods</w:t>
      </w:r>
      <w:bookmarkEnd w:id="83"/>
    </w:p>
    <w:p w:rsidR="00E73475" w:rsidRDefault="00E73475" w:rsidP="00E73475">
      <w:pPr>
        <w:pStyle w:val="Heading3"/>
        <w:spacing w:line="480" w:lineRule="auto"/>
      </w:pPr>
      <w:bookmarkStart w:id="84" w:name="_Toc459130693"/>
      <w:r>
        <w:t>Chemicals</w:t>
      </w:r>
      <w:r w:rsidR="00E00226">
        <w:t xml:space="preserve"> and Materials</w:t>
      </w:r>
      <w:bookmarkEnd w:id="84"/>
    </w:p>
    <w:p w:rsidR="000574FF" w:rsidRPr="00E73475" w:rsidRDefault="006C608B" w:rsidP="00E73475">
      <w:pPr>
        <w:spacing w:line="480" w:lineRule="auto"/>
        <w:jc w:val="both"/>
        <w:rPr>
          <w:b/>
          <w:bCs/>
        </w:rPr>
      </w:pPr>
      <w:r>
        <w:rPr>
          <w:bCs/>
        </w:rPr>
        <w:t>Ninety-nine</w:t>
      </w:r>
      <w:r w:rsidR="00C00F7D">
        <w:rPr>
          <w:bCs/>
        </w:rPr>
        <w:t xml:space="preserve"> </w:t>
      </w:r>
      <w:r w:rsidR="00F52025">
        <w:rPr>
          <w:bCs/>
        </w:rPr>
        <w:t>percent</w:t>
      </w:r>
      <w:r w:rsidR="000574FF" w:rsidRPr="00463AB1">
        <w:rPr>
          <w:bCs/>
        </w:rPr>
        <w:t xml:space="preserve"> fatty acid free </w:t>
      </w:r>
      <w:r w:rsidR="00DF5E54">
        <w:rPr>
          <w:bCs/>
        </w:rPr>
        <w:t>bovine serum a</w:t>
      </w:r>
      <w:r w:rsidR="00DF5E54" w:rsidRPr="00463AB1">
        <w:rPr>
          <w:bCs/>
        </w:rPr>
        <w:t xml:space="preserve">lbumin </w:t>
      </w:r>
      <w:r w:rsidR="000574FF" w:rsidRPr="00463AB1">
        <w:rPr>
          <w:bCs/>
        </w:rPr>
        <w:t xml:space="preserve">was purchased from Sigma Aldrich and was used without further purification. </w:t>
      </w:r>
      <w:r w:rsidR="000574FF">
        <w:rPr>
          <w:bCs/>
        </w:rPr>
        <w:t xml:space="preserve">Sodium </w:t>
      </w:r>
      <w:r w:rsidR="000574FF" w:rsidRPr="00463AB1">
        <w:rPr>
          <w:bCs/>
        </w:rPr>
        <w:t>acetate</w:t>
      </w:r>
      <w:r w:rsidR="000574FF">
        <w:rPr>
          <w:bCs/>
        </w:rPr>
        <w:t xml:space="preserve"> (99 % purity)</w:t>
      </w:r>
      <w:r w:rsidR="000574FF" w:rsidRPr="00463AB1">
        <w:rPr>
          <w:bCs/>
        </w:rPr>
        <w:t xml:space="preserve">, </w:t>
      </w:r>
      <w:r w:rsidR="000574FF">
        <w:rPr>
          <w:bCs/>
        </w:rPr>
        <w:t xml:space="preserve">ammonium acetate (99.5% purity), </w:t>
      </w:r>
      <w:r w:rsidR="000574FF" w:rsidRPr="00463AB1">
        <w:rPr>
          <w:bCs/>
        </w:rPr>
        <w:t>ethanol</w:t>
      </w:r>
      <w:r w:rsidR="000574FF">
        <w:rPr>
          <w:bCs/>
        </w:rPr>
        <w:t xml:space="preserve"> (99.8% purity)</w:t>
      </w:r>
      <w:r w:rsidR="000574FF" w:rsidRPr="00463AB1">
        <w:rPr>
          <w:bCs/>
        </w:rPr>
        <w:t xml:space="preserve">, acetic acid </w:t>
      </w:r>
      <w:r w:rsidR="000574FF">
        <w:rPr>
          <w:bCs/>
        </w:rPr>
        <w:t xml:space="preserve">(99.8% purity) </w:t>
      </w:r>
      <w:r w:rsidR="000574FF" w:rsidRPr="00463AB1">
        <w:rPr>
          <w:bCs/>
        </w:rPr>
        <w:t xml:space="preserve">and tannic acid were also purchased from Sigma Aldrich. All buffers were made using deionised water </w:t>
      </w:r>
      <w:r w:rsidR="000574FF">
        <w:rPr>
          <w:bCs/>
        </w:rPr>
        <w:t xml:space="preserve">from a </w:t>
      </w:r>
      <w:r w:rsidR="000574FF" w:rsidRPr="00463AB1">
        <w:rPr>
          <w:bCs/>
        </w:rPr>
        <w:t xml:space="preserve"> </w:t>
      </w:r>
      <w:r w:rsidR="000574FF" w:rsidRPr="00B0259C">
        <w:rPr>
          <w:bCs/>
        </w:rPr>
        <w:t xml:space="preserve"> Merk-MILLIPORE </w:t>
      </w:r>
      <w:r w:rsidR="000574FF" w:rsidRPr="00463AB1">
        <w:rPr>
          <w:bCs/>
        </w:rPr>
        <w:t>Milli-Q system</w:t>
      </w:r>
      <w:r w:rsidR="000574FF" w:rsidRPr="00055E94">
        <w:rPr>
          <w:bCs/>
        </w:rPr>
        <w:t xml:space="preserve"> </w:t>
      </w:r>
      <w:r w:rsidR="000574FF">
        <w:rPr>
          <w:bCs/>
        </w:rPr>
        <w:t xml:space="preserve">(Darmstadt, Germany). </w:t>
      </w:r>
      <w:r w:rsidR="00C00F7D">
        <w:rPr>
          <w:bCs/>
        </w:rPr>
        <w:t xml:space="preserve">The assumed molecular weight of tannic acid was 1701.2 g/mol as stated on the Sigma Aldrich website. </w:t>
      </w:r>
    </w:p>
    <w:p w:rsidR="00E73475" w:rsidRPr="00E73475" w:rsidRDefault="00EA2EF5" w:rsidP="00E73475">
      <w:pPr>
        <w:pStyle w:val="Heading3"/>
        <w:spacing w:line="480" w:lineRule="auto"/>
      </w:pPr>
      <w:bookmarkStart w:id="85" w:name="_Toc459130694"/>
      <w:r>
        <w:t xml:space="preserve">Isothermal Titration </w:t>
      </w:r>
      <w:r w:rsidR="00E00226">
        <w:t>C</w:t>
      </w:r>
      <w:r w:rsidR="000574FF" w:rsidRPr="00463AB1">
        <w:t>alorimetry</w:t>
      </w:r>
      <w:r>
        <w:t xml:space="preserve"> (Fatty Acid Free BSA-Tannic Acid I</w:t>
      </w:r>
      <w:r w:rsidR="000574FF">
        <w:t>nteractions)</w:t>
      </w:r>
      <w:bookmarkEnd w:id="85"/>
    </w:p>
    <w:p w:rsidR="000574FF" w:rsidRDefault="000574FF" w:rsidP="000574FF">
      <w:pPr>
        <w:spacing w:line="480" w:lineRule="auto"/>
        <w:jc w:val="both"/>
        <w:rPr>
          <w:bCs/>
        </w:rPr>
      </w:pPr>
      <w:r w:rsidRPr="00463AB1">
        <w:rPr>
          <w:bCs/>
        </w:rPr>
        <w:t xml:space="preserve"> A Nano-ITC instrument </w:t>
      </w:r>
      <w:r w:rsidR="00597F51">
        <w:rPr>
          <w:bCs/>
        </w:rPr>
        <w:t>(</w:t>
      </w:r>
      <w:r w:rsidR="00597F51" w:rsidRPr="00B0259C">
        <w:rPr>
          <w:bCs/>
        </w:rPr>
        <w:t>TA instruments, Texas, USA</w:t>
      </w:r>
      <w:r w:rsidR="00597F51">
        <w:rPr>
          <w:bCs/>
        </w:rPr>
        <w:t>)</w:t>
      </w:r>
      <w:r w:rsidR="00597F51" w:rsidRPr="00463AB1">
        <w:rPr>
          <w:bCs/>
        </w:rPr>
        <w:t xml:space="preserve"> </w:t>
      </w:r>
      <w:r w:rsidRPr="00463AB1">
        <w:rPr>
          <w:bCs/>
        </w:rPr>
        <w:t xml:space="preserve">was used to measure the binding thermodynamics </w:t>
      </w:r>
      <w:r>
        <w:rPr>
          <w:bCs/>
        </w:rPr>
        <w:t>between tannic acid and BSA at</w:t>
      </w:r>
      <w:r w:rsidRPr="00463AB1">
        <w:rPr>
          <w:bCs/>
        </w:rPr>
        <w:t xml:space="preserve"> </w:t>
      </w:r>
      <w:r>
        <w:rPr>
          <w:bCs/>
        </w:rPr>
        <w:t>10 and 25</w:t>
      </w:r>
      <w:r w:rsidR="006C2030">
        <w:rPr>
          <w:bCs/>
        </w:rPr>
        <w:t xml:space="preserve"> </w:t>
      </w:r>
      <w:r>
        <w:rPr>
          <w:bCs/>
        </w:rPr>
        <w:t>°C</w:t>
      </w:r>
      <w:r w:rsidRPr="00463AB1">
        <w:rPr>
          <w:bCs/>
        </w:rPr>
        <w:t xml:space="preserve">. BSA and tannic acid were dissolved in 10 mM sodium acetate 10% ethanol buffer at pH 4. All solutions were degassed prior to the titrations. </w:t>
      </w:r>
      <w:r>
        <w:rPr>
          <w:bCs/>
        </w:rPr>
        <w:t xml:space="preserve">One </w:t>
      </w:r>
      <w:r w:rsidRPr="00463AB1">
        <w:rPr>
          <w:bCs/>
        </w:rPr>
        <w:t>mM tannic acid was loaded into the syringe and titrated into the sample cell, which contained BSA at either 5 or 15 µM.</w:t>
      </w:r>
      <w:r>
        <w:rPr>
          <w:bCs/>
        </w:rPr>
        <w:t xml:space="preserve"> The different concentrations of BSA allow identification of BSA-tannic acid crosslinks.</w:t>
      </w:r>
      <w:r w:rsidRPr="00463AB1">
        <w:rPr>
          <w:bCs/>
        </w:rPr>
        <w:t xml:space="preserve"> Due to dilution effects associated with the first titration a 0.07 µL throwaway injection was made at the start of every titration and discarded from further analysis. In one set of titrations, 30</w:t>
      </w:r>
      <m:oMath>
        <m:r>
          <w:rPr>
            <w:rFonts w:ascii="Cambria Math" w:hAnsi="Cambria Math"/>
          </w:rPr>
          <m:t xml:space="preserve"> × </m:t>
        </m:r>
      </m:oMath>
      <w:r w:rsidRPr="00463AB1">
        <w:rPr>
          <w:bCs/>
        </w:rPr>
        <w:t xml:space="preserve">1.5 µL 1 mM tannic acid injections into 15 µM BSA were made over the course of the titration. In the next set of experiments, 25 </w:t>
      </w:r>
      <m:oMath>
        <m:r>
          <w:rPr>
            <w:rFonts w:ascii="Cambria Math" w:hAnsi="Cambria Math"/>
          </w:rPr>
          <m:t xml:space="preserve">× </m:t>
        </m:r>
      </m:oMath>
      <w:r w:rsidRPr="00463AB1">
        <w:rPr>
          <w:bCs/>
        </w:rPr>
        <w:t xml:space="preserve">1.5 µL 1 mM tannic acid injections into </w:t>
      </w:r>
      <w:r w:rsidR="00597F51">
        <w:rPr>
          <w:bCs/>
        </w:rPr>
        <w:t xml:space="preserve">5 </w:t>
      </w:r>
      <w:r w:rsidRPr="00463AB1">
        <w:rPr>
          <w:bCs/>
        </w:rPr>
        <w:t>µM BSA were made over the course of the titration. In each titration, the refe</w:t>
      </w:r>
      <w:r>
        <w:rPr>
          <w:bCs/>
        </w:rPr>
        <w:t>rence cell contained the buffer instead of water. The reason being that the ethanol present in the buffer means it has a significantly different heat capacity than water.</w:t>
      </w:r>
      <w:r w:rsidRPr="00463AB1">
        <w:rPr>
          <w:bCs/>
        </w:rPr>
        <w:t xml:space="preserve"> The time delay between each injection was 300 seconds and the </w:t>
      </w:r>
      <w:r w:rsidR="00597F51">
        <w:rPr>
          <w:bCs/>
        </w:rPr>
        <w:t xml:space="preserve">(Rotations Per Minute) </w:t>
      </w:r>
      <w:r w:rsidRPr="00463AB1">
        <w:rPr>
          <w:bCs/>
        </w:rPr>
        <w:t>RPM was set to 280 to ensure thorough mixing of the cell. Data analysis was performed using the NanoAnalyse software</w:t>
      </w:r>
      <w:r w:rsidR="00597F51" w:rsidRPr="00597F51">
        <w:rPr>
          <w:bCs/>
        </w:rPr>
        <w:t xml:space="preserve"> </w:t>
      </w:r>
      <w:r w:rsidR="00597F51">
        <w:rPr>
          <w:bCs/>
        </w:rPr>
        <w:t>(</w:t>
      </w:r>
      <w:r w:rsidR="00597F51" w:rsidRPr="00B0259C">
        <w:rPr>
          <w:bCs/>
        </w:rPr>
        <w:t>TA instruments, Texas, USA</w:t>
      </w:r>
      <w:r w:rsidR="00597F51">
        <w:rPr>
          <w:bCs/>
        </w:rPr>
        <w:t xml:space="preserve">). </w:t>
      </w:r>
      <w:r w:rsidRPr="00463AB1">
        <w:rPr>
          <w:bCs/>
        </w:rPr>
        <w:t xml:space="preserve">The enthalpy of dilution of tannic acid was subtracted from the raw data. By using </w:t>
      </w:r>
      <w:r w:rsidRPr="00463AB1">
        <w:rPr>
          <w:bCs/>
        </w:rPr>
        <w:lastRenderedPageBreak/>
        <w:t xml:space="preserve">NanoAnalyse, raw heat data was integrated peak by peak and normalised per mole of injectant to get a plot of observed enthalpy change per mole of tannic acid against tannic acid/protein molar ratio. </w:t>
      </w:r>
      <w:r>
        <w:rPr>
          <w:bCs/>
        </w:rPr>
        <w:t xml:space="preserve">The first two injections were erroneous due to diffusion effects and were subsequently discarded from analysis. </w:t>
      </w:r>
      <w:r w:rsidR="00CD2568">
        <w:rPr>
          <w:bCs/>
        </w:rPr>
        <w:t xml:space="preserve">Both the standard mean error and the confidence intervals are provided. </w:t>
      </w:r>
      <w:r w:rsidR="005B2B3C">
        <w:rPr>
          <w:bCs/>
        </w:rPr>
        <w:t xml:space="preserve">Nano ITC users tend to use confidence intervals as the NanoAnalyse software readily provides this. A confidence interval provides a range that contains the population parameter of interest.  </w:t>
      </w:r>
    </w:p>
    <w:p w:rsidR="00E73475" w:rsidRDefault="000574FF" w:rsidP="00E73475">
      <w:pPr>
        <w:pStyle w:val="Heading3"/>
        <w:spacing w:line="480" w:lineRule="auto"/>
      </w:pPr>
      <w:bookmarkStart w:id="86" w:name="_Toc459130695"/>
      <w:r w:rsidRPr="00EA6A7D">
        <w:t xml:space="preserve">Isothermal </w:t>
      </w:r>
      <w:r w:rsidR="00BE03A4" w:rsidRPr="00EA6A7D">
        <w:t xml:space="preserve">Titration </w:t>
      </w:r>
      <w:r w:rsidR="00E00226">
        <w:t>C</w:t>
      </w:r>
      <w:r w:rsidR="00BE03A4" w:rsidRPr="00EA6A7D">
        <w:t>alorimetry (</w:t>
      </w:r>
      <w:r w:rsidR="00BE03A4">
        <w:t>Polyproline</w:t>
      </w:r>
      <w:r w:rsidR="00BE03A4" w:rsidRPr="00EA6A7D">
        <w:t>-Tannic Acid Interactions)</w:t>
      </w:r>
      <w:bookmarkEnd w:id="86"/>
    </w:p>
    <w:p w:rsidR="000574FF" w:rsidRPr="00EA6A7D" w:rsidRDefault="000574FF" w:rsidP="00E73475">
      <w:pPr>
        <w:spacing w:line="480" w:lineRule="auto"/>
        <w:jc w:val="both"/>
        <w:rPr>
          <w:bCs/>
        </w:rPr>
      </w:pPr>
      <w:r w:rsidRPr="00EA6A7D">
        <w:rPr>
          <w:bCs/>
        </w:rPr>
        <w:t xml:space="preserve">A Nano-ITC instrument was used to measure the binding thermodynamics between </w:t>
      </w:r>
      <w:r>
        <w:rPr>
          <w:bCs/>
        </w:rPr>
        <w:t>polyproline</w:t>
      </w:r>
      <w:r w:rsidRPr="00EA6A7D">
        <w:rPr>
          <w:bCs/>
        </w:rPr>
        <w:t xml:space="preserve"> and </w:t>
      </w:r>
      <w:r>
        <w:rPr>
          <w:bCs/>
        </w:rPr>
        <w:t>tannic acid</w:t>
      </w:r>
      <w:r w:rsidRPr="00EA6A7D">
        <w:rPr>
          <w:bCs/>
        </w:rPr>
        <w:t xml:space="preserve"> at </w:t>
      </w:r>
      <w:r w:rsidR="006C2030">
        <w:rPr>
          <w:bCs/>
        </w:rPr>
        <w:t>10</w:t>
      </w:r>
      <w:r>
        <w:rPr>
          <w:bCs/>
        </w:rPr>
        <w:t xml:space="preserve">, </w:t>
      </w:r>
      <w:r w:rsidR="006C2030">
        <w:rPr>
          <w:bCs/>
        </w:rPr>
        <w:t>25</w:t>
      </w:r>
      <w:r>
        <w:rPr>
          <w:bCs/>
        </w:rPr>
        <w:t xml:space="preserve"> and </w:t>
      </w:r>
      <w:r w:rsidR="006C2030">
        <w:rPr>
          <w:bCs/>
        </w:rPr>
        <w:t>40</w:t>
      </w:r>
      <w:r>
        <w:rPr>
          <w:bCs/>
        </w:rPr>
        <w:t xml:space="preserve"> </w:t>
      </w:r>
      <w:r w:rsidR="006C2030" w:rsidRPr="006C2030">
        <w:rPr>
          <w:iCs/>
          <w:color w:val="000000" w:themeColor="text1"/>
        </w:rPr>
        <w:t>°C</w:t>
      </w:r>
      <w:r w:rsidRPr="00EA6A7D">
        <w:rPr>
          <w:bCs/>
        </w:rPr>
        <w:t xml:space="preserve">. </w:t>
      </w:r>
      <w:r>
        <w:rPr>
          <w:bCs/>
        </w:rPr>
        <w:t>Polyproline</w:t>
      </w:r>
      <w:r w:rsidRPr="00EA6A7D">
        <w:rPr>
          <w:bCs/>
        </w:rPr>
        <w:t xml:space="preserve"> and tannic acid were dissolved in 10 mM sodium acetate 10% ethanol buffer at pH 4. All solutions were degassed prior to the titrations. </w:t>
      </w:r>
      <w:r w:rsidR="00C00F7D">
        <w:rPr>
          <w:bCs/>
        </w:rPr>
        <w:t xml:space="preserve">The syringe contained 3.474 mM tannic acid </w:t>
      </w:r>
      <w:r w:rsidRPr="00EA6A7D">
        <w:rPr>
          <w:bCs/>
        </w:rPr>
        <w:t xml:space="preserve">and </w:t>
      </w:r>
      <w:r w:rsidR="00C00F7D">
        <w:rPr>
          <w:bCs/>
        </w:rPr>
        <w:t xml:space="preserve">was </w:t>
      </w:r>
      <w:r w:rsidRPr="00EA6A7D">
        <w:rPr>
          <w:bCs/>
        </w:rPr>
        <w:t xml:space="preserve">titrated into the sample cell, which contained </w:t>
      </w:r>
      <w:r>
        <w:rPr>
          <w:bCs/>
        </w:rPr>
        <w:t>50</w:t>
      </w:r>
      <w:r w:rsidRPr="00EA6A7D">
        <w:rPr>
          <w:bCs/>
        </w:rPr>
        <w:t xml:space="preserve"> µM</w:t>
      </w:r>
      <w:r>
        <w:rPr>
          <w:bCs/>
        </w:rPr>
        <w:t xml:space="preserve"> polyproline</w:t>
      </w:r>
      <w:r w:rsidRPr="00EA6A7D">
        <w:rPr>
          <w:bCs/>
        </w:rPr>
        <w:t xml:space="preserve">. </w:t>
      </w:r>
      <w:r>
        <w:rPr>
          <w:bCs/>
        </w:rPr>
        <w:t>For the 10</w:t>
      </w:r>
      <w:r w:rsidR="006F2757">
        <w:rPr>
          <w:bCs/>
        </w:rPr>
        <w:t xml:space="preserve"> </w:t>
      </w:r>
      <w:r>
        <w:rPr>
          <w:bCs/>
        </w:rPr>
        <w:t>°C experiment 25</w:t>
      </w:r>
      <m:oMath>
        <m:r>
          <w:rPr>
            <w:rFonts w:ascii="Cambria Math" w:hAnsi="Cambria Math"/>
          </w:rPr>
          <m:t xml:space="preserve"> × </m:t>
        </m:r>
      </m:oMath>
      <w:r>
        <w:rPr>
          <w:bCs/>
        </w:rPr>
        <w:t>1.49 µL 3.374</w:t>
      </w:r>
      <w:r w:rsidRPr="00EA6A7D">
        <w:rPr>
          <w:bCs/>
        </w:rPr>
        <w:t xml:space="preserve"> mM tannic acid injections into</w:t>
      </w:r>
      <w:r>
        <w:rPr>
          <w:bCs/>
        </w:rPr>
        <w:t xml:space="preserve"> 50 µM polyproline</w:t>
      </w:r>
      <w:r w:rsidRPr="00EA6A7D">
        <w:rPr>
          <w:bCs/>
        </w:rPr>
        <w:t xml:space="preserve"> were made over the course of the titration. </w:t>
      </w:r>
      <w:r>
        <w:rPr>
          <w:bCs/>
        </w:rPr>
        <w:t>While for</w:t>
      </w:r>
      <w:r w:rsidR="006F2757">
        <w:rPr>
          <w:bCs/>
        </w:rPr>
        <w:t xml:space="preserve"> the 25 and 4</w:t>
      </w:r>
      <w:r>
        <w:rPr>
          <w:bCs/>
        </w:rPr>
        <w:t>0</w:t>
      </w:r>
      <w:r w:rsidR="006F2757">
        <w:rPr>
          <w:bCs/>
        </w:rPr>
        <w:t xml:space="preserve"> </w:t>
      </w:r>
      <w:r>
        <w:rPr>
          <w:bCs/>
        </w:rPr>
        <w:t xml:space="preserve">°C, 26 </w:t>
      </w:r>
      <m:oMath>
        <m:r>
          <w:rPr>
            <w:rFonts w:ascii="Cambria Math" w:hAnsi="Cambria Math"/>
          </w:rPr>
          <m:t>×</m:t>
        </m:r>
      </m:oMath>
      <w:r>
        <w:rPr>
          <w:rFonts w:eastAsiaTheme="minorEastAsia"/>
        </w:rPr>
        <w:t xml:space="preserve"> </w:t>
      </w:r>
      <w:r>
        <w:rPr>
          <w:bCs/>
        </w:rPr>
        <w:t xml:space="preserve">injections were made using the same volumes and concentrations. </w:t>
      </w:r>
      <w:r w:rsidRPr="00EA6A7D">
        <w:rPr>
          <w:bCs/>
        </w:rPr>
        <w:t xml:space="preserve">In each titration, the reference cell contained the buffer. The time delay between each injection was 300 seconds and the RPM was set to 280 to ensure thorough mixing of the cell. Data analysis was </w:t>
      </w:r>
      <w:r>
        <w:rPr>
          <w:bCs/>
        </w:rPr>
        <w:t>carried out as previously stated</w:t>
      </w:r>
      <w:r w:rsidR="00597F51">
        <w:rPr>
          <w:bCs/>
        </w:rPr>
        <w:t xml:space="preserve"> in section 3.3.2</w:t>
      </w:r>
      <w:r>
        <w:rPr>
          <w:bCs/>
        </w:rPr>
        <w:t xml:space="preserve">. </w:t>
      </w:r>
    </w:p>
    <w:p w:rsidR="00E73475" w:rsidRDefault="000574FF" w:rsidP="00E73475">
      <w:pPr>
        <w:pStyle w:val="Heading3"/>
        <w:spacing w:line="480" w:lineRule="auto"/>
      </w:pPr>
      <w:bookmarkStart w:id="87" w:name="_Toc459130696"/>
      <w:r w:rsidRPr="0036206A">
        <w:t xml:space="preserve">Isothermal </w:t>
      </w:r>
      <w:r w:rsidR="00BE03A4" w:rsidRPr="0036206A">
        <w:t xml:space="preserve">Titration </w:t>
      </w:r>
      <w:r w:rsidR="00A46CDF">
        <w:t>C</w:t>
      </w:r>
      <w:r w:rsidR="00BE03A4" w:rsidRPr="0036206A">
        <w:t>alorimetry (Polyproline-</w:t>
      </w:r>
      <w:r w:rsidR="00BE03A4">
        <w:t xml:space="preserve">Proanthocyanidin </w:t>
      </w:r>
      <w:r w:rsidR="00BE03A4" w:rsidRPr="0036206A">
        <w:t>Interactions)</w:t>
      </w:r>
      <w:bookmarkEnd w:id="87"/>
    </w:p>
    <w:p w:rsidR="000574FF" w:rsidRDefault="000574FF" w:rsidP="000574FF">
      <w:pPr>
        <w:spacing w:line="480" w:lineRule="auto"/>
        <w:jc w:val="both"/>
        <w:rPr>
          <w:bCs/>
        </w:rPr>
      </w:pPr>
      <w:r>
        <w:rPr>
          <w:bCs/>
        </w:rPr>
        <w:t xml:space="preserve"> </w:t>
      </w:r>
      <w:r w:rsidRPr="00BF25DC">
        <w:rPr>
          <w:bCs/>
        </w:rPr>
        <w:t xml:space="preserve">A Nano-ITC instrument was used to measure the binding thermodynamics between polyproline and </w:t>
      </w:r>
      <w:r>
        <w:rPr>
          <w:bCs/>
        </w:rPr>
        <w:t xml:space="preserve">the tetrameric proanthocyanidin </w:t>
      </w:r>
      <w:r w:rsidRPr="00BF25DC">
        <w:rPr>
          <w:bCs/>
        </w:rPr>
        <w:t xml:space="preserve">at </w:t>
      </w:r>
      <w:r>
        <w:rPr>
          <w:bCs/>
        </w:rPr>
        <w:t>10, 25 and 40</w:t>
      </w:r>
      <w:r w:rsidR="006C2030">
        <w:rPr>
          <w:bCs/>
        </w:rPr>
        <w:t xml:space="preserve"> </w:t>
      </w:r>
      <w:r>
        <w:rPr>
          <w:bCs/>
        </w:rPr>
        <w:t>°C.</w:t>
      </w:r>
      <w:r w:rsidRPr="00BF25DC">
        <w:rPr>
          <w:bCs/>
        </w:rPr>
        <w:t xml:space="preserve"> </w:t>
      </w:r>
      <w:r w:rsidR="002E2B73">
        <w:rPr>
          <w:bCs/>
        </w:rPr>
        <w:t>Previous work has investigated the binding interaction between BSA and tetrameric proanthocyanidin, but not with polyproline.</w:t>
      </w:r>
      <w:hyperlink w:anchor="_ENREF_215" w:tooltip="Kilmister, 2016 #594" w:history="1">
        <w:r w:rsidR="00512D09">
          <w:rPr>
            <w:bCs/>
          </w:rPr>
          <w:fldChar w:fldCharType="begin"/>
        </w:r>
        <w:r w:rsidR="00512D09">
          <w:rPr>
            <w:bCs/>
          </w:rPr>
          <w:instrText xml:space="preserve"> ADDIN EN.CITE &lt;EndNote&gt;&lt;Cite&gt;&lt;Author&gt;Kilmister&lt;/Author&gt;&lt;Year&gt;2016&lt;/Year&gt;&lt;RecNum&gt;594&lt;/RecNum&gt;&lt;DisplayText&gt;&lt;style face="superscript"&gt;215&lt;/style&gt;&lt;/DisplayText&gt;&lt;record&gt;&lt;rec-number&gt;594&lt;/rec-number&gt;&lt;foreign-keys&gt;&lt;key app="EN" db-id="5trrespwzsdr07efd5tx2w96x22re9s0fsdt"&gt;594&lt;/key&gt;&lt;/foreign-keys&gt;&lt;ref-type name="Journal Article"&gt;17&lt;/ref-type&gt;&lt;contributors&gt;&lt;authors&gt;&lt;author&gt;Kilmister, Rachel L.&lt;/author&gt;&lt;author&gt;Faulkner, Peta&lt;/author&gt;&lt;author&gt;Downey, Mark O.&lt;/author&gt;&lt;author&gt;Darby, Samuel J.&lt;/author&gt;&lt;author&gt;Falconer, Robert J.&lt;/author&gt;&lt;/authors&gt;&lt;/contributors&gt;&lt;titles&gt;&lt;title&gt;The complexity of condensed tannin binding to bovine serum albumin – An isothermal titration calorimetry study&lt;/title&gt;&lt;secondary-title&gt;Food Chemistry&lt;/secondary-title&gt;&lt;/titles&gt;&lt;periodical&gt;&lt;full-title&gt;Food Chemistry&lt;/full-title&gt;&lt;/periodical&gt;&lt;pages&gt;173-178&lt;/pages&gt;&lt;volume&gt;190&lt;/volume&gt;&lt;number&gt;0&lt;/number&gt;&lt;keywords&gt;&lt;keyword&gt;Proanthocyanidin&lt;/keyword&gt;&lt;keyword&gt;Oligomer&lt;/keyword&gt;&lt;keyword&gt;Thermodynamics&lt;/keyword&gt;&lt;keyword&gt;Hydrogen bonding&lt;/keyword&gt;&lt;keyword&gt;Hydrophobic interaction&lt;/keyword&gt;&lt;/keywords&gt;&lt;dates&gt;&lt;year&gt;2016&lt;/year&gt;&lt;/dates&gt;&lt;isbn&gt;0308-8146&lt;/isbn&gt;&lt;urls&gt;&lt;related-urls&gt;&lt;url&gt;http://www.sciencedirect.com/science/article/pii/S0308814615007323&lt;/url&gt;&lt;/related-urls&gt;&lt;/urls&gt;&lt;electronic-resource-num&gt;http://dx.doi.org/10.1016/j.foodchem.2015.04.144&lt;/electronic-resource-num&gt;&lt;/record&gt;&lt;/Cite&gt;&lt;/EndNote&gt;</w:instrText>
        </w:r>
        <w:r w:rsidR="00512D09">
          <w:rPr>
            <w:bCs/>
          </w:rPr>
          <w:fldChar w:fldCharType="separate"/>
        </w:r>
        <w:r w:rsidR="00512D09" w:rsidRPr="006421D1">
          <w:rPr>
            <w:bCs/>
            <w:noProof/>
            <w:vertAlign w:val="superscript"/>
          </w:rPr>
          <w:t>215</w:t>
        </w:r>
        <w:r w:rsidR="00512D09">
          <w:rPr>
            <w:bCs/>
          </w:rPr>
          <w:fldChar w:fldCharType="end"/>
        </w:r>
      </w:hyperlink>
      <w:r w:rsidR="002E2B73">
        <w:rPr>
          <w:bCs/>
        </w:rPr>
        <w:t xml:space="preserve"> </w:t>
      </w:r>
      <w:r w:rsidRPr="00BF25DC">
        <w:rPr>
          <w:bCs/>
        </w:rPr>
        <w:t xml:space="preserve">Polyproline and </w:t>
      </w:r>
      <w:r>
        <w:rPr>
          <w:bCs/>
        </w:rPr>
        <w:t xml:space="preserve">tetrameric proanthocyanidin </w:t>
      </w:r>
      <w:r w:rsidRPr="00BF25DC">
        <w:rPr>
          <w:bCs/>
        </w:rPr>
        <w:t>were dissolved in 10 mM sodium acetate 10</w:t>
      </w:r>
      <w:r w:rsidR="006C2030">
        <w:rPr>
          <w:bCs/>
        </w:rPr>
        <w:t xml:space="preserve"> </w:t>
      </w:r>
      <w:r w:rsidRPr="00BF25DC">
        <w:rPr>
          <w:bCs/>
        </w:rPr>
        <w:t xml:space="preserve">% ethanol buffer at pH 4. All solutions were degassed prior to the </w:t>
      </w:r>
      <w:r w:rsidRPr="00BF25DC">
        <w:rPr>
          <w:bCs/>
        </w:rPr>
        <w:lastRenderedPageBreak/>
        <w:t>titrations</w:t>
      </w:r>
      <w:r>
        <w:rPr>
          <w:bCs/>
        </w:rPr>
        <w:t>. Two mM tetrameric proanthocyanidin</w:t>
      </w:r>
      <w:r w:rsidRPr="00E50872">
        <w:rPr>
          <w:bCs/>
        </w:rPr>
        <w:t xml:space="preserve"> was loaded into the syringe and titrated into the sample cell, which contained </w:t>
      </w:r>
      <w:r>
        <w:rPr>
          <w:bCs/>
        </w:rPr>
        <w:t>25</w:t>
      </w:r>
      <w:r w:rsidRPr="00E50872">
        <w:rPr>
          <w:bCs/>
        </w:rPr>
        <w:t xml:space="preserve"> µM polyproline</w:t>
      </w:r>
      <w:r>
        <w:rPr>
          <w:bCs/>
        </w:rPr>
        <w:t xml:space="preserve"> using 27</w:t>
      </w:r>
      <m:oMath>
        <m:r>
          <w:rPr>
            <w:rFonts w:ascii="Cambria Math" w:hAnsi="Cambria Math"/>
          </w:rPr>
          <m:t xml:space="preserve"> × </m:t>
        </m:r>
      </m:oMath>
      <w:r>
        <w:rPr>
          <w:bCs/>
        </w:rPr>
        <w:t xml:space="preserve">1.67 µL injections. </w:t>
      </w:r>
      <w:r w:rsidRPr="00D76CF2">
        <w:rPr>
          <w:bCs/>
        </w:rPr>
        <w:t>In each titration, the reference cell contained the buffer. The time delay between each injection was 300 seconds and the RPM was set to 280 to ensure thorough mixing of the cell. Data analysis was c</w:t>
      </w:r>
      <w:r w:rsidR="00597F51">
        <w:rPr>
          <w:bCs/>
        </w:rPr>
        <w:t>arried out as previously stated in section 3.3.2.</w:t>
      </w:r>
    </w:p>
    <w:p w:rsidR="00E73475" w:rsidRDefault="00BE03A4" w:rsidP="00E73475">
      <w:pPr>
        <w:pStyle w:val="Heading3"/>
        <w:spacing w:line="480" w:lineRule="auto"/>
      </w:pPr>
      <w:bookmarkStart w:id="88" w:name="_Toc459130697"/>
      <w:r w:rsidRPr="00FB7BEA">
        <w:t>Isothermal T</w:t>
      </w:r>
      <w:r>
        <w:t xml:space="preserve">itration </w:t>
      </w:r>
      <w:r w:rsidR="00AC34CA">
        <w:t>C</w:t>
      </w:r>
      <w:r>
        <w:t>alorimetry (BSA-</w:t>
      </w:r>
      <w:r w:rsidRPr="00FB7BEA">
        <w:t>Proanthocyanidin Interactions)</w:t>
      </w:r>
      <w:bookmarkEnd w:id="88"/>
    </w:p>
    <w:p w:rsidR="000574FF" w:rsidRDefault="000574FF" w:rsidP="000574FF">
      <w:pPr>
        <w:spacing w:line="480" w:lineRule="auto"/>
        <w:jc w:val="both"/>
        <w:rPr>
          <w:bCs/>
        </w:rPr>
      </w:pPr>
      <w:r w:rsidRPr="00FB7BEA">
        <w:rPr>
          <w:bCs/>
        </w:rPr>
        <w:t xml:space="preserve"> A Nano-ITC instrument was used to measure the binding thermodynamics between BSA and the octameric proanthocyanidin at </w:t>
      </w:r>
      <w:r w:rsidR="003C2307">
        <w:rPr>
          <w:bCs/>
        </w:rPr>
        <w:t xml:space="preserve">10, 25 and 35 </w:t>
      </w:r>
      <w:r>
        <w:rPr>
          <w:bCs/>
        </w:rPr>
        <w:t>°C</w:t>
      </w:r>
      <w:r w:rsidRPr="00FB7BEA">
        <w:rPr>
          <w:bCs/>
        </w:rPr>
        <w:t xml:space="preserve">. </w:t>
      </w:r>
      <w:r w:rsidR="00F52025">
        <w:rPr>
          <w:bCs/>
        </w:rPr>
        <w:t>The BSA fraction was not fatty acid free. This increased the stability of the protein meaning ITC studies could be performed at 35 °C</w:t>
      </w:r>
      <w:r w:rsidR="00F52025" w:rsidRPr="00FB7BEA">
        <w:rPr>
          <w:bCs/>
        </w:rPr>
        <w:t xml:space="preserve">. </w:t>
      </w:r>
      <w:r w:rsidRPr="00FB7BEA">
        <w:rPr>
          <w:bCs/>
        </w:rPr>
        <w:t xml:space="preserve">BSA and octameric proanthocyanidin were dissolved in 10 mM ammonium acetate buffer at pH 4. All solutions were degassed prior to the titrations. </w:t>
      </w:r>
      <w:r>
        <w:rPr>
          <w:bCs/>
        </w:rPr>
        <w:t xml:space="preserve">Four </w:t>
      </w:r>
      <w:r w:rsidRPr="00FB7BEA">
        <w:rPr>
          <w:bCs/>
        </w:rPr>
        <w:t xml:space="preserve">mM octameric proanthocyanidin was loaded into the syringe and titrated into the sample cell, which contained 15 µM fatty acid free BSA using </w:t>
      </w:r>
      <w:r>
        <w:rPr>
          <w:bCs/>
        </w:rPr>
        <w:t>30</w:t>
      </w:r>
      <m:oMath>
        <m:r>
          <w:rPr>
            <w:rFonts w:ascii="Cambria Math" w:hAnsi="Cambria Math"/>
          </w:rPr>
          <m:t xml:space="preserve"> × </m:t>
        </m:r>
      </m:oMath>
      <w:r w:rsidRPr="00FB7BEA">
        <w:rPr>
          <w:bCs/>
        </w:rPr>
        <w:t xml:space="preserve">1.49 µL injections. In each titration, the reference cell contained water. The time delay between each injection was 300 seconds and the RPM was set to </w:t>
      </w:r>
      <w:r w:rsidR="003C2307">
        <w:rPr>
          <w:bCs/>
        </w:rPr>
        <w:t xml:space="preserve">200. </w:t>
      </w:r>
    </w:p>
    <w:p w:rsidR="000574FF" w:rsidRDefault="000574FF" w:rsidP="000574FF">
      <w:pPr>
        <w:spacing w:line="480" w:lineRule="auto"/>
        <w:jc w:val="both"/>
        <w:rPr>
          <w:bCs/>
        </w:rPr>
      </w:pPr>
      <w:r>
        <w:rPr>
          <w:bCs/>
        </w:rPr>
        <w:t xml:space="preserve">The pentameric proanthocyanidin was made up to 4.3 mM and the titration performed at </w:t>
      </w:r>
      <w:r w:rsidR="00951CC9">
        <w:rPr>
          <w:bCs/>
        </w:rPr>
        <w:t xml:space="preserve">25 °C </w:t>
      </w:r>
      <w:r>
        <w:rPr>
          <w:bCs/>
        </w:rPr>
        <w:t xml:space="preserve">with 15 µM BSA using 25 </w:t>
      </w:r>
      <m:oMath>
        <m:r>
          <w:rPr>
            <w:rFonts w:ascii="Cambria Math" w:hAnsi="Cambria Math"/>
          </w:rPr>
          <m:t xml:space="preserve">× </m:t>
        </m:r>
      </m:oMath>
      <w:r w:rsidRPr="00DA3448">
        <w:rPr>
          <w:bCs/>
        </w:rPr>
        <w:t>1.49 µL injections</w:t>
      </w:r>
      <w:r>
        <w:rPr>
          <w:bCs/>
        </w:rPr>
        <w:t xml:space="preserve">. To determine the role of water in the binding interaction the binding partners were both dissolved in 10 mM acetate with either 50 mM ammonium sulphate or ammonium thiocyanate. The RPM was set to 200. </w:t>
      </w:r>
      <w:r w:rsidRPr="00DA3448">
        <w:rPr>
          <w:bCs/>
        </w:rPr>
        <w:t>Data analysis was c</w:t>
      </w:r>
      <w:r w:rsidR="00597F51">
        <w:rPr>
          <w:bCs/>
        </w:rPr>
        <w:t>arried out as previously stated in section 3.3.2.</w:t>
      </w:r>
    </w:p>
    <w:p w:rsidR="00E73475" w:rsidRDefault="000574FF" w:rsidP="001363BC">
      <w:pPr>
        <w:pStyle w:val="Heading3"/>
      </w:pPr>
      <w:bookmarkStart w:id="89" w:name="_Toc459130698"/>
      <w:r w:rsidRPr="00FB7BEA">
        <w:t xml:space="preserve">Isothermal </w:t>
      </w:r>
      <w:r w:rsidR="00BE03A4">
        <w:t xml:space="preserve">Titration </w:t>
      </w:r>
      <w:r w:rsidR="00AC34CA">
        <w:t>C</w:t>
      </w:r>
      <w:r w:rsidR="00BE03A4">
        <w:t xml:space="preserve">alorimetry </w:t>
      </w:r>
      <w:r>
        <w:t>(BSA–</w:t>
      </w:r>
      <w:r w:rsidR="00BE03A4">
        <w:t>Fatty Acid Interactions</w:t>
      </w:r>
      <w:r w:rsidRPr="00FB7BEA">
        <w:t>)</w:t>
      </w:r>
      <w:bookmarkEnd w:id="89"/>
    </w:p>
    <w:p w:rsidR="00E73475" w:rsidRPr="00E73475" w:rsidRDefault="00E73475" w:rsidP="00E73475"/>
    <w:p w:rsidR="000574FF" w:rsidRDefault="000574FF" w:rsidP="000574FF">
      <w:pPr>
        <w:spacing w:line="480" w:lineRule="auto"/>
        <w:jc w:val="both"/>
        <w:rPr>
          <w:bCs/>
        </w:rPr>
      </w:pPr>
      <w:r>
        <w:rPr>
          <w:bCs/>
        </w:rPr>
        <w:t xml:space="preserve"> </w:t>
      </w:r>
      <w:r w:rsidRPr="00FB7BEA">
        <w:rPr>
          <w:bCs/>
        </w:rPr>
        <w:t xml:space="preserve">A Nano-ITC instrument was used to measure the binding thermodynamics between BSA and </w:t>
      </w:r>
      <w:r>
        <w:rPr>
          <w:bCs/>
        </w:rPr>
        <w:t xml:space="preserve">sodium </w:t>
      </w:r>
      <w:r w:rsidRPr="0043313C">
        <w:rPr>
          <w:bCs/>
        </w:rPr>
        <w:t xml:space="preserve">octanoate </w:t>
      </w:r>
      <w:r w:rsidRPr="00FB7BEA">
        <w:rPr>
          <w:bCs/>
        </w:rPr>
        <w:t xml:space="preserve">at </w:t>
      </w:r>
      <w:r w:rsidR="003C2307">
        <w:rPr>
          <w:bCs/>
        </w:rPr>
        <w:t>25 °C</w:t>
      </w:r>
      <w:r w:rsidRPr="00FB7BEA">
        <w:rPr>
          <w:bCs/>
        </w:rPr>
        <w:t>.</w:t>
      </w:r>
      <w:r>
        <w:rPr>
          <w:bCs/>
        </w:rPr>
        <w:t xml:space="preserve"> Three hundred µM</w:t>
      </w:r>
      <w:r w:rsidRPr="00FB7BEA">
        <w:rPr>
          <w:bCs/>
        </w:rPr>
        <w:t xml:space="preserve"> BSA and </w:t>
      </w:r>
      <w:r>
        <w:rPr>
          <w:bCs/>
        </w:rPr>
        <w:t xml:space="preserve">6 mM sodium </w:t>
      </w:r>
      <w:r w:rsidRPr="0043313C">
        <w:rPr>
          <w:bCs/>
        </w:rPr>
        <w:t xml:space="preserve">octanoate </w:t>
      </w:r>
      <w:r w:rsidRPr="00FB7BEA">
        <w:rPr>
          <w:bCs/>
        </w:rPr>
        <w:t xml:space="preserve">were dissolved in </w:t>
      </w:r>
      <w:r>
        <w:rPr>
          <w:bCs/>
        </w:rPr>
        <w:t xml:space="preserve">20 </w:t>
      </w:r>
      <w:r w:rsidRPr="00FB7BEA">
        <w:rPr>
          <w:bCs/>
        </w:rPr>
        <w:t xml:space="preserve">mM </w:t>
      </w:r>
      <w:r>
        <w:rPr>
          <w:bCs/>
        </w:rPr>
        <w:t>sodium phosphate</w:t>
      </w:r>
      <w:r w:rsidRPr="00FB7BEA">
        <w:rPr>
          <w:bCs/>
        </w:rPr>
        <w:t xml:space="preserve"> buffer at pH </w:t>
      </w:r>
      <w:r>
        <w:rPr>
          <w:bCs/>
        </w:rPr>
        <w:t xml:space="preserve">7.2 using 32 </w:t>
      </w:r>
      <m:oMath>
        <m:r>
          <w:rPr>
            <w:rFonts w:ascii="Cambria Math" w:hAnsi="Cambria Math"/>
          </w:rPr>
          <m:t xml:space="preserve">× </m:t>
        </m:r>
      </m:oMath>
      <w:r w:rsidRPr="00DA3448">
        <w:rPr>
          <w:bCs/>
        </w:rPr>
        <w:t>1.</w:t>
      </w:r>
      <w:r>
        <w:rPr>
          <w:bCs/>
        </w:rPr>
        <w:t>07</w:t>
      </w:r>
      <w:r w:rsidRPr="00DA3448">
        <w:rPr>
          <w:bCs/>
        </w:rPr>
        <w:t xml:space="preserve"> µL injections</w:t>
      </w:r>
      <w:r>
        <w:rPr>
          <w:bCs/>
        </w:rPr>
        <w:t xml:space="preserve">. The </w:t>
      </w:r>
      <w:r>
        <w:rPr>
          <w:bCs/>
        </w:rPr>
        <w:lastRenderedPageBreak/>
        <w:t>binding interaction the binding partners were both dissolved in 10 mM acetate with either 50 mM ammonium sulphate or ammonium thiocyanate.</w:t>
      </w:r>
      <w:r w:rsidRPr="00F80CE0">
        <w:rPr>
          <w:bCs/>
        </w:rPr>
        <w:t xml:space="preserve"> </w:t>
      </w:r>
      <w:r w:rsidR="0005265A">
        <w:rPr>
          <w:bCs/>
        </w:rPr>
        <w:t>Binding of octanoate to BSA is a simple 1:1 binding interaction unlike the polyphenol-BSA interactions</w:t>
      </w:r>
      <w:r w:rsidR="002E2B73">
        <w:rPr>
          <w:bCs/>
        </w:rPr>
        <w:t>, which are multi-site and lead to crosslinking and or aggregation</w:t>
      </w:r>
      <w:r w:rsidR="002F1AE2">
        <w:rPr>
          <w:bCs/>
        </w:rPr>
        <w:t>. This may allow us to discuss how tannin induced aggregation or crosslinking could be affecting the binding isotherms</w:t>
      </w:r>
      <w:r w:rsidR="0005265A">
        <w:rPr>
          <w:bCs/>
        </w:rPr>
        <w:t xml:space="preserve">.  </w:t>
      </w:r>
      <w:r>
        <w:rPr>
          <w:bCs/>
        </w:rPr>
        <w:t xml:space="preserve">The RPM was set to 200. </w:t>
      </w:r>
      <w:r w:rsidRPr="00DA3448">
        <w:rPr>
          <w:bCs/>
        </w:rPr>
        <w:t>Data analysis was c</w:t>
      </w:r>
      <w:r w:rsidR="00597F51">
        <w:rPr>
          <w:bCs/>
        </w:rPr>
        <w:t>arried out as previously stated in section 3.3.2.</w:t>
      </w:r>
    </w:p>
    <w:p w:rsidR="00E73475" w:rsidRDefault="00E73475" w:rsidP="00E73475">
      <w:pPr>
        <w:pStyle w:val="Heading3"/>
        <w:spacing w:line="480" w:lineRule="auto"/>
      </w:pPr>
      <w:bookmarkStart w:id="90" w:name="_Toc459130699"/>
      <w:r>
        <w:t>Circular Dichroism</w:t>
      </w:r>
      <w:r w:rsidR="00E71EDB">
        <w:t xml:space="preserve"> Spectroscopy</w:t>
      </w:r>
      <w:bookmarkEnd w:id="90"/>
    </w:p>
    <w:p w:rsidR="000574FF" w:rsidRDefault="000574FF" w:rsidP="000574FF">
      <w:pPr>
        <w:spacing w:line="480" w:lineRule="auto"/>
        <w:jc w:val="both"/>
        <w:rPr>
          <w:bCs/>
          <w:vertAlign w:val="superscript"/>
        </w:rPr>
      </w:pPr>
      <w:r>
        <w:rPr>
          <w:b/>
          <w:bCs/>
        </w:rPr>
        <w:t xml:space="preserve"> </w:t>
      </w:r>
      <w:r w:rsidRPr="003C17AF">
        <w:rPr>
          <w:bCs/>
        </w:rPr>
        <w:t xml:space="preserve">Circular </w:t>
      </w:r>
      <w:r w:rsidR="00CB3C2F" w:rsidRPr="003C17AF">
        <w:rPr>
          <w:bCs/>
        </w:rPr>
        <w:t>Dichroism</w:t>
      </w:r>
      <w:r w:rsidRPr="003C17AF">
        <w:rPr>
          <w:bCs/>
        </w:rPr>
        <w:t xml:space="preserve"> (CD) measurements were made on a Jasco-</w:t>
      </w:r>
      <w:r w:rsidRPr="00317DCE">
        <w:rPr>
          <w:bCs/>
        </w:rPr>
        <w:t>810</w:t>
      </w:r>
      <w:r>
        <w:rPr>
          <w:bCs/>
        </w:rPr>
        <w:t xml:space="preserve"> </w:t>
      </w:r>
      <w:r w:rsidRPr="003C17AF">
        <w:rPr>
          <w:bCs/>
        </w:rPr>
        <w:t>automatic recor</w:t>
      </w:r>
      <w:r>
        <w:rPr>
          <w:bCs/>
        </w:rPr>
        <w:t>ding spectropolarimeter (</w:t>
      </w:r>
      <w:r w:rsidR="00106280">
        <w:rPr>
          <w:bCs/>
        </w:rPr>
        <w:t xml:space="preserve">Jasco,Tokyo, </w:t>
      </w:r>
      <w:r>
        <w:rPr>
          <w:bCs/>
        </w:rPr>
        <w:t xml:space="preserve">Japan). BSA and polyproline concentration was </w:t>
      </w:r>
      <w:r w:rsidRPr="002376C1">
        <w:rPr>
          <w:bCs/>
        </w:rPr>
        <w:t>3.75 µM</w:t>
      </w:r>
      <w:r>
        <w:rPr>
          <w:bCs/>
        </w:rPr>
        <w:t xml:space="preserve"> and 10 </w:t>
      </w:r>
      <w:r w:rsidRPr="002376C1">
        <w:rPr>
          <w:bCs/>
        </w:rPr>
        <w:t>µM</w:t>
      </w:r>
      <w:r>
        <w:rPr>
          <w:bCs/>
        </w:rPr>
        <w:t xml:space="preserve"> respectively. For the BSA experiments</w:t>
      </w:r>
      <w:r w:rsidRPr="003C17AF">
        <w:rPr>
          <w:bCs/>
        </w:rPr>
        <w:t xml:space="preserve"> </w:t>
      </w:r>
      <w:r>
        <w:rPr>
          <w:bCs/>
        </w:rPr>
        <w:t xml:space="preserve">a </w:t>
      </w:r>
      <w:r w:rsidRPr="003C17AF">
        <w:rPr>
          <w:bCs/>
        </w:rPr>
        <w:t xml:space="preserve">2 mm cell </w:t>
      </w:r>
      <w:r>
        <w:rPr>
          <w:bCs/>
        </w:rPr>
        <w:t xml:space="preserve">was used </w:t>
      </w:r>
      <w:r w:rsidRPr="003C17AF">
        <w:rPr>
          <w:bCs/>
        </w:rPr>
        <w:t xml:space="preserve">at </w:t>
      </w:r>
      <w:r>
        <w:rPr>
          <w:bCs/>
        </w:rPr>
        <w:t>room temperature and ≈</w:t>
      </w:r>
      <w:r w:rsidR="003C2307">
        <w:rPr>
          <w:bCs/>
        </w:rPr>
        <w:t xml:space="preserve"> 25 °C</w:t>
      </w:r>
      <w:r w:rsidRPr="003C17AF">
        <w:rPr>
          <w:bCs/>
        </w:rPr>
        <w:t>. The spectra w</w:t>
      </w:r>
      <w:r>
        <w:rPr>
          <w:bCs/>
        </w:rPr>
        <w:t>ere recorded in the range of 190</w:t>
      </w:r>
      <w:r w:rsidRPr="003C17AF">
        <w:rPr>
          <w:bCs/>
        </w:rPr>
        <w:t>−</w:t>
      </w:r>
      <w:r>
        <w:rPr>
          <w:bCs/>
        </w:rPr>
        <w:t>260 nm and the scan rate was set at 50</w:t>
      </w:r>
      <w:r w:rsidRPr="003C17AF">
        <w:rPr>
          <w:bCs/>
        </w:rPr>
        <w:t xml:space="preserve"> nm/min with a response time</w:t>
      </w:r>
      <w:r>
        <w:rPr>
          <w:bCs/>
        </w:rPr>
        <w:t xml:space="preserve"> of 8 s</w:t>
      </w:r>
      <w:r w:rsidRPr="003C17AF">
        <w:rPr>
          <w:bCs/>
        </w:rPr>
        <w:t>.</w:t>
      </w:r>
      <w:r>
        <w:rPr>
          <w:bCs/>
        </w:rPr>
        <w:t xml:space="preserve"> For the polyproline experiments, a 2 mm cell was used at </w:t>
      </w:r>
      <w:r w:rsidR="00195417">
        <w:rPr>
          <w:bCs/>
        </w:rPr>
        <w:t>10</w:t>
      </w:r>
      <w:r>
        <w:rPr>
          <w:bCs/>
        </w:rPr>
        <w:t xml:space="preserve">, </w:t>
      </w:r>
      <w:r w:rsidR="00195417">
        <w:rPr>
          <w:bCs/>
        </w:rPr>
        <w:t>25</w:t>
      </w:r>
      <w:r>
        <w:rPr>
          <w:bCs/>
        </w:rPr>
        <w:t xml:space="preserve"> and </w:t>
      </w:r>
      <w:r w:rsidR="00195417">
        <w:rPr>
          <w:bCs/>
        </w:rPr>
        <w:t>40</w:t>
      </w:r>
      <w:r>
        <w:rPr>
          <w:bCs/>
        </w:rPr>
        <w:t xml:space="preserve"> </w:t>
      </w:r>
      <w:r w:rsidR="00195417">
        <w:rPr>
          <w:bCs/>
        </w:rPr>
        <w:t>°C</w:t>
      </w:r>
      <w:r>
        <w:rPr>
          <w:bCs/>
        </w:rPr>
        <w:t>. The spectra was recorded in the range of 185-260 nm and the scan rate was set at 50 nm/min with a response time of 8 s. The</w:t>
      </w:r>
      <w:r w:rsidRPr="00405A09">
        <w:rPr>
          <w:bCs/>
        </w:rPr>
        <w:t xml:space="preserve"> results are expressed as molar ellipticity ([θ]) in deg cm</w:t>
      </w:r>
      <w:r w:rsidRPr="00405A09">
        <w:rPr>
          <w:bCs/>
          <w:vertAlign w:val="superscript"/>
        </w:rPr>
        <w:t>2</w:t>
      </w:r>
      <w:r w:rsidRPr="00405A09">
        <w:rPr>
          <w:bCs/>
        </w:rPr>
        <w:t> dmol</w:t>
      </w:r>
      <w:r w:rsidRPr="00405A09">
        <w:rPr>
          <w:bCs/>
          <w:vertAlign w:val="superscript"/>
        </w:rPr>
        <w:t>-1</w:t>
      </w:r>
    </w:p>
    <w:p w:rsidR="00E73475" w:rsidRDefault="00E73475" w:rsidP="00E73475">
      <w:pPr>
        <w:pStyle w:val="Heading3"/>
        <w:spacing w:line="480" w:lineRule="auto"/>
      </w:pPr>
      <w:bookmarkStart w:id="91" w:name="_Toc459130700"/>
      <w:r w:rsidRPr="00CC7572">
        <w:t>Nano</w:t>
      </w:r>
      <w:r>
        <w:t>particle</w:t>
      </w:r>
      <w:r w:rsidR="000574FF" w:rsidRPr="00CC7572">
        <w:t xml:space="preserve"> Tracking Analysis</w:t>
      </w:r>
      <w:bookmarkEnd w:id="91"/>
      <w:r w:rsidR="000574FF" w:rsidRPr="00CC7572">
        <w:t xml:space="preserve"> </w:t>
      </w:r>
    </w:p>
    <w:p w:rsidR="000574FF" w:rsidRDefault="00AC34CA" w:rsidP="000574FF">
      <w:pPr>
        <w:spacing w:line="480" w:lineRule="auto"/>
        <w:jc w:val="both"/>
        <w:rPr>
          <w:bCs/>
        </w:rPr>
      </w:pPr>
      <w:r>
        <w:rPr>
          <w:bCs/>
        </w:rPr>
        <w:t>Nanoparticle Tracking Analysis</w:t>
      </w:r>
      <w:r w:rsidR="000574FF">
        <w:rPr>
          <w:bCs/>
        </w:rPr>
        <w:t xml:space="preserve"> </w:t>
      </w:r>
      <w:r>
        <w:rPr>
          <w:bCs/>
        </w:rPr>
        <w:t>(</w:t>
      </w:r>
      <w:r w:rsidR="000574FF">
        <w:rPr>
          <w:bCs/>
        </w:rPr>
        <w:t>NTA</w:t>
      </w:r>
      <w:r>
        <w:rPr>
          <w:bCs/>
        </w:rPr>
        <w:t>)</w:t>
      </w:r>
      <w:r w:rsidR="000574FF" w:rsidRPr="00311A93">
        <w:rPr>
          <w:bCs/>
        </w:rPr>
        <w:t xml:space="preserve"> </w:t>
      </w:r>
      <w:r w:rsidR="000574FF">
        <w:rPr>
          <w:bCs/>
        </w:rPr>
        <w:t xml:space="preserve">(NanoSight Ltd., Wiltshire, UK) can visualise </w:t>
      </w:r>
      <w:r w:rsidR="000574FF" w:rsidRPr="00311A93">
        <w:rPr>
          <w:bCs/>
        </w:rPr>
        <w:t xml:space="preserve">nanoparticles </w:t>
      </w:r>
      <w:r w:rsidR="000574FF">
        <w:rPr>
          <w:bCs/>
        </w:rPr>
        <w:t>in a liquid suspension.</w:t>
      </w:r>
      <w:r w:rsidR="000574FF" w:rsidRPr="00311A93">
        <w:rPr>
          <w:bCs/>
        </w:rPr>
        <w:t xml:space="preserve"> NTA </w:t>
      </w:r>
      <w:r w:rsidR="000574FF">
        <w:rPr>
          <w:bCs/>
        </w:rPr>
        <w:t>has 3 basic stages (1) video capture, (2</w:t>
      </w:r>
      <w:r w:rsidR="000574FF" w:rsidRPr="00311A93">
        <w:rPr>
          <w:bCs/>
        </w:rPr>
        <w:t>) sett</w:t>
      </w:r>
      <w:r w:rsidR="000574FF">
        <w:rPr>
          <w:bCs/>
        </w:rPr>
        <w:t>ing of analysis parameters, (3</w:t>
      </w:r>
      <w:r w:rsidR="000574FF" w:rsidRPr="00311A93">
        <w:rPr>
          <w:bCs/>
        </w:rPr>
        <w:t>) tracking analysis. Th</w:t>
      </w:r>
      <w:r w:rsidR="000574FF">
        <w:rPr>
          <w:bCs/>
        </w:rPr>
        <w:t>e Nanosight (LM14) was used in this experiment</w:t>
      </w:r>
      <w:r w:rsidR="000574FF" w:rsidRPr="00311A93">
        <w:rPr>
          <w:bCs/>
        </w:rPr>
        <w:t xml:space="preserve">. </w:t>
      </w:r>
      <w:r w:rsidR="000574FF">
        <w:rPr>
          <w:bCs/>
        </w:rPr>
        <w:t xml:space="preserve">The particles scatter </w:t>
      </w:r>
      <w:r w:rsidR="00390F66">
        <w:rPr>
          <w:bCs/>
        </w:rPr>
        <w:t>light, which</w:t>
      </w:r>
      <w:r w:rsidR="000574FF">
        <w:rPr>
          <w:bCs/>
        </w:rPr>
        <w:t xml:space="preserve"> is visualised using an optical microscope. A video is then made recording the tracks of the particles. </w:t>
      </w:r>
    </w:p>
    <w:p w:rsidR="000574FF" w:rsidRDefault="000574FF" w:rsidP="000574FF">
      <w:pPr>
        <w:spacing w:line="480" w:lineRule="auto"/>
        <w:jc w:val="both"/>
        <w:rPr>
          <w:bCs/>
        </w:rPr>
      </w:pPr>
      <w:r>
        <w:rPr>
          <w:bCs/>
        </w:rPr>
        <w:t xml:space="preserve">Two controls were used in the aggregation studies.  A solution of 0.5 µM polyproline and 3.75 mM tannic acid in 10 mM sodium acetate in 10% ethanol pH 4 were analysed separately using NTA to determine the amount of particles.  </w:t>
      </w:r>
    </w:p>
    <w:p w:rsidR="00E73475" w:rsidRDefault="000574FF" w:rsidP="000574FF">
      <w:pPr>
        <w:spacing w:line="480" w:lineRule="auto"/>
        <w:jc w:val="both"/>
        <w:rPr>
          <w:bCs/>
        </w:rPr>
      </w:pPr>
      <w:r>
        <w:rPr>
          <w:bCs/>
        </w:rPr>
        <w:lastRenderedPageBreak/>
        <w:t xml:space="preserve">To determine the amount of crosslinking between </w:t>
      </w:r>
      <w:r w:rsidR="00B26DCC">
        <w:rPr>
          <w:bCs/>
        </w:rPr>
        <w:t>polyproline</w:t>
      </w:r>
      <w:r>
        <w:rPr>
          <w:bCs/>
        </w:rPr>
        <w:t xml:space="preserve"> an</w:t>
      </w:r>
      <w:r w:rsidR="00B26DCC">
        <w:rPr>
          <w:bCs/>
        </w:rPr>
        <w:t>d tannic acid</w:t>
      </w:r>
      <w:r>
        <w:rPr>
          <w:bCs/>
        </w:rPr>
        <w:t xml:space="preserve">, the solutions were thoroughly mixed and 1 ml of the solution was injected into the cell. </w:t>
      </w:r>
      <w:r w:rsidRPr="00CC7572">
        <w:rPr>
          <w:bCs/>
        </w:rPr>
        <w:t> Tem</w:t>
      </w:r>
      <w:r>
        <w:rPr>
          <w:bCs/>
        </w:rPr>
        <w:t>perature was held constant at 25</w:t>
      </w:r>
      <w:r w:rsidRPr="00CC7572">
        <w:rPr>
          <w:bCs/>
        </w:rPr>
        <w:t> °C during the experiment, using the temperature control on the LM14.</w:t>
      </w:r>
      <w:r w:rsidR="00CF6B6F">
        <w:rPr>
          <w:bCs/>
        </w:rPr>
        <w:t xml:space="preserve"> </w:t>
      </w:r>
      <w:r w:rsidR="00466D29">
        <w:rPr>
          <w:bCs/>
        </w:rPr>
        <w:t xml:space="preserve">The images </w:t>
      </w:r>
      <w:r w:rsidR="00225A2E">
        <w:rPr>
          <w:bCs/>
        </w:rPr>
        <w:t xml:space="preserve">are not to scale and are purely representative of the videos capturing the light scattering videos. </w:t>
      </w: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Default="00CF6B6F" w:rsidP="000574FF">
      <w:pPr>
        <w:spacing w:line="480" w:lineRule="auto"/>
        <w:jc w:val="both"/>
        <w:rPr>
          <w:bCs/>
        </w:rPr>
      </w:pPr>
    </w:p>
    <w:p w:rsidR="00CF6B6F" w:rsidRPr="00F27473" w:rsidRDefault="00CF6B6F" w:rsidP="000574FF">
      <w:pPr>
        <w:spacing w:line="480" w:lineRule="auto"/>
        <w:jc w:val="both"/>
        <w:rPr>
          <w:bCs/>
        </w:rPr>
      </w:pPr>
    </w:p>
    <w:p w:rsidR="000574FF" w:rsidRPr="00E62312" w:rsidRDefault="000574FF" w:rsidP="00E73475">
      <w:pPr>
        <w:pStyle w:val="Heading2"/>
        <w:spacing w:line="480" w:lineRule="auto"/>
      </w:pPr>
      <w:bookmarkStart w:id="92" w:name="_Toc459130701"/>
      <w:r w:rsidRPr="00536BC2">
        <w:lastRenderedPageBreak/>
        <w:t>Results and Discussion</w:t>
      </w:r>
      <w:bookmarkEnd w:id="92"/>
    </w:p>
    <w:p w:rsidR="000574FF" w:rsidRDefault="000574FF" w:rsidP="00E73475">
      <w:pPr>
        <w:pStyle w:val="Heading3"/>
        <w:spacing w:line="480" w:lineRule="auto"/>
      </w:pPr>
      <w:bookmarkStart w:id="93" w:name="_Toc459130702"/>
      <w:r w:rsidRPr="00335A3E">
        <w:t xml:space="preserve">Tannic </w:t>
      </w:r>
      <w:r w:rsidR="00E71EDB" w:rsidRPr="00335A3E">
        <w:t>Acid Intera</w:t>
      </w:r>
      <w:r w:rsidR="00E71EDB">
        <w:t xml:space="preserve">ctions </w:t>
      </w:r>
      <w:r>
        <w:t>with B</w:t>
      </w:r>
      <w:r w:rsidR="00AC34CA">
        <w:t xml:space="preserve">ovine </w:t>
      </w:r>
      <w:r>
        <w:t>S</w:t>
      </w:r>
      <w:r w:rsidR="00AC34CA">
        <w:t xml:space="preserve">erum </w:t>
      </w:r>
      <w:r>
        <w:t>A</w:t>
      </w:r>
      <w:r w:rsidR="00AC34CA">
        <w:t>lbumin</w:t>
      </w:r>
      <w:bookmarkEnd w:id="93"/>
    </w:p>
    <w:p w:rsidR="00B55C59" w:rsidRDefault="00040F10" w:rsidP="000574FF">
      <w:pPr>
        <w:spacing w:line="480" w:lineRule="auto"/>
        <w:jc w:val="both"/>
        <w:rPr>
          <w:bCs/>
        </w:rPr>
      </w:pPr>
      <w:r>
        <w:rPr>
          <w:bCs/>
          <w:noProof/>
          <w:lang w:eastAsia="en-GB"/>
        </w:rPr>
        <w:pict>
          <v:shapetype id="_x0000_t202" coordsize="21600,21600" o:spt="202" path="m,l,21600r21600,l21600,xe">
            <v:stroke joinstyle="miter"/>
            <v:path gradientshapeok="t" o:connecttype="rect"/>
          </v:shapetype>
          <v:shape id="_x0000_s1194" type="#_x0000_t202" style="position:absolute;left:0;text-align:left;margin-left:176.35pt;margin-top:246.15pt;width:87.05pt;height:17.7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94">
              <w:txbxContent>
                <w:p w:rsidR="003A5686" w:rsidRPr="00B141B9" w:rsidRDefault="003A5686" w:rsidP="006D046F">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0574FF" w:rsidRPr="00536BC2">
        <w:rPr>
          <w:bCs/>
        </w:rPr>
        <w:t xml:space="preserve">Titration of buffer into BSA and tannic acid into buffer showed a </w:t>
      </w:r>
      <w:r w:rsidR="000574FF">
        <w:rPr>
          <w:bCs/>
        </w:rPr>
        <w:t>minor</w:t>
      </w:r>
      <w:r w:rsidR="000574FF" w:rsidRPr="00536BC2">
        <w:rPr>
          <w:bCs/>
        </w:rPr>
        <w:t xml:space="preserve"> </w:t>
      </w:r>
      <w:r w:rsidR="003915D1" w:rsidRPr="001D171F">
        <w:rPr>
          <w:rFonts w:eastAsiaTheme="minorEastAsia"/>
        </w:rPr>
        <w:t>Δ</w:t>
      </w:r>
      <w:r w:rsidR="003915D1">
        <w:rPr>
          <w:rFonts w:eastAsiaTheme="minorEastAsia"/>
          <w:i/>
        </w:rPr>
        <w:t>H</w:t>
      </w:r>
      <w:r w:rsidR="000574FF" w:rsidRPr="00536BC2">
        <w:rPr>
          <w:bCs/>
        </w:rPr>
        <w:t>. The titration at 25</w:t>
      </w:r>
      <w:r w:rsidR="006F2757">
        <w:rPr>
          <w:bCs/>
        </w:rPr>
        <w:t xml:space="preserve"> </w:t>
      </w:r>
      <w:r w:rsidR="000574FF" w:rsidRPr="00536BC2">
        <w:rPr>
          <w:bCs/>
        </w:rPr>
        <w:t xml:space="preserve">°C shows evidence of two stages of interaction, the first stage shows increasing exothermic </w:t>
      </w:r>
      <w:r w:rsidR="00226E74">
        <w:rPr>
          <w:bCs/>
        </w:rPr>
        <w:t xml:space="preserve">enthalpies </w:t>
      </w:r>
      <w:r w:rsidR="000574FF" w:rsidRPr="00536BC2">
        <w:rPr>
          <w:bCs/>
          <w:iCs/>
        </w:rPr>
        <w:t xml:space="preserve">with each injection producing an upward curvature </w:t>
      </w:r>
      <w:r w:rsidR="000574FF" w:rsidRPr="00536BC2">
        <w:rPr>
          <w:bCs/>
        </w:rPr>
        <w:t>below 10 protei</w:t>
      </w:r>
      <w:r w:rsidR="000574FF">
        <w:rPr>
          <w:bCs/>
        </w:rPr>
        <w:t>n-tannin molar ratios (</w:t>
      </w:r>
      <w:r w:rsidR="0075172E">
        <w:rPr>
          <w:bCs/>
        </w:rPr>
        <w:fldChar w:fldCharType="begin"/>
      </w:r>
      <w:r w:rsidR="007D62B9">
        <w:rPr>
          <w:bCs/>
        </w:rPr>
        <w:instrText xml:space="preserve"> REF _Ref442870268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7</w:t>
      </w:r>
      <w:r w:rsidR="0075172E">
        <w:rPr>
          <w:bCs/>
        </w:rPr>
        <w:fldChar w:fldCharType="end"/>
      </w:r>
      <w:r w:rsidR="000574FF" w:rsidRPr="00536BC2">
        <w:rPr>
          <w:bCs/>
        </w:rPr>
        <w:t xml:space="preserve">). The second stage shows </w:t>
      </w:r>
      <w:r w:rsidR="000574FF">
        <w:rPr>
          <w:bCs/>
        </w:rPr>
        <w:t>a less favourable endothermic</w:t>
      </w:r>
      <w:r w:rsidR="000574FF" w:rsidRPr="00536BC2">
        <w:rPr>
          <w:bCs/>
        </w:rPr>
        <w:t xml:space="preserve"> </w:t>
      </w:r>
      <w:r w:rsidR="00C20849" w:rsidRPr="001D171F">
        <w:rPr>
          <w:rFonts w:eastAsiaTheme="minorEastAsia"/>
        </w:rPr>
        <w:t>Δ</w:t>
      </w:r>
      <w:r w:rsidR="00C20849">
        <w:rPr>
          <w:rFonts w:eastAsiaTheme="minorEastAsia"/>
          <w:i/>
        </w:rPr>
        <w:t>H</w:t>
      </w:r>
      <w:r w:rsidR="00C20849" w:rsidRPr="00536BC2">
        <w:rPr>
          <w:bCs/>
          <w:iCs/>
        </w:rPr>
        <w:t xml:space="preserve"> </w:t>
      </w:r>
      <w:r w:rsidR="000574FF" w:rsidRPr="00536BC2">
        <w:rPr>
          <w:bCs/>
          <w:iCs/>
        </w:rPr>
        <w:t xml:space="preserve">with each injection. The second part of the titration curve is not sigmoidal </w:t>
      </w:r>
      <w:r w:rsidR="000574FF" w:rsidRPr="00536BC2">
        <w:rPr>
          <w:bCs/>
        </w:rPr>
        <w:t>indicating non-specific interaction between tannic acid and BSA</w:t>
      </w:r>
      <w:r w:rsidR="000574FF">
        <w:rPr>
          <w:bCs/>
        </w:rPr>
        <w:t>.</w:t>
      </w:r>
      <w:r w:rsidR="000574FF" w:rsidRPr="00536BC2">
        <w:rPr>
          <w:bCs/>
        </w:rPr>
        <w:t xml:space="preserve"> </w:t>
      </w:r>
      <w:r w:rsidR="0075172E" w:rsidRPr="00536BC2">
        <w:rPr>
          <w:bCs/>
        </w:rPr>
        <w:fldChar w:fldCharType="begin">
          <w:fldData xml:space="preserve">PEVuZE5vdGU+PENpdGU+PEF1dGhvcj5GcmF6aWVyPC9BdXRob3I+PFllYXI+MjAwMzwvWWVhcj48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==
</w:fldData>
        </w:fldChar>
      </w:r>
      <w:r w:rsidR="006421D1">
        <w:rPr>
          <w:bCs/>
        </w:rPr>
        <w:instrText xml:space="preserve"> ADDIN EN.CITE </w:instrText>
      </w:r>
      <w:r w:rsidR="0075172E">
        <w:rPr>
          <w:bCs/>
        </w:rPr>
        <w:fldChar w:fldCharType="begin">
          <w:fldData xml:space="preserve">PEVuZE5vdGU+PENpdGU+PEF1dGhvcj5GcmF6aWVyPC9BdXRob3I+PFllYXI+MjAwMzwvWWVhcj48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==
</w:fldData>
        </w:fldChar>
      </w:r>
      <w:r w:rsidR="006421D1">
        <w:rPr>
          <w:bCs/>
        </w:rPr>
        <w:instrText xml:space="preserve"> ADDIN EN.CITE.DATA </w:instrText>
      </w:r>
      <w:r w:rsidR="0075172E">
        <w:rPr>
          <w:bCs/>
        </w:rPr>
      </w:r>
      <w:r w:rsidR="0075172E">
        <w:rPr>
          <w:bCs/>
        </w:rPr>
        <w:fldChar w:fldCharType="end"/>
      </w:r>
      <w:r w:rsidR="0075172E" w:rsidRPr="00536BC2">
        <w:rPr>
          <w:bCs/>
        </w:rPr>
      </w:r>
      <w:r w:rsidR="0075172E" w:rsidRPr="00536BC2">
        <w:rPr>
          <w:bCs/>
        </w:rPr>
        <w:fldChar w:fldCharType="separate"/>
      </w:r>
      <w:hyperlink w:anchor="_ENREF_146" w:tooltip="Frazier, 2003 #407" w:history="1">
        <w:r w:rsidR="00512D09" w:rsidRPr="006421D1">
          <w:rPr>
            <w:bCs/>
            <w:noProof/>
            <w:vertAlign w:val="superscript"/>
          </w:rPr>
          <w:t>146</w:t>
        </w:r>
      </w:hyperlink>
      <w:r w:rsidR="006421D1" w:rsidRPr="006421D1">
        <w:rPr>
          <w:bCs/>
          <w:noProof/>
          <w:vertAlign w:val="superscript"/>
        </w:rPr>
        <w:t>,</w:t>
      </w:r>
      <w:hyperlink w:anchor="_ENREF_216" w:tooltip="Nielsen, 2000 #449" w:history="1">
        <w:r w:rsidR="00512D09" w:rsidRPr="006421D1">
          <w:rPr>
            <w:bCs/>
            <w:noProof/>
            <w:vertAlign w:val="superscript"/>
          </w:rPr>
          <w:t>216</w:t>
        </w:r>
      </w:hyperlink>
      <w:r w:rsidR="006421D1" w:rsidRPr="006421D1">
        <w:rPr>
          <w:bCs/>
          <w:noProof/>
          <w:vertAlign w:val="superscript"/>
        </w:rPr>
        <w:t>,</w:t>
      </w:r>
      <w:hyperlink w:anchor="_ENREF_217" w:tooltip="Kevelam, 1996 #418" w:history="1">
        <w:r w:rsidR="00512D09" w:rsidRPr="006421D1">
          <w:rPr>
            <w:bCs/>
            <w:noProof/>
            <w:vertAlign w:val="superscript"/>
          </w:rPr>
          <w:t>217</w:t>
        </w:r>
      </w:hyperlink>
      <w:r w:rsidR="0075172E" w:rsidRPr="00536BC2">
        <w:rPr>
          <w:bCs/>
        </w:rPr>
        <w:fldChar w:fldCharType="end"/>
      </w:r>
      <w:r w:rsidR="000574FF" w:rsidRPr="00536BC2">
        <w:rPr>
          <w:bCs/>
        </w:rPr>
        <w:t xml:space="preserve"> </w:t>
      </w:r>
      <w:r w:rsidR="000574FF">
        <w:rPr>
          <w:bCs/>
        </w:rPr>
        <w:t xml:space="preserve">In previous ITC </w:t>
      </w:r>
      <w:r w:rsidR="0055729F">
        <w:rPr>
          <w:bCs/>
        </w:rPr>
        <w:t>studies,</w:t>
      </w:r>
      <w:r w:rsidR="000574FF">
        <w:rPr>
          <w:bCs/>
        </w:rPr>
        <w:t xml:space="preserve"> non-specific interactions are thought to occur between the polypeptide chain and the tannin whilst the</w:t>
      </w:r>
      <w:r w:rsidR="000574FF" w:rsidRPr="00536BC2">
        <w:rPr>
          <w:bCs/>
        </w:rPr>
        <w:t xml:space="preserve"> upward curvature at the start of the titration is believed to be indicative of positive cooperativity</w:t>
      </w:r>
      <w:r w:rsidR="000574FF">
        <w:rPr>
          <w:bCs/>
        </w:rPr>
        <w:t>.</w:t>
      </w:r>
      <w:r w:rsidR="000574FF" w:rsidRPr="00536BC2">
        <w:rPr>
          <w:bCs/>
        </w:rPr>
        <w:t xml:space="preserve"> </w:t>
      </w:r>
      <w:hyperlink w:anchor="_ENREF_145" w:tooltip="Prigent, 2009 #450" w:history="1">
        <w:r w:rsidR="00512D09" w:rsidRPr="00536BC2">
          <w:rPr>
            <w:bCs/>
          </w:rPr>
          <w:fldChar w:fldCharType="begin">
            <w:fldData xml:space="preserve">PEVuZE5vdGU+PENpdGU+PEF1dGhvcj5QcmlnZW50PC9BdXRob3I+PFllYXI+MjAwOTwvWWVhcj48
UmVjTnVtPjQ1MDwvUmVjTnVtPjxEaXNwbGF5VGV4dD48c3R5bGUgZmFjZT0ic3VwZXJzY3JpcHQi
PjE0NS0xNDc8L3N0eWxlPjwvRGlzcGxheVRleHQ+PHJlY29yZD48cmVjLW51bWJlcj40NTA8L3Jl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dW0+PC9yZWNvcmQ+PC9DaXRlPjxDaXRlPjxBdXRob3I+UGFzY2FsPC9BdXRob3I+PFllYXI+MjAw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</w:fldData>
          </w:fldChar>
        </w:r>
        <w:r w:rsidR="00512D09">
          <w:rPr>
            <w:bCs/>
          </w:rPr>
          <w:instrText xml:space="preserve"> ADDIN EN.CITE </w:instrText>
        </w:r>
        <w:r w:rsidR="00512D09">
          <w:rPr>
            <w:bCs/>
          </w:rPr>
          <w:fldChar w:fldCharType="begin">
            <w:fldData xml:space="preserve">PEVuZE5vdGU+PENpdGU+PEF1dGhvcj5QcmlnZW50PC9BdXRob3I+PFllYXI+MjAwOTwvWWVhcj48
UmVjTnVtPjQ1MDwvUmVjTnVtPjxEaXNwbGF5VGV4dD48c3R5bGUgZmFjZT0ic3VwZXJzY3JpcHQi
PjE0NS0xNDc8L3N0eWxlPjwvRGlzcGxheVRleHQ+PHJlY29yZD48cmVjLW51bWJlcj40NTA8L3Jl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dW0+PC9yZWNvcmQ+PC9DaXRlPjxDaXRlPjxBdXRob3I+UGFzY2FsPC9BdXRob3I+PFllYXI+MjAw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</w:fldData>
          </w:fldChar>
        </w:r>
        <w:r w:rsidR="00512D09">
          <w:rPr>
            <w:bCs/>
          </w:rPr>
          <w:instrText xml:space="preserve"> ADDIN EN.CITE.DATA </w:instrText>
        </w:r>
        <w:r w:rsidR="00512D09">
          <w:rPr>
            <w:bCs/>
          </w:rPr>
        </w:r>
        <w:r w:rsidR="00512D09">
          <w:rPr>
            <w:bCs/>
          </w:rPr>
          <w:fldChar w:fldCharType="end"/>
        </w:r>
        <w:r w:rsidR="00512D09" w:rsidRPr="00536BC2">
          <w:rPr>
            <w:bCs/>
          </w:rPr>
        </w:r>
        <w:r w:rsidR="00512D09" w:rsidRPr="00536BC2">
          <w:rPr>
            <w:bCs/>
          </w:rPr>
          <w:fldChar w:fldCharType="separate"/>
        </w:r>
        <w:r w:rsidR="00512D09" w:rsidRPr="00F80CAD">
          <w:rPr>
            <w:bCs/>
            <w:noProof/>
            <w:vertAlign w:val="superscript"/>
          </w:rPr>
          <w:t>145-147</w:t>
        </w:r>
        <w:r w:rsidR="00512D09" w:rsidRPr="00536BC2">
          <w:rPr>
            <w:bCs/>
          </w:rPr>
          <w:fldChar w:fldCharType="end"/>
        </w:r>
      </w:hyperlink>
      <w:r w:rsidR="000574FF" w:rsidRPr="00536BC2">
        <w:rPr>
          <w:bCs/>
        </w:rPr>
        <w:t xml:space="preserve"> </w:t>
      </w:r>
    </w:p>
    <w:p w:rsidR="000574FF" w:rsidRPr="00924273" w:rsidRDefault="00040F10" w:rsidP="007B3323">
      <w:pPr>
        <w:spacing w:line="480" w:lineRule="auto"/>
        <w:rPr>
          <w:noProof/>
          <w:lang w:eastAsia="en-GB"/>
        </w:rPr>
      </w:pPr>
      <w:r>
        <w:rPr>
          <w:bCs/>
          <w:noProof/>
          <w:lang w:eastAsia="en-GB"/>
        </w:rPr>
        <w:pict>
          <v:shape id="_x0000_s1195" type="#_x0000_t202" style="position:absolute;margin-left:181.8pt;margin-top:262.15pt;width:87.05pt;height:17.7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95">
              <w:txbxContent>
                <w:p w:rsidR="003A5686" w:rsidRPr="00B141B9" w:rsidRDefault="003A5686" w:rsidP="006D046F">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Pr>
          <w:bCs/>
          <w:noProof/>
          <w:lang w:eastAsia="en-GB"/>
        </w:rPr>
        <w:pict>
          <v:shape id="Text Box 79" o:spid="_x0000_s1053" type="#_x0000_t202" style="position:absolute;margin-left:-9.55pt;margin-top:22.95pt;width:24.05pt;height:232.4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" strokecolor="white [3212]">
            <v:textbox style="layout-flow:vertical;mso-layout-flow-alt:bottom-to-top;mso-next-textbox:#Text Box 79">
              <w:txbxContent>
                <w:p w:rsidR="003A5686" w:rsidRPr="0016048C" w:rsidRDefault="003A5686" w:rsidP="00800BC5">
                  <w:pPr>
                    <w:rPr>
                      <w:rFonts w:ascii="Arial" w:hAnsi="Arial" w:cs="Arial"/>
                      <w:b/>
                      <w:color w:val="262626" w:themeColor="text1" w:themeTint="D9"/>
                      <w:sz w:val="18"/>
                      <w:szCs w:val="18"/>
                    </w:rPr>
                  </w:pPr>
                  <w:r w:rsidRPr="0016048C">
                    <w:rPr>
                      <w:rFonts w:ascii="Arial" w:hAnsi="Arial" w:cs="Arial"/>
                      <w:b/>
                      <w:color w:val="262626" w:themeColor="text1" w:themeTint="D9"/>
                      <w:sz w:val="18"/>
                      <w:szCs w:val="18"/>
                    </w:rPr>
                    <w:t xml:space="preserve"> Normalised Fit (kJ/mol)        Raw Heat Rate (µJ/s)</w:t>
                  </w:r>
                </w:p>
              </w:txbxContent>
            </v:textbox>
          </v:shape>
        </w:pict>
      </w:r>
      <w:r>
        <w:rPr>
          <w:bCs/>
          <w:noProof/>
          <w:lang w:eastAsia="en-GB"/>
        </w:rPr>
        <w:pict>
          <v:shape id="Text Box 58" o:spid="_x0000_s1027" type="#_x0000_t202" style="position:absolute;margin-left:47.1pt;margin-top:143.15pt;width:26.25pt;height:24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" strokecolor="white [3212]">
            <v:textbox style="mso-next-textbox:#Text Box 58">
              <w:txbxContent>
                <w:p w:rsidR="003A5686" w:rsidRDefault="003A5686"/>
              </w:txbxContent>
            </v:textbox>
          </v:shape>
        </w:pict>
      </w:r>
      <w:r w:rsidR="00B55C59">
        <w:rPr>
          <w:noProof/>
          <w:lang w:eastAsia="en-GB"/>
        </w:rPr>
        <w:drawing>
          <wp:inline distT="0" distB="0" distL="0" distR="0" wp14:anchorId="5452B2CB" wp14:editId="03A2065E">
            <wp:extent cx="5205730" cy="3493237"/>
            <wp:effectExtent l="1905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7B3323" w:rsidRPr="007B3323" w:rsidRDefault="000574FF" w:rsidP="007B3323">
      <w:pPr>
        <w:pStyle w:val="Caption"/>
        <w:spacing w:line="480" w:lineRule="auto"/>
        <w:jc w:val="center"/>
      </w:pPr>
      <w:bookmarkStart w:id="94" w:name="_Ref442870268"/>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7</w:t>
      </w:r>
      <w:r w:rsidR="0075172E">
        <w:fldChar w:fldCharType="end"/>
      </w:r>
      <w:bookmarkEnd w:id="94"/>
      <w:r>
        <w:t xml:space="preserve">: Upper: </w:t>
      </w:r>
      <w:r w:rsidRPr="00B8359D">
        <w:t>Thermogram for the interaction of 5 µM BSA with 1 mM</w:t>
      </w:r>
      <w:r>
        <w:t xml:space="preserve"> tannic acid at 25°C. Lower: ITC binding isotherm for the same interaction (closed squares). Sodium acetate into a solution of BSA (open circles) and tannic acid dilution into sodium acetate (open squares).</w:t>
      </w:r>
      <w:r w:rsidR="004E0F1C">
        <w:t xml:space="preserve"> Solid line represents single site independent binding model fit.</w:t>
      </w:r>
    </w:p>
    <w:p w:rsidR="00DC3983" w:rsidRDefault="000574FF" w:rsidP="000574FF">
      <w:pPr>
        <w:spacing w:line="480" w:lineRule="auto"/>
        <w:jc w:val="both"/>
        <w:rPr>
          <w:bCs/>
        </w:rPr>
      </w:pPr>
      <w:r>
        <w:rPr>
          <w:bCs/>
        </w:rPr>
        <w:lastRenderedPageBreak/>
        <w:t>The curve-fitting software</w:t>
      </w:r>
      <w:r w:rsidR="005B2B3C">
        <w:rPr>
          <w:bCs/>
        </w:rPr>
        <w:t xml:space="preserve"> generated large confidence intervals for the </w:t>
      </w:r>
      <w:r w:rsidR="00CD2568" w:rsidRPr="001D171F">
        <w:rPr>
          <w:rFonts w:eastAsiaTheme="minorEastAsia"/>
        </w:rPr>
        <w:t>Δ</w:t>
      </w:r>
      <w:r w:rsidR="00CD2568">
        <w:rPr>
          <w:rFonts w:eastAsiaTheme="minorEastAsia"/>
          <w:i/>
        </w:rPr>
        <w:t>H</w:t>
      </w:r>
      <w:r w:rsidR="00CD2568">
        <w:rPr>
          <w:bCs/>
        </w:rPr>
        <w:t xml:space="preserve"> </w:t>
      </w:r>
      <w:r w:rsidR="005B2B3C">
        <w:rPr>
          <w:bCs/>
        </w:rPr>
        <w:t>value meaning this value should not be taken definitively</w:t>
      </w:r>
      <w:r w:rsidR="00CD2568">
        <w:rPr>
          <w:bCs/>
        </w:rPr>
        <w:t xml:space="preserve">. </w:t>
      </w:r>
      <w:r w:rsidR="00FC3DB2">
        <w:rPr>
          <w:bCs/>
        </w:rPr>
        <w:t xml:space="preserve">Consequently, there is a large error in the </w:t>
      </w:r>
      <w:r w:rsidR="00CD2568">
        <w:rPr>
          <w:bCs/>
        </w:rPr>
        <w:t>T</w:t>
      </w:r>
      <w:r w:rsidR="00CD2568" w:rsidRPr="001D171F">
        <w:rPr>
          <w:rFonts w:eastAsiaTheme="minorEastAsia"/>
        </w:rPr>
        <w:t>Δ</w:t>
      </w:r>
      <w:r w:rsidR="00CD2568">
        <w:rPr>
          <w:rFonts w:eastAsiaTheme="minorEastAsia"/>
          <w:i/>
        </w:rPr>
        <w:t>S</w:t>
      </w:r>
      <w:r w:rsidR="00CD2568">
        <w:rPr>
          <w:bCs/>
        </w:rPr>
        <w:t xml:space="preserve"> </w:t>
      </w:r>
      <w:r w:rsidR="00FC3DB2">
        <w:rPr>
          <w:bCs/>
        </w:rPr>
        <w:t xml:space="preserve">as this value is calculated from the </w:t>
      </w:r>
      <w:r w:rsidR="00CD2568" w:rsidRPr="001D171F">
        <w:rPr>
          <w:rFonts w:eastAsiaTheme="minorEastAsia"/>
        </w:rPr>
        <w:t>Δ</w:t>
      </w:r>
      <w:r w:rsidR="00CD2568">
        <w:rPr>
          <w:rFonts w:eastAsiaTheme="minorEastAsia"/>
          <w:i/>
        </w:rPr>
        <w:t xml:space="preserve">H </w:t>
      </w:r>
      <w:r w:rsidR="00FC3DB2">
        <w:rPr>
          <w:bCs/>
        </w:rPr>
        <w:t xml:space="preserve">and </w:t>
      </w:r>
      <w:r w:rsidR="00CD2568" w:rsidRPr="001D171F">
        <w:rPr>
          <w:rFonts w:eastAsiaTheme="minorEastAsia"/>
        </w:rPr>
        <w:t>Δ</w:t>
      </w:r>
      <w:r w:rsidR="00CD2568">
        <w:rPr>
          <w:rFonts w:eastAsiaTheme="minorEastAsia"/>
          <w:i/>
        </w:rPr>
        <w:t xml:space="preserve">G </w:t>
      </w:r>
      <w:r w:rsidR="00FC3DB2">
        <w:rPr>
          <w:bCs/>
        </w:rPr>
        <w:t xml:space="preserve">values. </w:t>
      </w:r>
      <w:r w:rsidR="00DC3983">
        <w:rPr>
          <w:bCs/>
        </w:rPr>
        <w:t xml:space="preserve"> </w:t>
      </w:r>
      <w:r w:rsidR="00EE6603">
        <w:rPr>
          <w:bCs/>
        </w:rPr>
        <w:t xml:space="preserve">The </w:t>
      </w:r>
      <w:r w:rsidR="00B95AD7" w:rsidRPr="001D171F">
        <w:rPr>
          <w:rFonts w:eastAsiaTheme="minorEastAsia"/>
        </w:rPr>
        <w:t>Δ</w:t>
      </w:r>
      <w:r w:rsidR="00B95AD7">
        <w:rPr>
          <w:rFonts w:eastAsiaTheme="minorEastAsia"/>
          <w:i/>
        </w:rPr>
        <w:t>H</w:t>
      </w:r>
      <w:r w:rsidR="00B95AD7">
        <w:rPr>
          <w:bCs/>
        </w:rPr>
        <w:t xml:space="preserve"> </w:t>
      </w:r>
      <w:r w:rsidR="00EE6603">
        <w:rPr>
          <w:bCs/>
        </w:rPr>
        <w:t xml:space="preserve">and </w:t>
      </w:r>
      <w:r w:rsidR="00B95AD7">
        <w:rPr>
          <w:bCs/>
        </w:rPr>
        <w:t>T</w:t>
      </w:r>
      <w:r w:rsidR="00B95AD7" w:rsidRPr="001D171F">
        <w:rPr>
          <w:rFonts w:eastAsiaTheme="minorEastAsia"/>
        </w:rPr>
        <w:t>Δ</w:t>
      </w:r>
      <w:r w:rsidR="00B95AD7">
        <w:rPr>
          <w:rFonts w:eastAsiaTheme="minorEastAsia"/>
          <w:i/>
        </w:rPr>
        <w:t>S</w:t>
      </w:r>
      <w:r w:rsidR="00B95AD7">
        <w:rPr>
          <w:bCs/>
        </w:rPr>
        <w:t xml:space="preserve"> </w:t>
      </w:r>
      <w:r w:rsidR="00EE6603">
        <w:rPr>
          <w:bCs/>
        </w:rPr>
        <w:t xml:space="preserve">values for the interaction at 10°C should therefore be treated with caution. The stoichiometry values are also erroneous due to the reciprocal mathematical relationship the software uses to calculate both </w:t>
      </w:r>
      <w:r w:rsidR="0070219E">
        <w:rPr>
          <w:bCs/>
        </w:rPr>
        <w:t xml:space="preserve">the </w:t>
      </w:r>
      <w:r w:rsidR="00B95AD7" w:rsidRPr="001D171F">
        <w:rPr>
          <w:rFonts w:eastAsiaTheme="minorEastAsia"/>
        </w:rPr>
        <w:t>Δ</w:t>
      </w:r>
      <w:r w:rsidR="00B95AD7">
        <w:rPr>
          <w:rFonts w:eastAsiaTheme="minorEastAsia"/>
          <w:i/>
        </w:rPr>
        <w:t>H</w:t>
      </w:r>
      <w:r w:rsidR="00B95AD7">
        <w:rPr>
          <w:bCs/>
        </w:rPr>
        <w:t xml:space="preserve"> </w:t>
      </w:r>
      <w:r w:rsidR="00EE6603">
        <w:rPr>
          <w:bCs/>
        </w:rPr>
        <w:t>and stoichiometry</w:t>
      </w:r>
      <w:r w:rsidR="00DC3983">
        <w:rPr>
          <w:bCs/>
        </w:rPr>
        <w:t xml:space="preserve">. </w:t>
      </w:r>
      <w:r w:rsidR="00D910AD">
        <w:rPr>
          <w:bCs/>
        </w:rPr>
        <w:t>It was thought that increasing the BSA concentration to 15 µM would allow for better resolution of the binding curves (</w:t>
      </w:r>
      <w:r w:rsidR="0075172E">
        <w:rPr>
          <w:bCs/>
        </w:rPr>
        <w:fldChar w:fldCharType="begin"/>
      </w:r>
      <w:r w:rsidR="00D910AD">
        <w:rPr>
          <w:bCs/>
        </w:rPr>
        <w:instrText xml:space="preserve"> REF _Ref442870905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8</w:t>
      </w:r>
      <w:r w:rsidR="0075172E">
        <w:rPr>
          <w:bCs/>
        </w:rPr>
        <w:fldChar w:fldCharType="end"/>
      </w:r>
      <w:r w:rsidR="00D910AD">
        <w:rPr>
          <w:bCs/>
        </w:rPr>
        <w:t xml:space="preserve">), allowing for more accurate thermodynamic values. </w:t>
      </w:r>
      <w:r w:rsidR="0075172E">
        <w:rPr>
          <w:bCs/>
        </w:rPr>
        <w:fldChar w:fldCharType="begin"/>
      </w:r>
      <w:r w:rsidR="00D910AD">
        <w:rPr>
          <w:bCs/>
        </w:rPr>
        <w:instrText xml:space="preserve"> REF _Ref456285438 \h </w:instrText>
      </w:r>
      <w:r w:rsidR="0075172E">
        <w:rPr>
          <w:bCs/>
        </w:rPr>
      </w:r>
      <w:r w:rsidR="0075172E">
        <w:rPr>
          <w:bCs/>
        </w:rPr>
        <w:fldChar w:fldCharType="separate"/>
      </w:r>
      <w:r w:rsidR="00CB4EDC">
        <w:t xml:space="preserve">Table </w:t>
      </w:r>
      <w:r w:rsidR="00CB4EDC">
        <w:rPr>
          <w:noProof/>
        </w:rPr>
        <w:t>3</w:t>
      </w:r>
      <w:r w:rsidR="00CB4EDC">
        <w:t>.</w:t>
      </w:r>
      <w:r w:rsidR="00CB4EDC">
        <w:rPr>
          <w:noProof/>
        </w:rPr>
        <w:t>1</w:t>
      </w:r>
      <w:r w:rsidR="0075172E">
        <w:rPr>
          <w:bCs/>
        </w:rPr>
        <w:fldChar w:fldCharType="end"/>
      </w:r>
      <w:r w:rsidR="00D910AD">
        <w:rPr>
          <w:bCs/>
        </w:rPr>
        <w:t xml:space="preserve"> shows there is an increase in</w:t>
      </w:r>
      <w:r w:rsidR="00226E74">
        <w:rPr>
          <w:bCs/>
        </w:rPr>
        <w:t xml:space="preserve"> </w:t>
      </w:r>
      <w:r w:rsidR="00B95AD7" w:rsidRPr="001D171F">
        <w:rPr>
          <w:rFonts w:eastAsiaTheme="minorEastAsia"/>
        </w:rPr>
        <w:t>Δ</w:t>
      </w:r>
      <w:r w:rsidR="00B95AD7">
        <w:rPr>
          <w:rFonts w:eastAsiaTheme="minorEastAsia"/>
          <w:i/>
        </w:rPr>
        <w:t>H</w:t>
      </w:r>
      <w:r w:rsidR="00B95AD7">
        <w:rPr>
          <w:bCs/>
          <w:iCs/>
        </w:rPr>
        <w:t xml:space="preserve"> </w:t>
      </w:r>
      <w:r w:rsidR="00D910AD">
        <w:rPr>
          <w:bCs/>
          <w:iCs/>
        </w:rPr>
        <w:t xml:space="preserve">with increasing protein concentration from 5 to 15 µM. Increases in </w:t>
      </w:r>
      <w:r w:rsidR="00AA39DB" w:rsidRPr="001D171F">
        <w:rPr>
          <w:rFonts w:eastAsiaTheme="minorEastAsia"/>
        </w:rPr>
        <w:t>Δ</w:t>
      </w:r>
      <w:r w:rsidR="00AA39DB">
        <w:rPr>
          <w:rFonts w:eastAsiaTheme="minorEastAsia"/>
          <w:i/>
        </w:rPr>
        <w:t>H</w:t>
      </w:r>
      <w:r w:rsidR="00226E74">
        <w:rPr>
          <w:bCs/>
        </w:rPr>
        <w:t xml:space="preserve"> </w:t>
      </w:r>
      <w:r w:rsidR="00D910AD">
        <w:rPr>
          <w:bCs/>
          <w:iCs/>
        </w:rPr>
        <w:t>have been previously suggested to be due to  aggregation.</w:t>
      </w:r>
      <w:hyperlink w:anchor="_ENREF_213" w:tooltip="Cooper, 1993 #416" w:history="1">
        <w:r w:rsidR="00512D09">
          <w:rPr>
            <w:bCs/>
            <w:iCs/>
          </w:rPr>
          <w:fldChar w:fldCharType="begin"/>
        </w:r>
        <w:r w:rsidR="00512D09">
          <w:rPr>
            <w:bCs/>
            <w:iCs/>
          </w:rPr>
          <w:instrText xml:space="preserve"> ADDIN EN.CITE &lt;EndNote&gt;&lt;Cite&gt;&lt;Author&gt;Cooper&lt;/Author&gt;&lt;Year&gt;1993&lt;/Year&gt;&lt;RecNum&gt;416&lt;/RecNum&gt;&lt;DisplayText&gt;&lt;style face="superscript"&gt;213&lt;/style&gt;&lt;/DisplayText&gt;&lt;record&gt;&lt;rec-number&gt;416&lt;/rec-number&gt;&lt;foreign-keys&gt;&lt;key app="EN" db-id="5trrespwzsdr07efd5tx2w96x22re9s0fsdt"&gt;416&lt;/key&gt;&lt;/foreign-keys&gt;&lt;ref-type name="Journal Article"&gt;17&lt;/ref-type&gt;&lt;contributors&gt;&lt;authors&gt;&lt;author&gt;Cooper, Alan&lt;/author&gt;&lt;author&gt;McAuley-Hecht, Katherine E.&lt;/author&gt;&lt;/authors&gt;&lt;/contributors&gt;&lt;titles&gt;&lt;title&gt;Microcalorimetry and the Molecular Recognition of Peptides and Proteins&lt;/title&gt;&lt;secondary-title&gt;Philosophical Transactions of the Royal Society of London. Series A: Physical and Engineering Sciences&lt;/secondary-title&gt;&lt;/titles&gt;&lt;periodical&gt;&lt;full-title&gt;Philosophical Transactions of the Royal Society of London. Series A: Physical and Engineering Sciences&lt;/full-title&gt;&lt;/periodical&gt;&lt;pages&gt;23-35&lt;/pages&gt;&lt;volume&gt;345&lt;/volume&gt;&lt;number&gt;1674&lt;/number&gt;&lt;dates&gt;&lt;year&gt;1993&lt;/year&gt;&lt;pub-dates&gt;&lt;date&gt;October 15, 1993&lt;/date&gt;&lt;/pub-dates&gt;&lt;/dates&gt;&lt;urls&gt;&lt;related-urls&gt;&lt;url&gt;http://rsta.royalsocietypublishing.org/content/345/1674/23.abstract&lt;/url&gt;&lt;/related-urls&gt;&lt;/urls&gt;&lt;electronic-resource-num&gt;10.1098/rsta.1993.0114&lt;/electronic-resource-num&gt;&lt;/record&gt;&lt;/Cite&gt;&lt;/EndNote&gt;</w:instrText>
        </w:r>
        <w:r w:rsidR="00512D09">
          <w:rPr>
            <w:bCs/>
            <w:iCs/>
          </w:rPr>
          <w:fldChar w:fldCharType="separate"/>
        </w:r>
        <w:r w:rsidR="00512D09" w:rsidRPr="006421D1">
          <w:rPr>
            <w:bCs/>
            <w:iCs/>
            <w:noProof/>
            <w:vertAlign w:val="superscript"/>
          </w:rPr>
          <w:t>213</w:t>
        </w:r>
        <w:r w:rsidR="00512D09">
          <w:rPr>
            <w:bCs/>
            <w:iCs/>
          </w:rPr>
          <w:fldChar w:fldCharType="end"/>
        </w:r>
      </w:hyperlink>
      <w:r w:rsidR="00D910AD">
        <w:rPr>
          <w:bCs/>
          <w:iCs/>
        </w:rPr>
        <w:t xml:space="preserve"> This also provides an explanation as to why the stoichiometry for the end of the first stage changes with protein concentration.  </w:t>
      </w:r>
    </w:p>
    <w:p w:rsidR="00D910AD" w:rsidRPr="004B3926" w:rsidRDefault="00D910AD" w:rsidP="004B3926">
      <w:pPr>
        <w:pStyle w:val="Caption"/>
        <w:spacing w:line="480" w:lineRule="auto"/>
        <w:jc w:val="center"/>
        <w:rPr>
          <w:bCs w:val="0"/>
        </w:rPr>
      </w:pPr>
      <w:bookmarkStart w:id="95" w:name="_Ref456285438"/>
      <w:r>
        <w:t xml:space="preserve">Table </w:t>
      </w:r>
      <w:r w:rsidR="0075172E">
        <w:fldChar w:fldCharType="begin"/>
      </w:r>
      <w:r w:rsidR="00AC2227">
        <w:instrText xml:space="preserve"> STYLEREF 1 \s </w:instrText>
      </w:r>
      <w:r w:rsidR="0075172E">
        <w:fldChar w:fldCharType="separate"/>
      </w:r>
      <w:r w:rsidR="00E71593">
        <w:rPr>
          <w:noProof/>
        </w:rPr>
        <w:t>3</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1</w:t>
      </w:r>
      <w:r w:rsidR="0075172E">
        <w:fldChar w:fldCharType="end"/>
      </w:r>
      <w:bookmarkEnd w:id="95"/>
      <w:r>
        <w:t xml:space="preserve">: </w:t>
      </w:r>
      <w:r w:rsidRPr="008E5634">
        <w:t>The temperature, enthalpy Δ</w:t>
      </w:r>
      <w:r w:rsidRPr="008E5634">
        <w:rPr>
          <w:i/>
          <w:iCs/>
        </w:rPr>
        <w:t>H</w:t>
      </w:r>
      <w:r w:rsidRPr="008E5634">
        <w:rPr>
          <w:iCs/>
        </w:rPr>
        <w:t xml:space="preserve">, entropy </w:t>
      </w:r>
      <w:r w:rsidRPr="008E5634">
        <w:rPr>
          <w:i/>
          <w:iCs/>
        </w:rPr>
        <w:t>T</w:t>
      </w:r>
      <w:r w:rsidRPr="008E5634">
        <w:rPr>
          <w:iCs/>
        </w:rPr>
        <w:t>Δ</w:t>
      </w:r>
      <w:r w:rsidRPr="008E5634">
        <w:rPr>
          <w:i/>
          <w:iCs/>
        </w:rPr>
        <w:t>S</w:t>
      </w:r>
      <w:r w:rsidRPr="008E5634">
        <w:rPr>
          <w:iCs/>
        </w:rPr>
        <w:t>, Gibbs free energy Δ</w:t>
      </w:r>
      <w:r w:rsidRPr="008E5634">
        <w:rPr>
          <w:i/>
          <w:iCs/>
        </w:rPr>
        <w:t>G</w:t>
      </w:r>
      <w:r>
        <w:rPr>
          <w:iCs/>
        </w:rPr>
        <w:t xml:space="preserve"> </w:t>
      </w:r>
      <w:r w:rsidRPr="008E5634">
        <w:rPr>
          <w:iCs/>
        </w:rPr>
        <w:t xml:space="preserve">and stoichiometry for the </w:t>
      </w:r>
      <w:r>
        <w:rPr>
          <w:iCs/>
        </w:rPr>
        <w:t>BSA and tannic acid interaction at 10 and 25</w:t>
      </w:r>
      <w:r w:rsidRPr="00D910AD">
        <w:t>°C</w:t>
      </w:r>
      <w:r w:rsidRPr="008E5634">
        <w:rPr>
          <w:iCs/>
        </w:rPr>
        <w:t xml:space="preserve">. </w:t>
      </w:r>
      <w:r>
        <w:rPr>
          <w:iCs/>
        </w:rPr>
        <w:t xml:space="preserve">The standard error (bold) and the confidence intervals (italics) are in brackets. </w:t>
      </w:r>
      <w:r w:rsidRPr="00D910AD">
        <w:t>*</w:t>
      </w:r>
      <w:r>
        <w:t>BSA concentration at 15 µM.</w:t>
      </w:r>
    </w:p>
    <w:tbl>
      <w:tblPr>
        <w:tblStyle w:val="TableGrid"/>
        <w:tblW w:w="0" w:type="auto"/>
        <w:tblInd w:w="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843"/>
        <w:gridCol w:w="1018"/>
        <w:gridCol w:w="1323"/>
        <w:gridCol w:w="1763"/>
      </w:tblGrid>
      <w:tr w:rsidR="007A6525" w:rsidRPr="0050110E" w:rsidTr="000B212F">
        <w:trPr>
          <w:trHeight w:val="1185"/>
        </w:trPr>
        <w:tc>
          <w:tcPr>
            <w:tcW w:w="1526" w:type="dxa"/>
            <w:tcBorders>
              <w:top w:val="single" w:sz="4" w:space="0" w:color="auto"/>
              <w:bottom w:val="single" w:sz="4" w:space="0" w:color="auto"/>
            </w:tcBorders>
          </w:tcPr>
          <w:p w:rsidR="007A6525" w:rsidRPr="008E5634" w:rsidRDefault="007A6525" w:rsidP="000B212F">
            <w:pPr>
              <w:spacing w:line="480" w:lineRule="auto"/>
              <w:jc w:val="center"/>
              <w:rPr>
                <w:b/>
                <w:bCs/>
                <w:sz w:val="16"/>
                <w:szCs w:val="16"/>
              </w:rPr>
            </w:pPr>
            <w:r w:rsidRPr="008E5634">
              <w:rPr>
                <w:b/>
                <w:bCs/>
                <w:sz w:val="16"/>
                <w:szCs w:val="16"/>
              </w:rPr>
              <w:t>Temperature</w:t>
            </w:r>
          </w:p>
          <w:p w:rsidR="007A6525" w:rsidRPr="008E5634" w:rsidRDefault="007A6525" w:rsidP="000B212F">
            <w:pPr>
              <w:spacing w:line="480" w:lineRule="auto"/>
              <w:jc w:val="center"/>
              <w:rPr>
                <w:b/>
                <w:bCs/>
                <w:sz w:val="16"/>
                <w:szCs w:val="16"/>
              </w:rPr>
            </w:pPr>
            <w:r w:rsidRPr="008E5634">
              <w:rPr>
                <w:b/>
                <w:bCs/>
                <w:sz w:val="16"/>
                <w:szCs w:val="16"/>
              </w:rPr>
              <w:t>(°C)</w:t>
            </w:r>
          </w:p>
        </w:tc>
        <w:tc>
          <w:tcPr>
            <w:tcW w:w="1843" w:type="dxa"/>
            <w:tcBorders>
              <w:top w:val="single" w:sz="4" w:space="0" w:color="auto"/>
              <w:bottom w:val="single" w:sz="4" w:space="0" w:color="auto"/>
            </w:tcBorders>
          </w:tcPr>
          <w:p w:rsidR="007A6525" w:rsidRPr="008E5634" w:rsidRDefault="007A6525" w:rsidP="000B212F">
            <w:pPr>
              <w:spacing w:line="480" w:lineRule="auto"/>
              <w:jc w:val="center"/>
              <w:rPr>
                <w:b/>
                <w:bCs/>
                <w:sz w:val="16"/>
                <w:szCs w:val="16"/>
              </w:rPr>
            </w:pPr>
            <w:r>
              <w:rPr>
                <w:b/>
                <w:bCs/>
                <w:sz w:val="16"/>
                <w:szCs w:val="16"/>
              </w:rPr>
              <w:t>-</w:t>
            </w:r>
            <w:r w:rsidRPr="008E5634">
              <w:rPr>
                <w:b/>
                <w:bCs/>
                <w:sz w:val="16"/>
                <w:szCs w:val="16"/>
              </w:rPr>
              <w:t>Δ</w:t>
            </w:r>
            <w:r w:rsidRPr="008E5634">
              <w:rPr>
                <w:b/>
                <w:bCs/>
                <w:i/>
                <w:iCs/>
                <w:sz w:val="16"/>
                <w:szCs w:val="16"/>
              </w:rPr>
              <w:t>H</w:t>
            </w:r>
            <w:r w:rsidRPr="008E5634">
              <w:rPr>
                <w:b/>
                <w:bCs/>
                <w:sz w:val="16"/>
                <w:szCs w:val="16"/>
              </w:rPr>
              <w:t> </w:t>
            </w:r>
          </w:p>
          <w:p w:rsidR="007A6525" w:rsidRPr="00DA7437" w:rsidRDefault="007A6525" w:rsidP="000B212F">
            <w:pPr>
              <w:spacing w:line="480" w:lineRule="auto"/>
              <w:jc w:val="center"/>
              <w:rPr>
                <w:b/>
                <w:bCs/>
                <w:i/>
                <w:iCs/>
                <w:sz w:val="16"/>
                <w:szCs w:val="16"/>
                <w:vertAlign w:val="superscript"/>
              </w:rPr>
            </w:pPr>
            <w:r w:rsidRPr="008E5634">
              <w:rPr>
                <w:b/>
                <w:bCs/>
                <w:sz w:val="16"/>
                <w:szCs w:val="16"/>
              </w:rPr>
              <w:t>(kJ/mol)</w:t>
            </w:r>
          </w:p>
        </w:tc>
        <w:tc>
          <w:tcPr>
            <w:tcW w:w="1018" w:type="dxa"/>
            <w:tcBorders>
              <w:top w:val="single" w:sz="4" w:space="0" w:color="auto"/>
              <w:bottom w:val="single" w:sz="4" w:space="0" w:color="auto"/>
            </w:tcBorders>
          </w:tcPr>
          <w:p w:rsidR="007A6525" w:rsidRPr="008E5634" w:rsidRDefault="007A6525" w:rsidP="000B212F">
            <w:pPr>
              <w:spacing w:line="480" w:lineRule="auto"/>
              <w:jc w:val="center"/>
              <w:rPr>
                <w:b/>
                <w:bCs/>
                <w:sz w:val="16"/>
                <w:szCs w:val="16"/>
              </w:rPr>
            </w:pPr>
            <w:r>
              <w:rPr>
                <w:b/>
                <w:bCs/>
                <w:i/>
                <w:iCs/>
                <w:sz w:val="16"/>
                <w:szCs w:val="16"/>
              </w:rPr>
              <w:t>-</w:t>
            </w:r>
            <w:r w:rsidRPr="008E5634">
              <w:rPr>
                <w:b/>
                <w:bCs/>
                <w:i/>
                <w:iCs/>
                <w:sz w:val="16"/>
                <w:szCs w:val="16"/>
              </w:rPr>
              <w:t>T</w:t>
            </w:r>
            <w:r w:rsidRPr="008E5634">
              <w:rPr>
                <w:b/>
                <w:bCs/>
                <w:sz w:val="16"/>
                <w:szCs w:val="16"/>
              </w:rPr>
              <w:t>Δ</w:t>
            </w:r>
            <w:r w:rsidRPr="008E5634">
              <w:rPr>
                <w:b/>
                <w:bCs/>
                <w:i/>
                <w:iCs/>
                <w:sz w:val="16"/>
                <w:szCs w:val="16"/>
              </w:rPr>
              <w:t>S</w:t>
            </w:r>
            <w:r w:rsidRPr="008E5634">
              <w:rPr>
                <w:b/>
                <w:bCs/>
                <w:sz w:val="16"/>
                <w:szCs w:val="16"/>
              </w:rPr>
              <w:t> </w:t>
            </w:r>
          </w:p>
          <w:p w:rsidR="007A6525" w:rsidRPr="008E5634" w:rsidRDefault="007A6525" w:rsidP="000B212F">
            <w:pPr>
              <w:spacing w:line="480" w:lineRule="auto"/>
              <w:jc w:val="center"/>
              <w:rPr>
                <w:b/>
                <w:bCs/>
                <w:sz w:val="16"/>
                <w:szCs w:val="16"/>
              </w:rPr>
            </w:pPr>
            <w:r w:rsidRPr="008E5634">
              <w:rPr>
                <w:b/>
                <w:bCs/>
                <w:sz w:val="16"/>
                <w:szCs w:val="16"/>
              </w:rPr>
              <w:t>(kJ/mol)</w:t>
            </w:r>
          </w:p>
        </w:tc>
        <w:tc>
          <w:tcPr>
            <w:tcW w:w="1323" w:type="dxa"/>
            <w:tcBorders>
              <w:top w:val="single" w:sz="4" w:space="0" w:color="auto"/>
              <w:bottom w:val="single" w:sz="4" w:space="0" w:color="auto"/>
            </w:tcBorders>
          </w:tcPr>
          <w:p w:rsidR="007A6525" w:rsidRPr="008E5634" w:rsidRDefault="007A6525" w:rsidP="000B212F">
            <w:pPr>
              <w:spacing w:line="480" w:lineRule="auto"/>
              <w:jc w:val="center"/>
              <w:rPr>
                <w:b/>
                <w:bCs/>
                <w:sz w:val="16"/>
                <w:szCs w:val="16"/>
              </w:rPr>
            </w:pPr>
            <w:r>
              <w:rPr>
                <w:b/>
                <w:bCs/>
                <w:sz w:val="16"/>
                <w:szCs w:val="16"/>
              </w:rPr>
              <w:t>-</w:t>
            </w:r>
            <w:r w:rsidRPr="008E5634">
              <w:rPr>
                <w:b/>
                <w:bCs/>
                <w:sz w:val="16"/>
                <w:szCs w:val="16"/>
              </w:rPr>
              <w:t>Δ</w:t>
            </w:r>
            <w:r w:rsidRPr="008E5634">
              <w:rPr>
                <w:b/>
                <w:bCs/>
                <w:i/>
                <w:iCs/>
                <w:sz w:val="16"/>
                <w:szCs w:val="16"/>
              </w:rPr>
              <w:t>G</w:t>
            </w:r>
            <w:r w:rsidRPr="008E5634">
              <w:rPr>
                <w:b/>
                <w:bCs/>
                <w:sz w:val="16"/>
                <w:szCs w:val="16"/>
              </w:rPr>
              <w:t> </w:t>
            </w:r>
          </w:p>
          <w:p w:rsidR="007A6525" w:rsidRPr="008E5634" w:rsidRDefault="007A6525" w:rsidP="000B212F">
            <w:pPr>
              <w:spacing w:line="480" w:lineRule="auto"/>
              <w:jc w:val="center"/>
              <w:rPr>
                <w:b/>
                <w:bCs/>
                <w:sz w:val="16"/>
                <w:szCs w:val="16"/>
              </w:rPr>
            </w:pPr>
            <w:r w:rsidRPr="008E5634">
              <w:rPr>
                <w:b/>
                <w:bCs/>
                <w:sz w:val="16"/>
                <w:szCs w:val="16"/>
              </w:rPr>
              <w:t>(kJ/mol)</w:t>
            </w:r>
          </w:p>
        </w:tc>
        <w:tc>
          <w:tcPr>
            <w:tcW w:w="1763" w:type="dxa"/>
            <w:tcBorders>
              <w:top w:val="single" w:sz="4" w:space="0" w:color="auto"/>
              <w:bottom w:val="single" w:sz="4" w:space="0" w:color="auto"/>
            </w:tcBorders>
          </w:tcPr>
          <w:p w:rsidR="007A6525" w:rsidRDefault="007A6525" w:rsidP="000B212F">
            <w:pPr>
              <w:spacing w:line="480" w:lineRule="auto"/>
              <w:jc w:val="center"/>
              <w:rPr>
                <w:b/>
                <w:bCs/>
                <w:sz w:val="16"/>
                <w:szCs w:val="16"/>
              </w:rPr>
            </w:pPr>
            <w:r w:rsidRPr="008E5634">
              <w:rPr>
                <w:b/>
                <w:bCs/>
                <w:sz w:val="16"/>
                <w:szCs w:val="16"/>
              </w:rPr>
              <w:t>Stoichiometry</w:t>
            </w:r>
          </w:p>
          <w:p w:rsidR="007A6525" w:rsidRPr="0050110E" w:rsidRDefault="007A6525" w:rsidP="000B212F">
            <w:pPr>
              <w:spacing w:line="480" w:lineRule="auto"/>
              <w:jc w:val="center"/>
              <w:rPr>
                <w:b/>
                <w:bCs/>
                <w:i/>
                <w:sz w:val="16"/>
                <w:szCs w:val="16"/>
              </w:rPr>
            </w:pPr>
            <w:r w:rsidRPr="0050110E">
              <w:rPr>
                <w:b/>
                <w:bCs/>
                <w:i/>
                <w:sz w:val="16"/>
                <w:szCs w:val="16"/>
              </w:rPr>
              <w:t>n</w:t>
            </w:r>
          </w:p>
        </w:tc>
      </w:tr>
      <w:tr w:rsidR="007A6525" w:rsidRPr="00D3641B" w:rsidTr="000B212F">
        <w:tc>
          <w:tcPr>
            <w:tcW w:w="1526" w:type="dxa"/>
            <w:tcBorders>
              <w:top w:val="single" w:sz="4" w:space="0" w:color="auto"/>
            </w:tcBorders>
          </w:tcPr>
          <w:p w:rsidR="007A6525" w:rsidRPr="00365820" w:rsidRDefault="007A6525" w:rsidP="00D910AD">
            <w:pPr>
              <w:spacing w:line="480" w:lineRule="auto"/>
              <w:jc w:val="center"/>
              <w:rPr>
                <w:bCs/>
                <w:color w:val="000000" w:themeColor="text1"/>
                <w:sz w:val="16"/>
                <w:szCs w:val="16"/>
              </w:rPr>
            </w:pPr>
            <w:r w:rsidRPr="00365820">
              <w:rPr>
                <w:bCs/>
                <w:color w:val="000000" w:themeColor="text1"/>
                <w:sz w:val="16"/>
                <w:szCs w:val="16"/>
              </w:rPr>
              <w:t>10</w:t>
            </w:r>
          </w:p>
        </w:tc>
        <w:tc>
          <w:tcPr>
            <w:tcW w:w="1843" w:type="dxa"/>
            <w:tcBorders>
              <w:top w:val="single" w:sz="4" w:space="0" w:color="auto"/>
            </w:tcBorders>
          </w:tcPr>
          <w:p w:rsidR="007A6525" w:rsidRDefault="007A6525" w:rsidP="00D910AD">
            <w:pPr>
              <w:spacing w:line="480" w:lineRule="auto"/>
              <w:jc w:val="center"/>
              <w:rPr>
                <w:bCs/>
                <w:color w:val="000000" w:themeColor="text1"/>
                <w:sz w:val="16"/>
                <w:szCs w:val="16"/>
              </w:rPr>
            </w:pPr>
            <w:r>
              <w:rPr>
                <w:bCs/>
                <w:color w:val="000000" w:themeColor="text1"/>
                <w:sz w:val="16"/>
                <w:szCs w:val="16"/>
              </w:rPr>
              <w:t>100</w:t>
            </w:r>
          </w:p>
          <w:p w:rsidR="009F6E0A" w:rsidRPr="009F6E0A" w:rsidRDefault="009F6E0A" w:rsidP="00D910AD">
            <w:pPr>
              <w:spacing w:line="480" w:lineRule="auto"/>
              <w:jc w:val="center"/>
              <w:rPr>
                <w:b/>
                <w:bCs/>
                <w:color w:val="000000" w:themeColor="text1"/>
                <w:sz w:val="16"/>
                <w:szCs w:val="16"/>
              </w:rPr>
            </w:pPr>
            <w:r w:rsidRPr="009F6E0A">
              <w:rPr>
                <w:b/>
                <w:bCs/>
                <w:color w:val="000000" w:themeColor="text1"/>
                <w:sz w:val="16"/>
                <w:szCs w:val="16"/>
              </w:rPr>
              <w:t>(±0)</w:t>
            </w:r>
          </w:p>
          <w:p w:rsidR="007A6525" w:rsidRPr="00340A4E" w:rsidRDefault="007A6525" w:rsidP="00D910AD">
            <w:pPr>
              <w:tabs>
                <w:tab w:val="left" w:pos="516"/>
                <w:tab w:val="center" w:pos="813"/>
              </w:tabs>
              <w:spacing w:line="480" w:lineRule="auto"/>
              <w:jc w:val="center"/>
              <w:rPr>
                <w:b/>
                <w:bCs/>
                <w:color w:val="000000" w:themeColor="text1"/>
                <w:sz w:val="16"/>
                <w:szCs w:val="16"/>
              </w:rPr>
            </w:pPr>
            <w:r w:rsidRPr="00D3641B">
              <w:rPr>
                <w:bCs/>
                <w:color w:val="000000" w:themeColor="text1"/>
                <w:sz w:val="16"/>
                <w:szCs w:val="16"/>
              </w:rPr>
              <w:t>(</w:t>
            </w:r>
            <w:r w:rsidRPr="00D3641B">
              <w:rPr>
                <w:bCs/>
                <w:i/>
                <w:color w:val="000000" w:themeColor="text1"/>
                <w:sz w:val="16"/>
                <w:szCs w:val="16"/>
              </w:rPr>
              <w:t>±</w:t>
            </w:r>
            <w:r w:rsidR="009F6E0A">
              <w:rPr>
                <w:bCs/>
                <w:i/>
                <w:color w:val="000000" w:themeColor="text1"/>
                <w:sz w:val="16"/>
                <w:szCs w:val="16"/>
              </w:rPr>
              <w:t>34</w:t>
            </w:r>
            <w:r w:rsidRPr="00D3641B">
              <w:rPr>
                <w:bCs/>
                <w:color w:val="000000" w:themeColor="text1"/>
                <w:sz w:val="16"/>
                <w:szCs w:val="16"/>
              </w:rPr>
              <w:t>)</w:t>
            </w:r>
          </w:p>
        </w:tc>
        <w:tc>
          <w:tcPr>
            <w:tcW w:w="1018" w:type="dxa"/>
            <w:tcBorders>
              <w:top w:val="single" w:sz="4" w:space="0" w:color="auto"/>
            </w:tcBorders>
          </w:tcPr>
          <w:p w:rsidR="007A6525" w:rsidRDefault="007A6525" w:rsidP="00D910AD">
            <w:pPr>
              <w:spacing w:line="480" w:lineRule="auto"/>
              <w:jc w:val="center"/>
              <w:rPr>
                <w:bCs/>
                <w:iCs/>
                <w:color w:val="000000" w:themeColor="text1"/>
                <w:sz w:val="16"/>
                <w:szCs w:val="16"/>
              </w:rPr>
            </w:pPr>
            <w:r>
              <w:rPr>
                <w:bCs/>
                <w:iCs/>
                <w:color w:val="000000" w:themeColor="text1"/>
                <w:sz w:val="16"/>
                <w:szCs w:val="16"/>
              </w:rPr>
              <w:t>77</w:t>
            </w:r>
          </w:p>
          <w:p w:rsidR="009F6E0A" w:rsidRPr="009F6E0A" w:rsidRDefault="009F6E0A" w:rsidP="00D910AD">
            <w:pPr>
              <w:spacing w:line="480" w:lineRule="auto"/>
              <w:jc w:val="center"/>
              <w:rPr>
                <w:b/>
                <w:bCs/>
                <w:color w:val="000000" w:themeColor="text1"/>
                <w:sz w:val="16"/>
                <w:szCs w:val="16"/>
              </w:rPr>
            </w:pPr>
            <w:r w:rsidRPr="009F6E0A">
              <w:rPr>
                <w:b/>
                <w:bCs/>
                <w:color w:val="000000" w:themeColor="text1"/>
                <w:sz w:val="16"/>
                <w:szCs w:val="16"/>
              </w:rPr>
              <w:t>(±0.</w:t>
            </w:r>
            <w:r>
              <w:rPr>
                <w:b/>
                <w:bCs/>
                <w:color w:val="000000" w:themeColor="text1"/>
                <w:sz w:val="16"/>
                <w:szCs w:val="16"/>
              </w:rPr>
              <w:t>3</w:t>
            </w:r>
            <w:r w:rsidR="00BF1CE8">
              <w:rPr>
                <w:b/>
                <w:bCs/>
                <w:color w:val="000000" w:themeColor="text1"/>
                <w:sz w:val="16"/>
                <w:szCs w:val="16"/>
              </w:rPr>
              <w:t>)</w:t>
            </w:r>
          </w:p>
          <w:p w:rsidR="00340A4E" w:rsidRPr="00365820" w:rsidRDefault="00340A4E" w:rsidP="00D910AD">
            <w:pPr>
              <w:spacing w:line="480" w:lineRule="auto"/>
              <w:jc w:val="center"/>
              <w:rPr>
                <w:bCs/>
                <w:iCs/>
                <w:color w:val="000000" w:themeColor="text1"/>
                <w:sz w:val="16"/>
                <w:szCs w:val="16"/>
              </w:rPr>
            </w:pPr>
          </w:p>
        </w:tc>
        <w:tc>
          <w:tcPr>
            <w:tcW w:w="1323" w:type="dxa"/>
            <w:tcBorders>
              <w:top w:val="single" w:sz="4" w:space="0" w:color="auto"/>
            </w:tcBorders>
          </w:tcPr>
          <w:p w:rsidR="007A6525" w:rsidRDefault="00C20849" w:rsidP="00D910AD">
            <w:pPr>
              <w:spacing w:line="480" w:lineRule="auto"/>
              <w:jc w:val="center"/>
              <w:rPr>
                <w:bCs/>
                <w:color w:val="000000" w:themeColor="text1"/>
                <w:sz w:val="16"/>
                <w:szCs w:val="16"/>
              </w:rPr>
            </w:pPr>
            <w:r>
              <w:rPr>
                <w:bCs/>
                <w:color w:val="000000" w:themeColor="text1"/>
                <w:sz w:val="16"/>
                <w:szCs w:val="16"/>
              </w:rPr>
              <w:t>23.1</w:t>
            </w:r>
          </w:p>
          <w:p w:rsidR="009F6E0A" w:rsidRPr="009F6E0A" w:rsidRDefault="009F6E0A" w:rsidP="00D910AD">
            <w:pPr>
              <w:spacing w:line="480" w:lineRule="auto"/>
              <w:jc w:val="center"/>
              <w:rPr>
                <w:b/>
                <w:bCs/>
                <w:color w:val="000000" w:themeColor="text1"/>
                <w:sz w:val="16"/>
                <w:szCs w:val="16"/>
              </w:rPr>
            </w:pPr>
            <w:r w:rsidRPr="009F6E0A">
              <w:rPr>
                <w:b/>
                <w:bCs/>
                <w:color w:val="000000" w:themeColor="text1"/>
                <w:sz w:val="16"/>
                <w:szCs w:val="16"/>
              </w:rPr>
              <w:t>(±0.1)</w:t>
            </w:r>
          </w:p>
          <w:p w:rsidR="007A6525" w:rsidRPr="00D3641B" w:rsidRDefault="007A6525" w:rsidP="00BF1CE8">
            <w:pPr>
              <w:spacing w:line="480" w:lineRule="auto"/>
              <w:jc w:val="center"/>
              <w:rPr>
                <w:bCs/>
                <w:i/>
                <w:color w:val="000000" w:themeColor="text1"/>
                <w:sz w:val="16"/>
                <w:szCs w:val="16"/>
              </w:rPr>
            </w:pPr>
            <w:r w:rsidRPr="00B97C8E">
              <w:rPr>
                <w:bCs/>
                <w:color w:val="000000" w:themeColor="text1"/>
                <w:sz w:val="16"/>
                <w:szCs w:val="16"/>
              </w:rPr>
              <w:t>(</w:t>
            </w:r>
            <w:r w:rsidRPr="00D3641B">
              <w:rPr>
                <w:bCs/>
                <w:i/>
                <w:color w:val="000000" w:themeColor="text1"/>
                <w:sz w:val="16"/>
                <w:szCs w:val="16"/>
              </w:rPr>
              <w:t>±</w:t>
            </w:r>
            <w:r w:rsidR="00BF1CE8">
              <w:rPr>
                <w:bCs/>
                <w:i/>
                <w:color w:val="000000" w:themeColor="text1"/>
                <w:sz w:val="16"/>
                <w:szCs w:val="16"/>
              </w:rPr>
              <w:t>2</w:t>
            </w:r>
            <w:r w:rsidRPr="00B97C8E">
              <w:rPr>
                <w:bCs/>
                <w:color w:val="000000" w:themeColor="text1"/>
                <w:sz w:val="16"/>
                <w:szCs w:val="16"/>
              </w:rPr>
              <w:t>)</w:t>
            </w:r>
          </w:p>
        </w:tc>
        <w:tc>
          <w:tcPr>
            <w:tcW w:w="1763" w:type="dxa"/>
            <w:tcBorders>
              <w:top w:val="single" w:sz="4" w:space="0" w:color="auto"/>
            </w:tcBorders>
          </w:tcPr>
          <w:p w:rsidR="007A6525" w:rsidRDefault="00EE6603" w:rsidP="00D910AD">
            <w:pPr>
              <w:spacing w:line="480" w:lineRule="auto"/>
              <w:jc w:val="center"/>
              <w:rPr>
                <w:bCs/>
                <w:color w:val="000000" w:themeColor="text1"/>
                <w:sz w:val="16"/>
                <w:szCs w:val="16"/>
              </w:rPr>
            </w:pPr>
            <w:r>
              <w:rPr>
                <w:bCs/>
                <w:color w:val="000000" w:themeColor="text1"/>
                <w:sz w:val="16"/>
                <w:szCs w:val="16"/>
              </w:rPr>
              <w:t>13</w:t>
            </w:r>
          </w:p>
          <w:p w:rsidR="009F6E0A" w:rsidRPr="009F6E0A" w:rsidRDefault="009F6E0A" w:rsidP="00D910AD">
            <w:pPr>
              <w:spacing w:line="480" w:lineRule="auto"/>
              <w:jc w:val="center"/>
              <w:rPr>
                <w:b/>
                <w:bCs/>
                <w:color w:val="000000" w:themeColor="text1"/>
                <w:sz w:val="16"/>
                <w:szCs w:val="16"/>
              </w:rPr>
            </w:pPr>
            <w:r w:rsidRPr="009F6E0A">
              <w:rPr>
                <w:b/>
                <w:bCs/>
                <w:color w:val="000000" w:themeColor="text1"/>
                <w:sz w:val="16"/>
                <w:szCs w:val="16"/>
              </w:rPr>
              <w:t>(±</w:t>
            </w:r>
            <w:r w:rsidR="00BF1CE8">
              <w:rPr>
                <w:b/>
                <w:bCs/>
                <w:color w:val="000000" w:themeColor="text1"/>
                <w:sz w:val="16"/>
                <w:szCs w:val="16"/>
              </w:rPr>
              <w:t>3</w:t>
            </w:r>
            <w:r w:rsidRPr="009F6E0A">
              <w:rPr>
                <w:b/>
                <w:bCs/>
                <w:color w:val="000000" w:themeColor="text1"/>
                <w:sz w:val="16"/>
                <w:szCs w:val="16"/>
              </w:rPr>
              <w:t>)</w:t>
            </w:r>
          </w:p>
          <w:p w:rsidR="007A6525" w:rsidRPr="00D3641B" w:rsidRDefault="007A6525" w:rsidP="00BF1CE8">
            <w:pPr>
              <w:spacing w:line="480" w:lineRule="auto"/>
              <w:jc w:val="center"/>
              <w:rPr>
                <w:bCs/>
                <w:i/>
                <w:color w:val="000000" w:themeColor="text1"/>
                <w:sz w:val="16"/>
                <w:szCs w:val="16"/>
              </w:rPr>
            </w:pPr>
            <w:r w:rsidRPr="00B97C8E">
              <w:rPr>
                <w:bCs/>
                <w:color w:val="000000" w:themeColor="text1"/>
                <w:sz w:val="16"/>
                <w:szCs w:val="16"/>
              </w:rPr>
              <w:t>(</w:t>
            </w:r>
            <w:r w:rsidRPr="00C64A59">
              <w:rPr>
                <w:bCs/>
                <w:color w:val="000000" w:themeColor="text1"/>
                <w:sz w:val="16"/>
                <w:szCs w:val="16"/>
              </w:rPr>
              <w:t>±</w:t>
            </w:r>
            <w:r w:rsidR="00BF1CE8">
              <w:rPr>
                <w:bCs/>
                <w:i/>
                <w:color w:val="000000" w:themeColor="text1"/>
                <w:sz w:val="16"/>
                <w:szCs w:val="16"/>
              </w:rPr>
              <w:t>4</w:t>
            </w:r>
            <w:r w:rsidRPr="00B97C8E">
              <w:rPr>
                <w:bCs/>
                <w:color w:val="000000" w:themeColor="text1"/>
                <w:sz w:val="16"/>
                <w:szCs w:val="16"/>
              </w:rPr>
              <w:t>)</w:t>
            </w:r>
          </w:p>
        </w:tc>
      </w:tr>
      <w:tr w:rsidR="007A6525" w:rsidRPr="00D3641B" w:rsidTr="000B212F">
        <w:tc>
          <w:tcPr>
            <w:tcW w:w="1526" w:type="dxa"/>
          </w:tcPr>
          <w:p w:rsidR="007A6525" w:rsidRPr="00365820" w:rsidRDefault="007A6525" w:rsidP="00D910AD">
            <w:pPr>
              <w:spacing w:line="480" w:lineRule="auto"/>
              <w:jc w:val="center"/>
              <w:rPr>
                <w:bCs/>
                <w:color w:val="000000" w:themeColor="text1"/>
                <w:sz w:val="16"/>
                <w:szCs w:val="16"/>
              </w:rPr>
            </w:pPr>
            <w:r w:rsidRPr="00365820">
              <w:rPr>
                <w:bCs/>
                <w:color w:val="000000" w:themeColor="text1"/>
                <w:sz w:val="16"/>
                <w:szCs w:val="16"/>
              </w:rPr>
              <w:t>25</w:t>
            </w:r>
          </w:p>
        </w:tc>
        <w:tc>
          <w:tcPr>
            <w:tcW w:w="1843" w:type="dxa"/>
          </w:tcPr>
          <w:p w:rsidR="007A6525" w:rsidRDefault="00340A4E" w:rsidP="00D910AD">
            <w:pPr>
              <w:spacing w:line="480" w:lineRule="auto"/>
              <w:jc w:val="center"/>
              <w:rPr>
                <w:bCs/>
                <w:color w:val="000000" w:themeColor="text1"/>
                <w:sz w:val="16"/>
                <w:szCs w:val="16"/>
              </w:rPr>
            </w:pPr>
            <w:r>
              <w:rPr>
                <w:bCs/>
                <w:color w:val="000000" w:themeColor="text1"/>
                <w:sz w:val="16"/>
                <w:szCs w:val="16"/>
              </w:rPr>
              <w:t>24</w:t>
            </w:r>
          </w:p>
          <w:p w:rsidR="00340A4E" w:rsidRDefault="008C78E2" w:rsidP="00D910AD">
            <w:pPr>
              <w:spacing w:line="480" w:lineRule="auto"/>
              <w:jc w:val="center"/>
              <w:rPr>
                <w:bCs/>
                <w:color w:val="000000" w:themeColor="text1"/>
                <w:sz w:val="16"/>
                <w:szCs w:val="16"/>
              </w:rPr>
            </w:pPr>
            <w:r>
              <w:rPr>
                <w:b/>
                <w:bCs/>
                <w:color w:val="000000" w:themeColor="text1"/>
                <w:sz w:val="16"/>
                <w:szCs w:val="16"/>
              </w:rPr>
              <w:t>(±3</w:t>
            </w:r>
            <w:r w:rsidR="00340A4E" w:rsidRPr="00340A4E">
              <w:rPr>
                <w:b/>
                <w:bCs/>
                <w:color w:val="000000" w:themeColor="text1"/>
                <w:sz w:val="16"/>
                <w:szCs w:val="16"/>
              </w:rPr>
              <w:t>)</w:t>
            </w:r>
          </w:p>
          <w:p w:rsidR="007A6525" w:rsidRPr="00D3641B" w:rsidRDefault="007A6525" w:rsidP="00BF1CE8">
            <w:pPr>
              <w:spacing w:line="480" w:lineRule="auto"/>
              <w:jc w:val="center"/>
              <w:rPr>
                <w:bCs/>
                <w:i/>
                <w:color w:val="000000" w:themeColor="text1"/>
                <w:sz w:val="16"/>
                <w:szCs w:val="16"/>
              </w:rPr>
            </w:pPr>
            <w:r w:rsidRPr="00786B06">
              <w:rPr>
                <w:bCs/>
                <w:color w:val="000000" w:themeColor="text1"/>
                <w:sz w:val="16"/>
                <w:szCs w:val="16"/>
              </w:rPr>
              <w:t>(</w:t>
            </w:r>
            <w:r w:rsidRPr="00C64A59">
              <w:rPr>
                <w:bCs/>
                <w:color w:val="000000" w:themeColor="text1"/>
                <w:sz w:val="16"/>
                <w:szCs w:val="16"/>
              </w:rPr>
              <w:t>±</w:t>
            </w:r>
            <w:r w:rsidR="00BF1CE8">
              <w:rPr>
                <w:bCs/>
                <w:i/>
                <w:color w:val="000000" w:themeColor="text1"/>
                <w:sz w:val="16"/>
                <w:szCs w:val="16"/>
              </w:rPr>
              <w:t>4</w:t>
            </w:r>
            <w:r w:rsidRPr="00786B06">
              <w:rPr>
                <w:bCs/>
                <w:color w:val="000000" w:themeColor="text1"/>
                <w:sz w:val="16"/>
                <w:szCs w:val="16"/>
              </w:rPr>
              <w:t>)</w:t>
            </w:r>
          </w:p>
        </w:tc>
        <w:tc>
          <w:tcPr>
            <w:tcW w:w="1018" w:type="dxa"/>
          </w:tcPr>
          <w:p w:rsidR="007A6525" w:rsidRDefault="00340A4E" w:rsidP="00D910AD">
            <w:pPr>
              <w:spacing w:line="480" w:lineRule="auto"/>
              <w:jc w:val="center"/>
              <w:rPr>
                <w:bCs/>
                <w:iCs/>
                <w:color w:val="000000" w:themeColor="text1"/>
                <w:sz w:val="16"/>
                <w:szCs w:val="16"/>
              </w:rPr>
            </w:pPr>
            <w:r>
              <w:rPr>
                <w:bCs/>
                <w:iCs/>
                <w:color w:val="000000" w:themeColor="text1"/>
                <w:sz w:val="16"/>
                <w:szCs w:val="16"/>
              </w:rPr>
              <w:t>7.7</w:t>
            </w:r>
          </w:p>
          <w:p w:rsidR="00340A4E" w:rsidRPr="00340A4E" w:rsidRDefault="00BF1CE8" w:rsidP="00D910AD">
            <w:pPr>
              <w:spacing w:line="480" w:lineRule="auto"/>
              <w:jc w:val="center"/>
              <w:rPr>
                <w:b/>
                <w:bCs/>
                <w:color w:val="000000" w:themeColor="text1"/>
                <w:sz w:val="16"/>
                <w:szCs w:val="16"/>
              </w:rPr>
            </w:pPr>
            <w:r>
              <w:rPr>
                <w:b/>
                <w:bCs/>
                <w:color w:val="000000" w:themeColor="text1"/>
                <w:sz w:val="16"/>
                <w:szCs w:val="16"/>
              </w:rPr>
              <w:t>(±3</w:t>
            </w:r>
            <w:r w:rsidR="00340A4E" w:rsidRPr="00340A4E">
              <w:rPr>
                <w:b/>
                <w:bCs/>
                <w:color w:val="000000" w:themeColor="text1"/>
                <w:sz w:val="16"/>
                <w:szCs w:val="16"/>
              </w:rPr>
              <w:t>)</w:t>
            </w:r>
          </w:p>
          <w:p w:rsidR="007A6525" w:rsidRPr="00365820" w:rsidRDefault="007A6525" w:rsidP="00D910AD">
            <w:pPr>
              <w:spacing w:line="480" w:lineRule="auto"/>
              <w:jc w:val="center"/>
              <w:rPr>
                <w:bCs/>
                <w:iCs/>
                <w:color w:val="000000" w:themeColor="text1"/>
                <w:sz w:val="16"/>
                <w:szCs w:val="16"/>
              </w:rPr>
            </w:pPr>
          </w:p>
        </w:tc>
        <w:tc>
          <w:tcPr>
            <w:tcW w:w="1323" w:type="dxa"/>
          </w:tcPr>
          <w:p w:rsidR="007A6525" w:rsidRDefault="00340A4E" w:rsidP="00D910AD">
            <w:pPr>
              <w:spacing w:line="480" w:lineRule="auto"/>
              <w:jc w:val="center"/>
              <w:rPr>
                <w:bCs/>
                <w:color w:val="000000" w:themeColor="text1"/>
                <w:sz w:val="16"/>
                <w:szCs w:val="16"/>
              </w:rPr>
            </w:pPr>
            <w:r>
              <w:rPr>
                <w:bCs/>
                <w:color w:val="000000" w:themeColor="text1"/>
                <w:sz w:val="16"/>
                <w:szCs w:val="16"/>
              </w:rPr>
              <w:t>31.8</w:t>
            </w:r>
          </w:p>
          <w:p w:rsidR="00340A4E" w:rsidRDefault="00340A4E" w:rsidP="00D910AD">
            <w:pPr>
              <w:spacing w:line="480" w:lineRule="auto"/>
              <w:jc w:val="center"/>
              <w:rPr>
                <w:b/>
                <w:bCs/>
                <w:color w:val="000000" w:themeColor="text1"/>
                <w:sz w:val="16"/>
                <w:szCs w:val="16"/>
              </w:rPr>
            </w:pPr>
            <w:r w:rsidRPr="00340A4E">
              <w:rPr>
                <w:b/>
                <w:bCs/>
                <w:color w:val="000000" w:themeColor="text1"/>
                <w:sz w:val="16"/>
                <w:szCs w:val="16"/>
              </w:rPr>
              <w:t>(±</w:t>
            </w:r>
            <w:r w:rsidR="00BF1CE8">
              <w:rPr>
                <w:b/>
                <w:bCs/>
                <w:color w:val="000000" w:themeColor="text1"/>
                <w:sz w:val="16"/>
                <w:szCs w:val="16"/>
              </w:rPr>
              <w:t>2</w:t>
            </w:r>
            <w:r w:rsidRPr="00340A4E">
              <w:rPr>
                <w:b/>
                <w:bCs/>
                <w:color w:val="000000" w:themeColor="text1"/>
                <w:sz w:val="16"/>
                <w:szCs w:val="16"/>
              </w:rPr>
              <w:t>)</w:t>
            </w:r>
          </w:p>
          <w:p w:rsidR="007A6525" w:rsidRPr="00340A4E" w:rsidRDefault="007A6525" w:rsidP="00BF1CE8">
            <w:pPr>
              <w:spacing w:line="480" w:lineRule="auto"/>
              <w:jc w:val="center"/>
              <w:rPr>
                <w:b/>
                <w:bCs/>
                <w:color w:val="000000" w:themeColor="text1"/>
                <w:sz w:val="16"/>
                <w:szCs w:val="16"/>
              </w:rPr>
            </w:pPr>
            <w:r w:rsidRPr="00B97C8E">
              <w:rPr>
                <w:bCs/>
                <w:color w:val="000000" w:themeColor="text1"/>
                <w:sz w:val="16"/>
                <w:szCs w:val="16"/>
              </w:rPr>
              <w:t>(</w:t>
            </w:r>
            <w:r w:rsidRPr="00C64A59">
              <w:rPr>
                <w:bCs/>
                <w:color w:val="000000" w:themeColor="text1"/>
                <w:sz w:val="16"/>
                <w:szCs w:val="16"/>
              </w:rPr>
              <w:t>±</w:t>
            </w:r>
            <w:r>
              <w:rPr>
                <w:bCs/>
                <w:i/>
                <w:color w:val="000000" w:themeColor="text1"/>
                <w:sz w:val="16"/>
                <w:szCs w:val="16"/>
              </w:rPr>
              <w:t>0.</w:t>
            </w:r>
            <w:r w:rsidR="00340A4E">
              <w:rPr>
                <w:bCs/>
                <w:i/>
                <w:color w:val="000000" w:themeColor="text1"/>
                <w:sz w:val="16"/>
                <w:szCs w:val="16"/>
              </w:rPr>
              <w:t>.</w:t>
            </w:r>
            <w:r w:rsidR="00BF1CE8">
              <w:rPr>
                <w:bCs/>
                <w:i/>
                <w:color w:val="000000" w:themeColor="text1"/>
                <w:sz w:val="16"/>
                <w:szCs w:val="16"/>
              </w:rPr>
              <w:t>1</w:t>
            </w:r>
            <w:r w:rsidRPr="00B97C8E">
              <w:rPr>
                <w:bCs/>
                <w:color w:val="000000" w:themeColor="text1"/>
                <w:sz w:val="16"/>
                <w:szCs w:val="16"/>
              </w:rPr>
              <w:t>)</w:t>
            </w:r>
          </w:p>
        </w:tc>
        <w:tc>
          <w:tcPr>
            <w:tcW w:w="1763" w:type="dxa"/>
          </w:tcPr>
          <w:p w:rsidR="007A6525" w:rsidRDefault="00340A4E" w:rsidP="00D910AD">
            <w:pPr>
              <w:spacing w:line="480" w:lineRule="auto"/>
              <w:jc w:val="center"/>
              <w:rPr>
                <w:bCs/>
                <w:color w:val="000000" w:themeColor="text1"/>
                <w:sz w:val="16"/>
                <w:szCs w:val="16"/>
              </w:rPr>
            </w:pPr>
            <w:r>
              <w:rPr>
                <w:bCs/>
                <w:color w:val="000000" w:themeColor="text1"/>
                <w:sz w:val="16"/>
                <w:szCs w:val="16"/>
              </w:rPr>
              <w:t>14.8</w:t>
            </w:r>
          </w:p>
          <w:p w:rsidR="00340A4E" w:rsidRDefault="00340A4E" w:rsidP="00D910AD">
            <w:pPr>
              <w:spacing w:line="480" w:lineRule="auto"/>
              <w:jc w:val="center"/>
              <w:rPr>
                <w:b/>
                <w:bCs/>
                <w:color w:val="000000" w:themeColor="text1"/>
                <w:sz w:val="16"/>
                <w:szCs w:val="16"/>
              </w:rPr>
            </w:pPr>
            <w:r w:rsidRPr="00340A4E">
              <w:rPr>
                <w:b/>
                <w:bCs/>
                <w:color w:val="000000" w:themeColor="text1"/>
                <w:sz w:val="16"/>
                <w:szCs w:val="16"/>
              </w:rPr>
              <w:t>(±0.</w:t>
            </w:r>
            <w:r w:rsidR="00BF1CE8">
              <w:rPr>
                <w:b/>
                <w:bCs/>
                <w:color w:val="000000" w:themeColor="text1"/>
                <w:sz w:val="16"/>
                <w:szCs w:val="16"/>
              </w:rPr>
              <w:t>2</w:t>
            </w:r>
            <w:r w:rsidRPr="00340A4E">
              <w:rPr>
                <w:b/>
                <w:bCs/>
                <w:color w:val="000000" w:themeColor="text1"/>
                <w:sz w:val="16"/>
                <w:szCs w:val="16"/>
              </w:rPr>
              <w:t>)</w:t>
            </w:r>
          </w:p>
          <w:p w:rsidR="007A6525" w:rsidRPr="00340A4E" w:rsidRDefault="007A6525" w:rsidP="00BF1CE8">
            <w:pPr>
              <w:spacing w:line="480" w:lineRule="auto"/>
              <w:jc w:val="center"/>
              <w:rPr>
                <w:b/>
                <w:bCs/>
                <w:color w:val="000000" w:themeColor="text1"/>
                <w:sz w:val="16"/>
                <w:szCs w:val="16"/>
              </w:rPr>
            </w:pPr>
            <w:r w:rsidRPr="00B97C8E">
              <w:rPr>
                <w:bCs/>
                <w:color w:val="000000" w:themeColor="text1"/>
                <w:sz w:val="16"/>
                <w:szCs w:val="16"/>
              </w:rPr>
              <w:t>(</w:t>
            </w:r>
            <w:r w:rsidRPr="00C64A59">
              <w:rPr>
                <w:bCs/>
                <w:color w:val="000000" w:themeColor="text1"/>
                <w:sz w:val="16"/>
                <w:szCs w:val="16"/>
              </w:rPr>
              <w:t>±</w:t>
            </w:r>
            <w:r w:rsidR="00BF1CE8">
              <w:rPr>
                <w:bCs/>
                <w:color w:val="000000" w:themeColor="text1"/>
                <w:sz w:val="16"/>
                <w:szCs w:val="16"/>
              </w:rPr>
              <w:t>0.</w:t>
            </w:r>
            <w:r w:rsidR="00BF1CE8">
              <w:rPr>
                <w:bCs/>
                <w:i/>
                <w:color w:val="000000" w:themeColor="text1"/>
                <w:sz w:val="16"/>
                <w:szCs w:val="16"/>
              </w:rPr>
              <w:t>4</w:t>
            </w:r>
            <w:r w:rsidRPr="00B97C8E">
              <w:rPr>
                <w:bCs/>
                <w:color w:val="000000" w:themeColor="text1"/>
                <w:sz w:val="16"/>
                <w:szCs w:val="16"/>
              </w:rPr>
              <w:t>)</w:t>
            </w:r>
          </w:p>
        </w:tc>
      </w:tr>
      <w:tr w:rsidR="00EA1BD0" w:rsidRPr="00D3641B" w:rsidTr="000B212F">
        <w:tc>
          <w:tcPr>
            <w:tcW w:w="1526" w:type="dxa"/>
            <w:tcBorders>
              <w:bottom w:val="single" w:sz="4" w:space="0" w:color="auto"/>
            </w:tcBorders>
          </w:tcPr>
          <w:p w:rsidR="00EA1BD0" w:rsidRPr="00365820" w:rsidRDefault="00EA1BD0" w:rsidP="00D910AD">
            <w:pPr>
              <w:spacing w:line="480" w:lineRule="auto"/>
              <w:jc w:val="center"/>
              <w:rPr>
                <w:bCs/>
                <w:color w:val="000000" w:themeColor="text1"/>
                <w:sz w:val="16"/>
                <w:szCs w:val="16"/>
              </w:rPr>
            </w:pPr>
            <w:r>
              <w:rPr>
                <w:bCs/>
                <w:color w:val="000000" w:themeColor="text1"/>
                <w:sz w:val="16"/>
                <w:szCs w:val="16"/>
              </w:rPr>
              <w:t>25*</w:t>
            </w:r>
          </w:p>
        </w:tc>
        <w:tc>
          <w:tcPr>
            <w:tcW w:w="1843" w:type="dxa"/>
            <w:tcBorders>
              <w:bottom w:val="single" w:sz="4" w:space="0" w:color="auto"/>
            </w:tcBorders>
          </w:tcPr>
          <w:p w:rsidR="000B212F" w:rsidRPr="000B212F" w:rsidRDefault="000B212F" w:rsidP="00D910AD">
            <w:pPr>
              <w:pStyle w:val="NoSpacing"/>
              <w:spacing w:line="480" w:lineRule="auto"/>
              <w:jc w:val="center"/>
              <w:rPr>
                <w:sz w:val="16"/>
                <w:szCs w:val="16"/>
              </w:rPr>
            </w:pPr>
            <w:r w:rsidRPr="000B212F">
              <w:rPr>
                <w:sz w:val="16"/>
                <w:szCs w:val="16"/>
              </w:rPr>
              <w:t>46.3</w:t>
            </w:r>
          </w:p>
          <w:p w:rsidR="000B212F" w:rsidRDefault="000B212F" w:rsidP="00D910AD">
            <w:pPr>
              <w:pStyle w:val="NoSpacing"/>
              <w:spacing w:line="480" w:lineRule="auto"/>
              <w:jc w:val="center"/>
              <w:rPr>
                <w:rFonts w:cs="Segoe UI"/>
                <w:b/>
                <w:color w:val="000000"/>
                <w:sz w:val="16"/>
                <w:szCs w:val="16"/>
              </w:rPr>
            </w:pPr>
            <w:r w:rsidRPr="000B212F">
              <w:rPr>
                <w:b/>
                <w:bCs/>
                <w:color w:val="000000" w:themeColor="text1"/>
                <w:sz w:val="16"/>
                <w:szCs w:val="16"/>
              </w:rPr>
              <w:t>(±</w:t>
            </w:r>
            <w:r w:rsidR="00BF1CE8">
              <w:rPr>
                <w:rFonts w:cs="Segoe UI"/>
                <w:b/>
                <w:color w:val="000000"/>
                <w:sz w:val="16"/>
                <w:szCs w:val="16"/>
              </w:rPr>
              <w:t>3</w:t>
            </w:r>
            <w:r w:rsidRPr="000B212F">
              <w:rPr>
                <w:rFonts w:cs="Segoe UI"/>
                <w:b/>
                <w:color w:val="000000"/>
                <w:sz w:val="16"/>
                <w:szCs w:val="16"/>
              </w:rPr>
              <w:t>)</w:t>
            </w:r>
          </w:p>
          <w:p w:rsidR="000B212F" w:rsidRPr="000B212F" w:rsidRDefault="000B212F" w:rsidP="00D910AD">
            <w:pPr>
              <w:pStyle w:val="NoSpacing"/>
              <w:spacing w:line="480" w:lineRule="auto"/>
              <w:jc w:val="center"/>
              <w:rPr>
                <w:rFonts w:cs="Segoe UI"/>
                <w:b/>
                <w:i/>
                <w:color w:val="000000"/>
                <w:sz w:val="16"/>
                <w:szCs w:val="16"/>
              </w:rPr>
            </w:pPr>
            <w:r w:rsidRPr="000B212F">
              <w:rPr>
                <w:bCs/>
                <w:i/>
                <w:color w:val="000000" w:themeColor="text1"/>
                <w:sz w:val="16"/>
                <w:szCs w:val="16"/>
              </w:rPr>
              <w:t>(±</w:t>
            </w:r>
            <w:r w:rsidR="00BF1CE8">
              <w:rPr>
                <w:bCs/>
                <w:i/>
                <w:color w:val="000000" w:themeColor="text1"/>
                <w:sz w:val="16"/>
                <w:szCs w:val="16"/>
              </w:rPr>
              <w:t>5</w:t>
            </w:r>
            <w:r w:rsidRPr="000B212F">
              <w:rPr>
                <w:bCs/>
                <w:i/>
                <w:color w:val="000000" w:themeColor="text1"/>
                <w:sz w:val="16"/>
                <w:szCs w:val="16"/>
              </w:rPr>
              <w:t>)</w:t>
            </w:r>
          </w:p>
          <w:p w:rsidR="00EA1BD0" w:rsidRPr="000B212F" w:rsidRDefault="00EA1BD0" w:rsidP="00D910AD">
            <w:pPr>
              <w:pStyle w:val="NoSpacing"/>
              <w:spacing w:line="480" w:lineRule="auto"/>
              <w:jc w:val="center"/>
              <w:rPr>
                <w:bCs/>
                <w:color w:val="000000" w:themeColor="text1"/>
                <w:sz w:val="16"/>
                <w:szCs w:val="16"/>
              </w:rPr>
            </w:pPr>
          </w:p>
        </w:tc>
        <w:tc>
          <w:tcPr>
            <w:tcW w:w="1018" w:type="dxa"/>
            <w:tcBorders>
              <w:bottom w:val="single" w:sz="4" w:space="0" w:color="auto"/>
            </w:tcBorders>
          </w:tcPr>
          <w:p w:rsidR="000B212F" w:rsidRPr="000B212F" w:rsidRDefault="000B212F" w:rsidP="00D910AD">
            <w:pPr>
              <w:pStyle w:val="NoSpacing"/>
              <w:spacing w:line="480" w:lineRule="auto"/>
              <w:jc w:val="center"/>
              <w:rPr>
                <w:sz w:val="16"/>
                <w:szCs w:val="16"/>
              </w:rPr>
            </w:pPr>
            <w:r w:rsidRPr="000B212F">
              <w:rPr>
                <w:sz w:val="16"/>
                <w:szCs w:val="16"/>
              </w:rPr>
              <w:t>18.9</w:t>
            </w:r>
          </w:p>
          <w:p w:rsidR="000B212F" w:rsidRPr="000B212F" w:rsidRDefault="000B212F" w:rsidP="00D910AD">
            <w:pPr>
              <w:pStyle w:val="NoSpacing"/>
              <w:spacing w:line="480" w:lineRule="auto"/>
              <w:jc w:val="center"/>
              <w:rPr>
                <w:rFonts w:cs="Segoe UI"/>
                <w:b/>
                <w:color w:val="000000"/>
                <w:sz w:val="16"/>
                <w:szCs w:val="16"/>
              </w:rPr>
            </w:pPr>
            <w:r w:rsidRPr="000B212F">
              <w:rPr>
                <w:b/>
                <w:bCs/>
                <w:color w:val="000000" w:themeColor="text1"/>
                <w:sz w:val="16"/>
                <w:szCs w:val="16"/>
              </w:rPr>
              <w:t>(±</w:t>
            </w:r>
            <w:r w:rsidR="00BF1CE8">
              <w:rPr>
                <w:rFonts w:cs="Segoe UI"/>
                <w:b/>
                <w:color w:val="000000"/>
                <w:sz w:val="16"/>
                <w:szCs w:val="16"/>
              </w:rPr>
              <w:t>3</w:t>
            </w:r>
            <w:r w:rsidRPr="000B212F">
              <w:rPr>
                <w:rFonts w:cs="Segoe UI"/>
                <w:b/>
                <w:color w:val="000000"/>
                <w:sz w:val="16"/>
                <w:szCs w:val="16"/>
              </w:rPr>
              <w:t>)</w:t>
            </w:r>
          </w:p>
          <w:p w:rsidR="00EA1BD0" w:rsidRPr="000B212F" w:rsidRDefault="00EA1BD0" w:rsidP="00D910AD">
            <w:pPr>
              <w:pStyle w:val="NoSpacing"/>
              <w:spacing w:line="480" w:lineRule="auto"/>
              <w:jc w:val="center"/>
              <w:rPr>
                <w:bCs/>
                <w:iCs/>
                <w:color w:val="000000" w:themeColor="text1"/>
                <w:sz w:val="16"/>
                <w:szCs w:val="16"/>
              </w:rPr>
            </w:pPr>
          </w:p>
        </w:tc>
        <w:tc>
          <w:tcPr>
            <w:tcW w:w="1323" w:type="dxa"/>
            <w:tcBorders>
              <w:bottom w:val="single" w:sz="4" w:space="0" w:color="auto"/>
            </w:tcBorders>
          </w:tcPr>
          <w:p w:rsidR="00EA1BD0" w:rsidRPr="000B212F" w:rsidRDefault="000B212F" w:rsidP="00D910AD">
            <w:pPr>
              <w:pStyle w:val="NoSpacing"/>
              <w:spacing w:line="480" w:lineRule="auto"/>
              <w:jc w:val="center"/>
              <w:rPr>
                <w:sz w:val="16"/>
                <w:szCs w:val="16"/>
              </w:rPr>
            </w:pPr>
            <w:r w:rsidRPr="000B212F">
              <w:rPr>
                <w:sz w:val="16"/>
                <w:szCs w:val="16"/>
              </w:rPr>
              <w:t>27.8</w:t>
            </w:r>
          </w:p>
          <w:p w:rsidR="000B212F" w:rsidRPr="000B212F" w:rsidRDefault="000B212F" w:rsidP="00D910AD">
            <w:pPr>
              <w:pStyle w:val="NoSpacing"/>
              <w:spacing w:line="480" w:lineRule="auto"/>
              <w:jc w:val="center"/>
              <w:rPr>
                <w:rFonts w:cs="Segoe UI"/>
                <w:b/>
                <w:color w:val="000000"/>
                <w:sz w:val="16"/>
                <w:szCs w:val="16"/>
              </w:rPr>
            </w:pPr>
            <w:r w:rsidRPr="000B212F">
              <w:rPr>
                <w:b/>
                <w:bCs/>
                <w:color w:val="000000" w:themeColor="text1"/>
                <w:sz w:val="16"/>
                <w:szCs w:val="16"/>
              </w:rPr>
              <w:t>(±</w:t>
            </w:r>
            <w:r w:rsidRPr="000B212F">
              <w:rPr>
                <w:rFonts w:cs="Segoe UI"/>
                <w:b/>
                <w:color w:val="000000"/>
                <w:sz w:val="16"/>
                <w:szCs w:val="16"/>
              </w:rPr>
              <w:t>0.2)</w:t>
            </w:r>
          </w:p>
          <w:p w:rsidR="000B212F" w:rsidRPr="000B212F" w:rsidRDefault="000B212F" w:rsidP="00D910AD">
            <w:pPr>
              <w:pStyle w:val="NoSpacing"/>
              <w:spacing w:line="480" w:lineRule="auto"/>
              <w:jc w:val="center"/>
              <w:rPr>
                <w:sz w:val="16"/>
                <w:szCs w:val="16"/>
              </w:rPr>
            </w:pPr>
            <w:r w:rsidRPr="00B97C8E">
              <w:rPr>
                <w:bCs/>
                <w:color w:val="000000" w:themeColor="text1"/>
                <w:sz w:val="16"/>
                <w:szCs w:val="16"/>
              </w:rPr>
              <w:t>(</w:t>
            </w:r>
            <w:r w:rsidRPr="00D3641B">
              <w:rPr>
                <w:bCs/>
                <w:i/>
                <w:color w:val="000000" w:themeColor="text1"/>
                <w:sz w:val="16"/>
                <w:szCs w:val="16"/>
              </w:rPr>
              <w:t>±</w:t>
            </w:r>
            <w:r>
              <w:rPr>
                <w:bCs/>
                <w:i/>
                <w:color w:val="000000" w:themeColor="text1"/>
                <w:sz w:val="16"/>
                <w:szCs w:val="16"/>
              </w:rPr>
              <w:t>2</w:t>
            </w:r>
            <w:r w:rsidRPr="00B97C8E">
              <w:rPr>
                <w:bCs/>
                <w:color w:val="000000" w:themeColor="text1"/>
                <w:sz w:val="16"/>
                <w:szCs w:val="16"/>
              </w:rPr>
              <w:t>)</w:t>
            </w:r>
          </w:p>
        </w:tc>
        <w:tc>
          <w:tcPr>
            <w:tcW w:w="1763" w:type="dxa"/>
            <w:tcBorders>
              <w:bottom w:val="single" w:sz="4" w:space="0" w:color="auto"/>
            </w:tcBorders>
          </w:tcPr>
          <w:p w:rsidR="000B212F" w:rsidRPr="000B212F" w:rsidRDefault="000B212F" w:rsidP="00D910AD">
            <w:pPr>
              <w:pStyle w:val="NoSpacing"/>
              <w:spacing w:line="480" w:lineRule="auto"/>
              <w:jc w:val="center"/>
              <w:rPr>
                <w:sz w:val="16"/>
                <w:szCs w:val="16"/>
              </w:rPr>
            </w:pPr>
            <w:r w:rsidRPr="000B212F">
              <w:rPr>
                <w:sz w:val="16"/>
                <w:szCs w:val="16"/>
              </w:rPr>
              <w:t>13.8</w:t>
            </w:r>
          </w:p>
          <w:p w:rsidR="000B212F" w:rsidRPr="000B212F" w:rsidRDefault="000B212F" w:rsidP="00D910AD">
            <w:pPr>
              <w:pStyle w:val="NoSpacing"/>
              <w:spacing w:line="480" w:lineRule="auto"/>
              <w:jc w:val="center"/>
              <w:rPr>
                <w:rFonts w:cs="Segoe UI"/>
                <w:b/>
                <w:color w:val="000000"/>
                <w:sz w:val="16"/>
                <w:szCs w:val="16"/>
              </w:rPr>
            </w:pPr>
            <w:r w:rsidRPr="000B212F">
              <w:rPr>
                <w:b/>
                <w:bCs/>
                <w:color w:val="000000" w:themeColor="text1"/>
                <w:sz w:val="16"/>
                <w:szCs w:val="16"/>
              </w:rPr>
              <w:t>(±</w:t>
            </w:r>
            <w:r w:rsidRPr="000B212F">
              <w:rPr>
                <w:rFonts w:cs="Segoe UI"/>
                <w:b/>
                <w:color w:val="000000"/>
                <w:sz w:val="16"/>
                <w:szCs w:val="16"/>
              </w:rPr>
              <w:t>0.</w:t>
            </w:r>
            <w:r w:rsidR="00BF1CE8">
              <w:rPr>
                <w:rFonts w:cs="Segoe UI"/>
                <w:b/>
                <w:color w:val="000000"/>
                <w:sz w:val="16"/>
                <w:szCs w:val="16"/>
              </w:rPr>
              <w:t>4</w:t>
            </w:r>
            <w:r w:rsidRPr="000B212F">
              <w:rPr>
                <w:rFonts w:cs="Segoe UI"/>
                <w:b/>
                <w:color w:val="000000"/>
                <w:sz w:val="16"/>
                <w:szCs w:val="16"/>
              </w:rPr>
              <w:t>)</w:t>
            </w:r>
          </w:p>
          <w:p w:rsidR="00EA1BD0" w:rsidRPr="000B212F" w:rsidRDefault="000B212F" w:rsidP="00BF1CE8">
            <w:pPr>
              <w:pStyle w:val="NoSpacing"/>
              <w:spacing w:line="480" w:lineRule="auto"/>
              <w:jc w:val="center"/>
              <w:rPr>
                <w:bCs/>
                <w:color w:val="000000" w:themeColor="text1"/>
                <w:sz w:val="16"/>
                <w:szCs w:val="16"/>
              </w:rPr>
            </w:pPr>
            <w:r w:rsidRPr="00B97C8E">
              <w:rPr>
                <w:bCs/>
                <w:color w:val="000000" w:themeColor="text1"/>
                <w:sz w:val="16"/>
                <w:szCs w:val="16"/>
              </w:rPr>
              <w:t>(</w:t>
            </w:r>
            <w:r w:rsidRPr="00D3641B">
              <w:rPr>
                <w:bCs/>
                <w:i/>
                <w:color w:val="000000" w:themeColor="text1"/>
                <w:sz w:val="16"/>
                <w:szCs w:val="16"/>
              </w:rPr>
              <w:t>±</w:t>
            </w:r>
            <w:r>
              <w:rPr>
                <w:bCs/>
                <w:i/>
                <w:color w:val="000000" w:themeColor="text1"/>
                <w:sz w:val="16"/>
                <w:szCs w:val="16"/>
              </w:rPr>
              <w:t>0.</w:t>
            </w:r>
            <w:r w:rsidR="00BF1CE8">
              <w:rPr>
                <w:bCs/>
                <w:i/>
                <w:color w:val="000000" w:themeColor="text1"/>
                <w:sz w:val="16"/>
                <w:szCs w:val="16"/>
              </w:rPr>
              <w:t>9</w:t>
            </w:r>
            <w:r w:rsidRPr="00B97C8E">
              <w:rPr>
                <w:bCs/>
                <w:color w:val="000000" w:themeColor="text1"/>
                <w:sz w:val="16"/>
                <w:szCs w:val="16"/>
              </w:rPr>
              <w:t>)</w:t>
            </w:r>
          </w:p>
        </w:tc>
      </w:tr>
    </w:tbl>
    <w:p w:rsidR="00B95AD7" w:rsidRDefault="00B95AD7" w:rsidP="000574FF">
      <w:pPr>
        <w:spacing w:line="480" w:lineRule="auto"/>
        <w:jc w:val="both"/>
        <w:rPr>
          <w:bCs/>
        </w:rPr>
      </w:pPr>
    </w:p>
    <w:p w:rsidR="000574FF" w:rsidRDefault="00040F10" w:rsidP="000574FF">
      <w:pPr>
        <w:spacing w:line="480" w:lineRule="auto"/>
        <w:jc w:val="both"/>
        <w:rPr>
          <w:bCs/>
        </w:rPr>
      </w:pPr>
      <w:r>
        <w:rPr>
          <w:bCs/>
          <w:noProof/>
          <w:lang w:eastAsia="en-GB"/>
        </w:rPr>
        <w:lastRenderedPageBreak/>
        <w:pict>
          <v:shape id="_x0000_s1189" type="#_x0000_t202" style="position:absolute;left:0;text-align:left;margin-left:170.5pt;margin-top:222.05pt;width:87.05pt;height:17.7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291B0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2321F1">
        <w:rPr>
          <w:bCs/>
        </w:rPr>
        <w:t xml:space="preserve">The other values do contain some error, but they are not as large. The interaction is exothermic. Most likely, the source of the favourable </w:t>
      </w:r>
      <w:r w:rsidR="001D171F" w:rsidRPr="001D171F">
        <w:rPr>
          <w:rFonts w:eastAsiaTheme="minorEastAsia"/>
        </w:rPr>
        <w:t>Δ</w:t>
      </w:r>
      <w:r w:rsidR="001D171F">
        <w:rPr>
          <w:rFonts w:eastAsiaTheme="minorEastAsia"/>
          <w:i/>
        </w:rPr>
        <w:t>H</w:t>
      </w:r>
      <w:r w:rsidR="001D171F">
        <w:rPr>
          <w:bCs/>
        </w:rPr>
        <w:t xml:space="preserve"> </w:t>
      </w:r>
      <w:r w:rsidR="002321F1">
        <w:rPr>
          <w:bCs/>
        </w:rPr>
        <w:t xml:space="preserve">is hydrogen bonding interactions between the alcohols on the tannic acid and the amide groups of the polypeptide chain and amino acids capable of hydrogen bonding. Given the large surface area between the interacting protein and the tannic acid London dispersion forces would also be making a favourable contribution to the observed </w:t>
      </w:r>
      <w:r w:rsidR="00421C4D">
        <w:rPr>
          <w:bCs/>
        </w:rPr>
        <w:t>Δ</w:t>
      </w:r>
      <w:r w:rsidR="00421C4D" w:rsidRPr="00421C4D">
        <w:rPr>
          <w:bCs/>
          <w:i/>
        </w:rPr>
        <w:t>H</w:t>
      </w:r>
      <w:r w:rsidR="00EE6603">
        <w:rPr>
          <w:bCs/>
        </w:rPr>
        <w:t xml:space="preserve">. Increasing the temperature increases the </w:t>
      </w:r>
      <w:r w:rsidR="001D171F" w:rsidRPr="001D171F">
        <w:rPr>
          <w:rFonts w:eastAsiaTheme="minorEastAsia"/>
        </w:rPr>
        <w:t>Δ</w:t>
      </w:r>
      <w:r w:rsidR="001D171F">
        <w:rPr>
          <w:rFonts w:eastAsiaTheme="minorEastAsia"/>
          <w:i/>
        </w:rPr>
        <w:t>G</w:t>
      </w:r>
      <w:r w:rsidR="00EE6603">
        <w:rPr>
          <w:bCs/>
        </w:rPr>
        <w:t xml:space="preserve">. </w:t>
      </w:r>
      <w:r w:rsidR="00866F43">
        <w:rPr>
          <w:bCs/>
        </w:rPr>
        <w:t xml:space="preserve">Hydrophobic interaction is affected by temperature. Increasing the temperature favours hydrophobic interaction and this would explain the favourable change in </w:t>
      </w:r>
      <w:r w:rsidR="001D171F" w:rsidRPr="001D171F">
        <w:rPr>
          <w:rFonts w:eastAsiaTheme="minorEastAsia"/>
        </w:rPr>
        <w:t>Δ</w:t>
      </w:r>
      <w:r w:rsidR="001D171F">
        <w:rPr>
          <w:rFonts w:eastAsiaTheme="minorEastAsia"/>
          <w:i/>
        </w:rPr>
        <w:t>G</w:t>
      </w:r>
      <w:r w:rsidR="00EE6603">
        <w:rPr>
          <w:bCs/>
        </w:rPr>
        <w:t xml:space="preserve">.  </w:t>
      </w:r>
    </w:p>
    <w:p w:rsidR="000574FF" w:rsidRPr="008F5225" w:rsidRDefault="00040F10" w:rsidP="008F5225">
      <w:pPr>
        <w:spacing w:line="480" w:lineRule="auto"/>
        <w:jc w:val="both"/>
        <w:rPr>
          <w:bCs/>
        </w:rPr>
      </w:pPr>
      <w:r>
        <w:rPr>
          <w:bCs/>
          <w:noProof/>
          <w:lang w:eastAsia="en-GB"/>
        </w:rPr>
        <w:pict>
          <v:shape id="_x0000_s1187" type="#_x0000_t202" style="position:absolute;left:0;text-align:left;margin-left:176pt;margin-top:261.15pt;width:87.05pt;height:17.7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291B0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sidR="00A975DE">
        <w:rPr>
          <w:bCs/>
          <w:noProof/>
          <w:lang w:eastAsia="en-GB"/>
        </w:rPr>
        <w:drawing>
          <wp:anchor distT="0" distB="0" distL="114300" distR="114300" simplePos="0" relativeHeight="251662336" behindDoc="0" locked="0" layoutInCell="1" allowOverlap="1" wp14:anchorId="79DAF7D9" wp14:editId="60632668">
            <wp:simplePos x="0" y="0"/>
            <wp:positionH relativeFrom="column">
              <wp:posOffset>-109166</wp:posOffset>
            </wp:positionH>
            <wp:positionV relativeFrom="paragraph">
              <wp:posOffset>428294</wp:posOffset>
            </wp:positionV>
            <wp:extent cx="275149" cy="2782956"/>
            <wp:effectExtent l="19050" t="0" r="0" b="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275149" cy="2782956"/>
                    </a:xfrm>
                    <a:prstGeom prst="rect">
                      <a:avLst/>
                    </a:prstGeom>
                    <a:noFill/>
                    <a:ln w="9525">
                      <a:noFill/>
                      <a:miter lim="800000"/>
                      <a:headEnd/>
                      <a:tailEnd/>
                    </a:ln>
                  </pic:spPr>
                </pic:pic>
              </a:graphicData>
            </a:graphic>
          </wp:anchor>
        </w:drawing>
      </w:r>
      <w:r>
        <w:rPr>
          <w:bCs/>
          <w:noProof/>
          <w:lang w:eastAsia="en-GB"/>
        </w:rPr>
        <w:pict>
          <v:shape id="Text Box 59" o:spid="_x0000_s1028" type="#_x0000_t202" style="position:absolute;left:0;text-align:left;margin-left:46.35pt;margin-top:141.3pt;width:26.25pt;height:24pt;z-index:251713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" strokecolor="white [3212]">
            <v:textbox>
              <w:txbxContent>
                <w:p w:rsidR="003A5686" w:rsidRDefault="003A5686" w:rsidP="00B55C59"/>
              </w:txbxContent>
            </v:textbox>
          </v:shape>
        </w:pict>
      </w:r>
      <w:r w:rsidR="0070219E">
        <w:rPr>
          <w:bCs/>
          <w:noProof/>
          <w:lang w:eastAsia="en-GB"/>
        </w:rPr>
        <w:drawing>
          <wp:inline distT="0" distB="0" distL="0" distR="0" wp14:anchorId="56C5573F" wp14:editId="6BB0E234">
            <wp:extent cx="5205730" cy="3493237"/>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0574FF" w:rsidRDefault="000574FF" w:rsidP="000574FF">
      <w:pPr>
        <w:pStyle w:val="Caption"/>
        <w:spacing w:line="480" w:lineRule="auto"/>
        <w:jc w:val="center"/>
        <w:rPr>
          <w:bCs w:val="0"/>
        </w:rPr>
      </w:pPr>
      <w:bookmarkStart w:id="96" w:name="_Ref442870905"/>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8</w:t>
      </w:r>
      <w:r w:rsidR="0075172E">
        <w:fldChar w:fldCharType="end"/>
      </w:r>
      <w:bookmarkEnd w:id="96"/>
      <w:r>
        <w:t xml:space="preserve">: Upper: </w:t>
      </w:r>
      <w:r w:rsidRPr="00B8359D">
        <w:t xml:space="preserve">Thermogram for the interaction of </w:t>
      </w:r>
      <w:r>
        <w:t>1</w:t>
      </w:r>
      <w:r w:rsidRPr="00B8359D">
        <w:t>5 µM BSA with 1 mM</w:t>
      </w:r>
      <w:r>
        <w:t xml:space="preserve"> tannic acid at 25</w:t>
      </w:r>
      <w:r w:rsidR="006F2757">
        <w:t xml:space="preserve"> </w:t>
      </w:r>
      <w:r>
        <w:t xml:space="preserve">°C pH 4. Lower: ITC binding isotherm for the same interaction (closed </w:t>
      </w:r>
      <w:r w:rsidR="00DD2D91">
        <w:t>circles</w:t>
      </w:r>
      <w:r>
        <w:t>). Sodium acetate into a solution of BSA (open circles) and tannic acid dilution into sodium acetate (open squares).</w:t>
      </w:r>
      <w:r w:rsidR="004E0F1C">
        <w:t xml:space="preserve"> Solid line represents single site independent binding model fit.</w:t>
      </w:r>
    </w:p>
    <w:p w:rsidR="000574FF" w:rsidRDefault="00DC3983" w:rsidP="000574FF">
      <w:pPr>
        <w:spacing w:line="480" w:lineRule="auto"/>
        <w:jc w:val="both"/>
        <w:rPr>
          <w:bCs/>
        </w:rPr>
      </w:pPr>
      <w:r>
        <w:rPr>
          <w:bCs/>
        </w:rPr>
        <w:t xml:space="preserve">The interaction at </w:t>
      </w:r>
      <w:r w:rsidRPr="00536BC2">
        <w:rPr>
          <w:bCs/>
        </w:rPr>
        <w:t>10</w:t>
      </w:r>
      <w:r>
        <w:rPr>
          <w:bCs/>
        </w:rPr>
        <w:t xml:space="preserve"> </w:t>
      </w:r>
      <w:r w:rsidRPr="00536BC2">
        <w:rPr>
          <w:bCs/>
        </w:rPr>
        <w:t>°C</w:t>
      </w:r>
      <w:r>
        <w:rPr>
          <w:bCs/>
        </w:rPr>
        <w:t xml:space="preserve"> does not show two stages of interaction </w:t>
      </w:r>
      <w:r w:rsidRPr="00536BC2">
        <w:rPr>
          <w:bCs/>
        </w:rPr>
        <w:t>(</w:t>
      </w:r>
      <w:r w:rsidR="0075172E">
        <w:rPr>
          <w:bCs/>
        </w:rPr>
        <w:fldChar w:fldCharType="begin"/>
      </w:r>
      <w:r>
        <w:rPr>
          <w:bCs/>
        </w:rPr>
        <w:instrText xml:space="preserve"> REF _Ref442870962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9</w:t>
      </w:r>
      <w:r w:rsidR="0075172E">
        <w:rPr>
          <w:bCs/>
        </w:rPr>
        <w:fldChar w:fldCharType="end"/>
      </w:r>
      <w:r>
        <w:rPr>
          <w:bCs/>
        </w:rPr>
        <w:t xml:space="preserve">). </w:t>
      </w:r>
      <w:r w:rsidR="0075172E">
        <w:rPr>
          <w:bCs/>
        </w:rPr>
        <w:fldChar w:fldCharType="begin"/>
      </w:r>
      <w:r w:rsidR="00F90E22">
        <w:rPr>
          <w:bCs/>
        </w:rPr>
        <w:instrText xml:space="preserve"> REF _Ref456875224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10</w:t>
      </w:r>
      <w:r w:rsidR="0075172E">
        <w:rPr>
          <w:bCs/>
        </w:rPr>
        <w:fldChar w:fldCharType="end"/>
      </w:r>
      <w:r w:rsidR="00F90E22">
        <w:rPr>
          <w:bCs/>
        </w:rPr>
        <w:t xml:space="preserve"> </w:t>
      </w:r>
      <w:r>
        <w:rPr>
          <w:bCs/>
        </w:rPr>
        <w:t xml:space="preserve">shows that there is an increase in exothermicity over the entire binding isotherm with the decrease in temperature. </w:t>
      </w:r>
      <w:r w:rsidR="000574FF">
        <w:rPr>
          <w:bCs/>
        </w:rPr>
        <w:t>The cause</w:t>
      </w:r>
      <w:r w:rsidR="000574FF" w:rsidRPr="00DD75D1">
        <w:rPr>
          <w:bCs/>
        </w:rPr>
        <w:t xml:space="preserve"> is most likely due to solute-solute hydrophilic </w:t>
      </w:r>
      <w:r w:rsidR="000574FF" w:rsidRPr="00DD75D1">
        <w:rPr>
          <w:bCs/>
        </w:rPr>
        <w:lastRenderedPageBreak/>
        <w:t xml:space="preserve">interactions becoming </w:t>
      </w:r>
      <w:r w:rsidR="000574FF">
        <w:rPr>
          <w:bCs/>
        </w:rPr>
        <w:t>more favourable at lower temperatures.</w:t>
      </w:r>
      <w:hyperlink w:anchor="_ENREF_218" w:tooltip="Makhatadze, 1993 #566" w:history="1">
        <w:r w:rsidR="00512D09">
          <w:rPr>
            <w:bCs/>
          </w:rPr>
          <w:fldChar w:fldCharType="begin"/>
        </w:r>
        <w:r w:rsidR="00512D09">
          <w:rPr>
            <w:bCs/>
          </w:rPr>
          <w:instrText xml:space="preserve"> ADDIN EN.CITE &lt;EndNote&gt;&lt;Cite&gt;&lt;Author&gt;Makhatadze&lt;/Author&gt;&lt;Year&gt;1993&lt;/Year&gt;&lt;RecNum&gt;566&lt;/RecNum&gt;&lt;DisplayText&gt;&lt;style face="superscript"&gt;218&lt;/style&gt;&lt;/DisplayText&gt;&lt;record&gt;&lt;rec-number&gt;566&lt;/rec-number&gt;&lt;foreign-keys&gt;&lt;key app="EN" db-id="5trrespwzsdr07efd5tx2w96x22re9s0fsdt"&gt;566&lt;/key&gt;&lt;/foreign-keys&gt;&lt;ref-type name="Journal Article"&gt;17&lt;/ref-type&gt;&lt;contributors&gt;&lt;authors&gt;&lt;author&gt;Makhatadze, George I.&lt;/author&gt;&lt;author&gt;Privalov, Peter L.&lt;/author&gt;&lt;/authors&gt;&lt;/contributors&gt;&lt;titles&gt;&lt;title&gt;Contribution of Hydration to Protein Folding Thermodynamics: I. The Enthalpy of Hydration&lt;/title&gt;&lt;secondary-title&gt;Journal of Molecular Biology&lt;/secondary-title&gt;&lt;/titles&gt;&lt;periodical&gt;&lt;full-title&gt;Journal of Molecular Biology&lt;/full-title&gt;&lt;/periodical&gt;&lt;pages&gt;639-659&lt;/pages&gt;&lt;volume&gt;232&lt;/volume&gt;&lt;number&gt;2&lt;/number&gt;&lt;keywords&gt;&lt;keyword&gt;protein&lt;/keyword&gt;&lt;keyword&gt;unfolding&lt;/keyword&gt;&lt;keyword&gt;hydration&lt;/keyword&gt;&lt;keyword&gt;enthalpy&lt;/keyword&gt;&lt;keyword&gt;thermodynamics&lt;/keyword&gt;&lt;/keywords&gt;&lt;dates&gt;&lt;year&gt;1993&lt;/year&gt;&lt;/dates&gt;&lt;isbn&gt;0022-2836&lt;/isbn&gt;&lt;urls&gt;&lt;related-urls&gt;&lt;url&gt;http://www.sciencedirect.com/science/article/pii/S0022283683714166&lt;/url&gt;&lt;/related-urls&gt;&lt;/urls&gt;&lt;electronic-resource-num&gt;http://dx.doi.org/10.1006/jmbi.1993.1416&lt;/electronic-resource-num&gt;&lt;/record&gt;&lt;/Cite&gt;&lt;/EndNote&gt;</w:instrText>
        </w:r>
        <w:r w:rsidR="00512D09">
          <w:rPr>
            <w:bCs/>
          </w:rPr>
          <w:fldChar w:fldCharType="separate"/>
        </w:r>
        <w:r w:rsidR="00512D09" w:rsidRPr="006421D1">
          <w:rPr>
            <w:bCs/>
            <w:noProof/>
            <w:vertAlign w:val="superscript"/>
          </w:rPr>
          <w:t>218</w:t>
        </w:r>
        <w:r w:rsidR="00512D09">
          <w:rPr>
            <w:bCs/>
          </w:rPr>
          <w:fldChar w:fldCharType="end"/>
        </w:r>
      </w:hyperlink>
      <w:r w:rsidR="000574FF">
        <w:rPr>
          <w:bCs/>
        </w:rPr>
        <w:t xml:space="preserve"> </w:t>
      </w:r>
      <w:r w:rsidR="000574FF" w:rsidRPr="00DD75D1">
        <w:rPr>
          <w:bCs/>
        </w:rPr>
        <w:t xml:space="preserve">Another source of the endothermicity could be ethanol displacement from the both the tannic acid and BSA upon their interaction.  </w:t>
      </w:r>
    </w:p>
    <w:p w:rsidR="000574FF" w:rsidRDefault="000574FF" w:rsidP="000574FF">
      <w:pPr>
        <w:spacing w:line="480" w:lineRule="auto"/>
        <w:jc w:val="both"/>
        <w:rPr>
          <w:bCs/>
        </w:rPr>
      </w:pPr>
      <w:r>
        <w:rPr>
          <w:bCs/>
        </w:rPr>
        <w:t xml:space="preserve">It is </w:t>
      </w:r>
      <w:r w:rsidR="00EA64D7">
        <w:rPr>
          <w:bCs/>
        </w:rPr>
        <w:t>possible</w:t>
      </w:r>
      <w:r>
        <w:rPr>
          <w:bCs/>
        </w:rPr>
        <w:t xml:space="preserve"> that given the range of binding interactions there would be endothermic and exothermic contributions to binding. This is </w:t>
      </w:r>
      <w:r w:rsidR="005B2B3C">
        <w:rPr>
          <w:bCs/>
        </w:rPr>
        <w:t>presumably</w:t>
      </w:r>
      <w:r>
        <w:rPr>
          <w:bCs/>
        </w:rPr>
        <w:t xml:space="preserve"> why the binding isotherm becomes biphasic at 25</w:t>
      </w:r>
      <w:r>
        <w:rPr>
          <w:bCs/>
        </w:rPr>
        <w:sym w:font="Mathematica1" w:char="F0B0"/>
      </w:r>
      <w:r>
        <w:rPr>
          <w:bCs/>
        </w:rPr>
        <w:t>C from 10</w:t>
      </w:r>
      <w:r>
        <w:rPr>
          <w:bCs/>
        </w:rPr>
        <w:sym w:font="Mathematica1" w:char="F0B0"/>
      </w:r>
      <w:r>
        <w:rPr>
          <w:bCs/>
        </w:rPr>
        <w:t xml:space="preserve">C as the strength of interactions changes with temperature. Given the multitude of the binding </w:t>
      </w:r>
      <w:r w:rsidR="00DC3983">
        <w:rPr>
          <w:bCs/>
        </w:rPr>
        <w:t>interactions,</w:t>
      </w:r>
      <w:r>
        <w:rPr>
          <w:bCs/>
        </w:rPr>
        <w:t xml:space="preserve"> it seems that the </w:t>
      </w:r>
      <w:r w:rsidR="001D171F" w:rsidRPr="001D171F">
        <w:rPr>
          <w:rFonts w:eastAsiaTheme="minorEastAsia"/>
        </w:rPr>
        <w:t>Δ</w:t>
      </w:r>
      <w:r w:rsidR="001D171F">
        <w:rPr>
          <w:rFonts w:eastAsiaTheme="minorEastAsia"/>
          <w:i/>
        </w:rPr>
        <w:t>H</w:t>
      </w:r>
      <w:r w:rsidR="001D171F" w:rsidRPr="00DD141E">
        <w:rPr>
          <w:bCs/>
        </w:rPr>
        <w:t xml:space="preserve"> </w:t>
      </w:r>
      <w:r w:rsidRPr="00DD141E">
        <w:rPr>
          <w:bCs/>
        </w:rPr>
        <w:t xml:space="preserve">in this case is the summation of two opposing </w:t>
      </w:r>
      <w:r w:rsidR="001D171F" w:rsidRPr="001D171F">
        <w:rPr>
          <w:rFonts w:eastAsiaTheme="minorEastAsia"/>
        </w:rPr>
        <w:t>Δ</w:t>
      </w:r>
      <w:r w:rsidR="001D171F">
        <w:rPr>
          <w:rFonts w:eastAsiaTheme="minorEastAsia"/>
          <w:i/>
        </w:rPr>
        <w:t>H</w:t>
      </w:r>
      <w:r>
        <w:rPr>
          <w:bCs/>
          <w:i/>
        </w:rPr>
        <w:t>;</w:t>
      </w:r>
      <w:r w:rsidRPr="00DD141E">
        <w:rPr>
          <w:bCs/>
        </w:rPr>
        <w:t xml:space="preserve"> an endothermic component from water reorganisation around polar moieties and an exothermic component from both hydrophobic and hydrophilic interaction. </w:t>
      </w:r>
      <w:r w:rsidR="00EA64D7">
        <w:rPr>
          <w:bCs/>
        </w:rPr>
        <w:t>It is possible</w:t>
      </w:r>
      <w:r w:rsidRPr="00DD141E">
        <w:rPr>
          <w:bCs/>
        </w:rPr>
        <w:t xml:space="preserve"> that </w:t>
      </w:r>
      <w:r w:rsidR="00EA64D7">
        <w:rPr>
          <w:bCs/>
        </w:rPr>
        <w:t xml:space="preserve">the </w:t>
      </w:r>
      <w:r>
        <w:rPr>
          <w:bCs/>
        </w:rPr>
        <w:t xml:space="preserve">calculated </w:t>
      </w:r>
      <w:r w:rsidR="001D171F">
        <w:rPr>
          <w:bCs/>
        </w:rPr>
        <w:t>T</w:t>
      </w:r>
      <w:r w:rsidR="001D171F" w:rsidRPr="001D171F">
        <w:rPr>
          <w:rFonts w:eastAsiaTheme="minorEastAsia"/>
        </w:rPr>
        <w:t>Δ</w:t>
      </w:r>
      <w:r w:rsidR="001D171F">
        <w:rPr>
          <w:rFonts w:eastAsiaTheme="minorEastAsia"/>
          <w:i/>
        </w:rPr>
        <w:t>S</w:t>
      </w:r>
      <w:r w:rsidRPr="00DD141E">
        <w:rPr>
          <w:bCs/>
          <w:i/>
        </w:rPr>
        <w:t xml:space="preserve"> </w:t>
      </w:r>
      <w:r>
        <w:rPr>
          <w:bCs/>
        </w:rPr>
        <w:t xml:space="preserve">for multiple binding interactions could have an error due to competing </w:t>
      </w:r>
      <w:r w:rsidR="001D171F" w:rsidRPr="001D171F">
        <w:rPr>
          <w:rFonts w:eastAsiaTheme="minorEastAsia"/>
        </w:rPr>
        <w:t>Δ</w:t>
      </w:r>
      <w:r w:rsidR="001D171F">
        <w:rPr>
          <w:rFonts w:eastAsiaTheme="minorEastAsia"/>
          <w:i/>
        </w:rPr>
        <w:t>H</w:t>
      </w:r>
      <w:r w:rsidR="001D171F">
        <w:rPr>
          <w:bCs/>
        </w:rPr>
        <w:t xml:space="preserve"> </w:t>
      </w:r>
      <w:r>
        <w:rPr>
          <w:bCs/>
        </w:rPr>
        <w:t xml:space="preserve">rather </w:t>
      </w:r>
      <w:r w:rsidRPr="00DD141E">
        <w:rPr>
          <w:bCs/>
        </w:rPr>
        <w:t>providing</w:t>
      </w:r>
      <w:r>
        <w:rPr>
          <w:bCs/>
        </w:rPr>
        <w:t xml:space="preserve"> a value for how ordered the system is. </w:t>
      </w:r>
    </w:p>
    <w:p w:rsidR="00DB2326" w:rsidRDefault="00DB2326" w:rsidP="000574FF">
      <w:pPr>
        <w:spacing w:line="480" w:lineRule="auto"/>
        <w:jc w:val="both"/>
        <w:rPr>
          <w:bCs/>
        </w:rPr>
      </w:pPr>
    </w:p>
    <w:p w:rsidR="000574FF" w:rsidRDefault="00040F10" w:rsidP="00C91C6C">
      <w:pPr>
        <w:keepNext/>
        <w:spacing w:line="480" w:lineRule="auto"/>
        <w:jc w:val="center"/>
      </w:pPr>
      <w:r>
        <w:rPr>
          <w:bCs/>
          <w:noProof/>
          <w:lang w:eastAsia="en-GB"/>
        </w:rPr>
        <w:lastRenderedPageBreak/>
        <w:pict>
          <v:shape id="_x0000_s1190" type="#_x0000_t202" style="position:absolute;left:0;text-align:left;margin-left:176pt;margin-top:-3.4pt;width:87.05pt;height:18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291B0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Cs/>
          <w:noProof/>
          <w:lang w:eastAsia="en-GB"/>
        </w:rPr>
        <w:pict>
          <v:shape id="_x0000_s1186" type="#_x0000_t202" style="position:absolute;left:0;text-align:left;margin-left:181.5pt;margin-top:261pt;width:87.05pt;height:17.7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291B0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Pr>
          <w:bCs/>
          <w:noProof/>
          <w:lang w:eastAsia="en-GB"/>
        </w:rPr>
        <w:pict>
          <v:shape id="Text Box 78" o:spid="_x0000_s1029" type="#_x0000_t202" style="position:absolute;left:0;text-align:left;margin-left:-12.8pt;margin-top:20.3pt;width:24.05pt;height:232.4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" strokecolor="white [3212]">
            <v:textbox style="layout-flow:vertical;mso-layout-flow-alt:bottom-to-top;mso-next-textbox:#Text Box 78">
              <w:txbxContent>
                <w:p w:rsidR="003A5686" w:rsidRPr="0016048C" w:rsidRDefault="003A5686" w:rsidP="00800BC5">
                  <w:pPr>
                    <w:rPr>
                      <w:rFonts w:ascii="Arial" w:hAnsi="Arial" w:cs="Arial"/>
                      <w:b/>
                      <w:color w:val="262626" w:themeColor="text1" w:themeTint="D9"/>
                      <w:sz w:val="18"/>
                      <w:szCs w:val="18"/>
                    </w:rPr>
                  </w:pPr>
                  <w:r>
                    <w:rPr>
                      <w:rFonts w:ascii="Arial" w:hAnsi="Arial" w:cs="Arial"/>
                      <w:b/>
                      <w:sz w:val="18"/>
                      <w:szCs w:val="18"/>
                    </w:rPr>
                    <w:t xml:space="preserve"> </w:t>
                  </w:r>
                  <w:r w:rsidRPr="0016048C">
                    <w:rPr>
                      <w:rFonts w:ascii="Arial" w:hAnsi="Arial" w:cs="Arial"/>
                      <w:b/>
                      <w:color w:val="262626" w:themeColor="text1" w:themeTint="D9"/>
                      <w:sz w:val="18"/>
                      <w:szCs w:val="18"/>
                    </w:rPr>
                    <w:t>Normalised Fit (kJ/mol)        Raw Heat Rate (µJ/s)</w:t>
                  </w:r>
                </w:p>
              </w:txbxContent>
            </v:textbox>
          </v:shape>
        </w:pict>
      </w:r>
      <w:r>
        <w:rPr>
          <w:bCs/>
          <w:noProof/>
          <w:lang w:eastAsia="en-GB"/>
        </w:rPr>
        <w:pict>
          <v:shape id="Text Box 60" o:spid="_x0000_s1030" type="#_x0000_t202" style="position:absolute;left:0;text-align:left;margin-left:47.85pt;margin-top:138.75pt;width:26.25pt;height:24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" strokecolor="white [3212]">
            <v:textbox>
              <w:txbxContent>
                <w:p w:rsidR="003A5686" w:rsidRDefault="003A5686" w:rsidP="00B55C59"/>
              </w:txbxContent>
            </v:textbox>
          </v:shape>
        </w:pict>
      </w:r>
      <w:r w:rsidR="00D51F10">
        <w:rPr>
          <w:noProof/>
          <w:lang w:eastAsia="en-GB"/>
        </w:rPr>
        <w:drawing>
          <wp:inline distT="0" distB="0" distL="0" distR="0" wp14:anchorId="7BE2C851" wp14:editId="462BCD20">
            <wp:extent cx="5205730" cy="3493237"/>
            <wp:effectExtent l="19050" t="0" r="0" b="0"/>
            <wp:docPr id="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0574FF" w:rsidRPr="003E3F8A" w:rsidRDefault="000574FF" w:rsidP="000574FF">
      <w:pPr>
        <w:pStyle w:val="Caption"/>
        <w:spacing w:line="480" w:lineRule="auto"/>
        <w:jc w:val="center"/>
      </w:pPr>
      <w:bookmarkStart w:id="97" w:name="_Ref442870962"/>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9</w:t>
      </w:r>
      <w:r w:rsidR="0075172E">
        <w:fldChar w:fldCharType="end"/>
      </w:r>
      <w:bookmarkEnd w:id="97"/>
      <w:r>
        <w:t xml:space="preserve">: Upper: </w:t>
      </w:r>
      <w:r w:rsidRPr="003E3F8A">
        <w:t>Thermogram for the interaction of 5 µM BSA with 1 mM</w:t>
      </w:r>
      <w:r>
        <w:t xml:space="preserve"> tannic acid at 10</w:t>
      </w:r>
      <w:r w:rsidR="006F2757">
        <w:t xml:space="preserve"> </w:t>
      </w:r>
      <w:r>
        <w:t xml:space="preserve">°C pH 4. Lower: </w:t>
      </w:r>
      <w:r w:rsidRPr="003E3F8A">
        <w:t xml:space="preserve"> ITC binding isotherm for the same interaction</w:t>
      </w:r>
      <w:r>
        <w:t xml:space="preserve"> (closed circles)</w:t>
      </w:r>
      <w:r w:rsidRPr="003E3F8A">
        <w:t xml:space="preserve">.  </w:t>
      </w:r>
      <w:r>
        <w:t>Sodium acetate into a solution of BSA (open circles) and tannic acid dilution into sodium acetate (open squares).</w:t>
      </w:r>
      <w:r w:rsidR="004E0F1C" w:rsidRPr="004E0F1C">
        <w:t xml:space="preserve"> </w:t>
      </w:r>
      <w:r w:rsidR="004E0F1C">
        <w:t>Solid line represents single site independent binding model fit.</w:t>
      </w:r>
    </w:p>
    <w:p w:rsidR="000574FF" w:rsidRDefault="000574FF" w:rsidP="000574FF">
      <w:pPr>
        <w:spacing w:line="480" w:lineRule="auto"/>
        <w:jc w:val="both"/>
        <w:rPr>
          <w:bCs/>
        </w:rPr>
      </w:pPr>
      <w:r>
        <w:rPr>
          <w:bCs/>
        </w:rPr>
        <w:t xml:space="preserve">The upward curvature at low molar ratios has in the past been interpreted as indication of cooperativity. </w:t>
      </w:r>
      <w:r w:rsidRPr="004B02DC">
        <w:rPr>
          <w:bCs/>
        </w:rPr>
        <w:t xml:space="preserve">The loss of the upward curvature could </w:t>
      </w:r>
      <w:r>
        <w:rPr>
          <w:bCs/>
        </w:rPr>
        <w:t>therefore be interpreted as a loss of positive cooperativity at</w:t>
      </w:r>
      <w:r w:rsidRPr="004B02DC">
        <w:rPr>
          <w:bCs/>
        </w:rPr>
        <w:t xml:space="preserve"> 10</w:t>
      </w:r>
      <w:r w:rsidR="006F2757">
        <w:rPr>
          <w:bCs/>
        </w:rPr>
        <w:t xml:space="preserve"> </w:t>
      </w:r>
      <w:r w:rsidRPr="004B02DC">
        <w:rPr>
          <w:bCs/>
        </w:rPr>
        <w:t>°C. There a</w:t>
      </w:r>
      <w:r>
        <w:rPr>
          <w:bCs/>
        </w:rPr>
        <w:t xml:space="preserve">re caveats to this argument for the interactions presented here which will be pointed out later in this chapter. </w:t>
      </w:r>
    </w:p>
    <w:p w:rsidR="00803307" w:rsidRDefault="00040F10" w:rsidP="00803307">
      <w:pPr>
        <w:keepNext/>
        <w:spacing w:line="480" w:lineRule="auto"/>
        <w:jc w:val="both"/>
      </w:pPr>
      <w:r>
        <w:rPr>
          <w:bCs/>
          <w:noProof/>
          <w:lang w:eastAsia="en-GB"/>
        </w:rPr>
        <w:lastRenderedPageBreak/>
        <w:pict>
          <v:shape id="_x0000_s1185" type="#_x0000_t202" style="position:absolute;left:0;text-align:left;margin-left:170.5pt;margin-top:261pt;width:87.05pt;height:17.7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291B0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Pr>
          <w:bCs/>
          <w:noProof/>
          <w:lang w:eastAsia="en-GB"/>
        </w:rPr>
        <w:pict>
          <v:shape id="Text Box 89" o:spid="_x0000_s1031" type="#_x0000_t202" style="position:absolute;left:0;text-align:left;margin-left:-11.05pt;margin-top:56.1pt;width:24.05pt;height:125.5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" strokecolor="white [3212]">
            <v:textbox style="layout-flow:vertical;mso-layout-flow-alt:bottom-to-top">
              <w:txbxContent>
                <w:p w:rsidR="003A5686" w:rsidRPr="0016048C" w:rsidRDefault="003A5686" w:rsidP="00A23F6C">
                  <w:pPr>
                    <w:rPr>
                      <w:rFonts w:ascii="Arial" w:hAnsi="Arial" w:cs="Arial"/>
                      <w:b/>
                      <w:color w:val="262626" w:themeColor="text1" w:themeTint="D9"/>
                      <w:sz w:val="18"/>
                      <w:szCs w:val="18"/>
                    </w:rPr>
                  </w:pPr>
                  <w:r>
                    <w:rPr>
                      <w:rFonts w:ascii="Arial" w:hAnsi="Arial" w:cs="Arial"/>
                      <w:b/>
                      <w:sz w:val="18"/>
                      <w:szCs w:val="18"/>
                    </w:rPr>
                    <w:t xml:space="preserve"> </w:t>
                  </w:r>
                  <w:r w:rsidRPr="0016048C">
                    <w:rPr>
                      <w:rFonts w:ascii="Arial" w:hAnsi="Arial" w:cs="Arial"/>
                      <w:b/>
                      <w:color w:val="262626" w:themeColor="text1" w:themeTint="D9"/>
                      <w:sz w:val="18"/>
                      <w:szCs w:val="18"/>
                    </w:rPr>
                    <w:t xml:space="preserve">Normalised Fit (kJ/mol)       </w:t>
                  </w:r>
                </w:p>
              </w:txbxContent>
            </v:textbox>
          </v:shape>
        </w:pict>
      </w:r>
      <w:r w:rsidR="00086DF4">
        <w:rPr>
          <w:bCs/>
          <w:noProof/>
          <w:lang w:eastAsia="en-GB"/>
        </w:rPr>
        <w:drawing>
          <wp:inline distT="0" distB="0" distL="0" distR="0" wp14:anchorId="19692EA7" wp14:editId="732F70F7">
            <wp:extent cx="5205730" cy="3493237"/>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086DF4" w:rsidRDefault="00803307" w:rsidP="00803307">
      <w:pPr>
        <w:pStyle w:val="Caption"/>
        <w:spacing w:line="480" w:lineRule="auto"/>
        <w:jc w:val="center"/>
        <w:rPr>
          <w:bCs w:val="0"/>
        </w:rPr>
      </w:pPr>
      <w:bookmarkStart w:id="98" w:name="_Ref456875224"/>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10</w:t>
      </w:r>
      <w:r w:rsidR="0075172E">
        <w:fldChar w:fldCharType="end"/>
      </w:r>
      <w:bookmarkEnd w:id="98"/>
      <w:r>
        <w:t>:  Binding isotherms for the interaction between 1 mM tannic acid and 5 µM BSA at 10 (open squares) and 25 °C (closed circles) alongside the  binding isotherm for the interaction between 1 mM tannic acid and 15 µM at 25 °C (closed triangles).</w:t>
      </w:r>
    </w:p>
    <w:p w:rsidR="00D22CD7" w:rsidRPr="00D22CD7" w:rsidRDefault="00481561" w:rsidP="00D22CD7">
      <w:pPr>
        <w:pStyle w:val="Heading3"/>
        <w:spacing w:line="480" w:lineRule="auto"/>
      </w:pPr>
      <w:bookmarkStart w:id="99" w:name="_Toc459130703"/>
      <w:r>
        <w:t>Tannic Acid Interactions with P</w:t>
      </w:r>
      <w:r w:rsidR="00D22CD7">
        <w:t>olyproline</w:t>
      </w:r>
      <w:bookmarkEnd w:id="99"/>
    </w:p>
    <w:p w:rsidR="00800BC5" w:rsidRDefault="000574FF" w:rsidP="000574FF">
      <w:pPr>
        <w:spacing w:line="480" w:lineRule="auto"/>
        <w:jc w:val="both"/>
        <w:rPr>
          <w:bCs/>
        </w:rPr>
      </w:pPr>
      <w:r>
        <w:rPr>
          <w:bCs/>
        </w:rPr>
        <w:t>Polyproline has been used as a model binding partner for many polyphenolics due to its simple secondary structure.</w:t>
      </w:r>
      <w:hyperlink w:anchor="_ENREF_219" w:tooltip="McRae, 2015 #558" w:history="1">
        <w:r w:rsidR="00512D09">
          <w:rPr>
            <w:bCs/>
          </w:rPr>
          <w:fldChar w:fldCharType="begin"/>
        </w:r>
        <w:r w:rsidR="00512D09">
          <w:rPr>
            <w:bCs/>
          </w:rPr>
          <w:instrText xml:space="preserve"> ADDIN EN.CITE &lt;EndNote&gt;&lt;Cite&gt;&lt;Author&gt;McRae&lt;/Author&gt;&lt;Year&gt;2015&lt;/Year&gt;&lt;RecNum&gt;558&lt;/RecNum&gt;&lt;DisplayText&gt;&lt;style face="superscript"&gt;219&lt;/style&gt;&lt;/DisplayText&gt;&lt;record&gt;&lt;rec-number&gt;558&lt;/rec-number&gt;&lt;foreign-keys&gt;&lt;key app="EN" db-id="5trrespwzsdr07efd5tx2w96x22re9s0fsdt"&gt;558&lt;/key&gt;&lt;/foreign-keys&gt;&lt;ref-type name="Journal Article"&gt;17&lt;/ref-type&gt;&lt;contributors&gt;&lt;authors&gt;&lt;author&gt;McRae, Jacqui M.&lt;/author&gt;&lt;author&gt;Ziora, Zyta M.&lt;/author&gt;&lt;author&gt;Kassara, Stella&lt;/author&gt;&lt;author&gt;Cooper, Matthew A.&lt;/author&gt;&lt;author&gt;Smith, Paul A.&lt;/author&gt;&lt;/authors&gt;&lt;/contributors&gt;&lt;titles&gt;&lt;title&gt;Ethanol Concentration Influences the Mechanisms of Wine Tannin Interactions with Poly(l-proline) in Model Wine&lt;/title&gt;&lt;secondary-title&gt;Journal of Agricultural and Food Chemistry&lt;/secondary-title&gt;&lt;/titles&gt;&lt;periodical&gt;&lt;full-title&gt;Journal of Agricultural and Food Chemistry&lt;/full-title&gt;&lt;/periodical&gt;&lt;pages&gt;4345-4352&lt;/pages&gt;&lt;volume&gt;63&lt;/volume&gt;&lt;number&gt;17&lt;/number&gt;&lt;dates&gt;&lt;year&gt;2015&lt;/year&gt;&lt;pub-dates&gt;&lt;date&gt;2015/05/06&lt;/date&gt;&lt;/pub-dates&gt;&lt;/dates&gt;&lt;publisher&gt;American Chemical Society&lt;/publisher&gt;&lt;isbn&gt;0021-8561&lt;/isbn&gt;&lt;urls&gt;&lt;related-urls&gt;&lt;url&gt;http://dx.doi.org/10.1021/acs.jafc.5b00758&lt;/url&gt;&lt;/related-urls&gt;&lt;/urls&gt;&lt;electronic-resource-num&gt;10.1021/acs.jafc.5b00758&lt;/electronic-resource-num&gt;&lt;/record&gt;&lt;/Cite&gt;&lt;/EndNote&gt;</w:instrText>
        </w:r>
        <w:r w:rsidR="00512D09">
          <w:rPr>
            <w:bCs/>
          </w:rPr>
          <w:fldChar w:fldCharType="separate"/>
        </w:r>
        <w:r w:rsidR="00512D09" w:rsidRPr="006421D1">
          <w:rPr>
            <w:bCs/>
            <w:noProof/>
            <w:vertAlign w:val="superscript"/>
          </w:rPr>
          <w:t>219</w:t>
        </w:r>
        <w:r w:rsidR="00512D09">
          <w:rPr>
            <w:bCs/>
          </w:rPr>
          <w:fldChar w:fldCharType="end"/>
        </w:r>
      </w:hyperlink>
      <w:r>
        <w:rPr>
          <w:bCs/>
        </w:rPr>
        <w:t xml:space="preserve"> ITC has been used to measure the thermodynamics between mixed condensed tannin systems found in wine and polyproline to gain a better understanding of astringency and how it changes over time.</w:t>
      </w:r>
      <w:hyperlink w:anchor="_ENREF_220" w:tooltip="McRae, 2010 #408" w:history="1">
        <w:r w:rsidR="00512D09">
          <w:rPr>
            <w:bCs/>
          </w:rPr>
          <w:fldChar w:fldCharType="begin"/>
        </w:r>
        <w:r w:rsidR="00512D09">
          <w:rPr>
            <w:bCs/>
          </w:rPr>
          <w:instrText xml:space="preserve"> ADDIN EN.CITE &lt;EndNote&gt;&lt;Cite&gt;&lt;Author&gt;McRae&lt;/Author&gt;&lt;Year&gt;2010&lt;/Year&gt;&lt;RecNum&gt;408&lt;/RecNum&gt;&lt;DisplayText&gt;&lt;style face="superscript"&gt;220&lt;/style&gt;&lt;/DisplayText&gt;&lt;record&gt;&lt;rec-number&gt;408&lt;/rec-number&gt;&lt;foreign-keys&gt;&lt;key app="EN" db-id="5trrespwzsdr07efd5tx2w96x22re9s0fsdt"&gt;408&lt;/key&gt;&lt;/foreign-keys&gt;&lt;ref-type name="Journal Article"&gt;17&lt;/ref-type&gt;&lt;contributors&gt;&lt;authors&gt;&lt;author&gt;McRae, Jacqui M.&lt;/author&gt;&lt;author&gt;Falconer, Robert J.&lt;/author&gt;&lt;author&gt;Kennedy, James A.&lt;/author&gt;&lt;/authors&gt;&lt;/contributors&gt;&lt;titles&gt;&lt;title&gt;Thermodynamics of Grape and Wine Tannin Interaction with Polyproline: Implications for Red Wine Astringency&lt;/title&gt;&lt;secondary-title&gt;Journal of Agricultural and Food Chemistry&lt;/secondary-title&gt;&lt;/titles&gt;&lt;periodical&gt;&lt;full-title&gt;Journal of Agricultural and Food Chemistry&lt;/full-title&gt;&lt;/periodical&gt;&lt;pages&gt;12510-12518&lt;/pages&gt;&lt;volume&gt;58&lt;/volume&gt;&lt;number&gt;23&lt;/number&gt;&lt;dates&gt;&lt;year&gt;2010&lt;/year&gt;&lt;pub-dates&gt;&lt;date&gt;2010/12/08&lt;/date&gt;&lt;/pub-dates&gt;&lt;/dates&gt;&lt;publisher&gt;American Chemical Society&lt;/publisher&gt;&lt;isbn&gt;0021-8561&lt;/isbn&gt;&lt;urls&gt;&lt;related-urls&gt;&lt;url&gt;http://dx.doi.org/10.1021/jf1030967&lt;/url&gt;&lt;/related-urls&gt;&lt;/urls&gt;&lt;electronic-resource-num&gt;10.1021/jf1030967&lt;/electronic-resource-num&gt;&lt;access-date&gt;2014/09/22&lt;/access-date&gt;&lt;/record&gt;&lt;/Cite&gt;&lt;/EndNote&gt;</w:instrText>
        </w:r>
        <w:r w:rsidR="00512D09">
          <w:rPr>
            <w:bCs/>
          </w:rPr>
          <w:fldChar w:fldCharType="separate"/>
        </w:r>
        <w:r w:rsidR="00512D09" w:rsidRPr="006421D1">
          <w:rPr>
            <w:bCs/>
            <w:noProof/>
            <w:vertAlign w:val="superscript"/>
          </w:rPr>
          <w:t>220</w:t>
        </w:r>
        <w:r w:rsidR="00512D09">
          <w:rPr>
            <w:bCs/>
          </w:rPr>
          <w:fldChar w:fldCharType="end"/>
        </w:r>
      </w:hyperlink>
      <w:r>
        <w:rPr>
          <w:bCs/>
        </w:rPr>
        <w:t xml:space="preserve"> </w:t>
      </w:r>
      <w:r w:rsidR="002A14E9">
        <w:rPr>
          <w:bCs/>
        </w:rPr>
        <w:t>Similar to the BSA and tannic acid dilution, t</w:t>
      </w:r>
      <w:r w:rsidR="002A14E9" w:rsidRPr="00536BC2">
        <w:rPr>
          <w:bCs/>
        </w:rPr>
        <w:t>itration of buffer into</w:t>
      </w:r>
      <w:r w:rsidR="002A14E9">
        <w:rPr>
          <w:bCs/>
        </w:rPr>
        <w:t xml:space="preserve"> polyproline</w:t>
      </w:r>
      <w:r w:rsidR="002A14E9" w:rsidRPr="00536BC2">
        <w:rPr>
          <w:bCs/>
        </w:rPr>
        <w:t xml:space="preserve"> and tannic acid into buffer showed a </w:t>
      </w:r>
      <w:r w:rsidR="002A14E9">
        <w:rPr>
          <w:bCs/>
        </w:rPr>
        <w:t>minor</w:t>
      </w:r>
      <w:r w:rsidR="002A14E9" w:rsidRPr="00536BC2">
        <w:rPr>
          <w:bCs/>
        </w:rPr>
        <w:t xml:space="preserve"> </w:t>
      </w:r>
      <w:r w:rsidR="002A14E9" w:rsidRPr="001D171F">
        <w:rPr>
          <w:rFonts w:eastAsiaTheme="minorEastAsia"/>
        </w:rPr>
        <w:t>Δ</w:t>
      </w:r>
      <w:r w:rsidR="002A14E9">
        <w:rPr>
          <w:rFonts w:eastAsiaTheme="minorEastAsia"/>
          <w:i/>
        </w:rPr>
        <w:t>H</w:t>
      </w:r>
      <w:r w:rsidR="002A14E9" w:rsidRPr="00536BC2">
        <w:rPr>
          <w:bCs/>
        </w:rPr>
        <w:t xml:space="preserve">. </w:t>
      </w:r>
      <w:r w:rsidR="00DF4ABC">
        <w:rPr>
          <w:bCs/>
        </w:rPr>
        <w:t>The binding isotherms obtained from the titration of tannic acid into polyproline are sigmoidial and do not show two stages within the 10 to 40 °C temperature range (Figure 3.</w:t>
      </w:r>
      <w:r w:rsidR="00F90E22">
        <w:rPr>
          <w:bCs/>
        </w:rPr>
        <w:t>11 to Figure 3.14</w:t>
      </w:r>
      <w:r w:rsidR="00DF4ABC">
        <w:rPr>
          <w:bCs/>
        </w:rPr>
        <w:t xml:space="preserve">). </w:t>
      </w:r>
      <w:r w:rsidR="00DB2326">
        <w:rPr>
          <w:bCs/>
        </w:rPr>
        <w:t>Sigmoidal binding isotherms are usually fitted to single site binding model, as it clearly does not show two site binding, dimerisation or cooperativity.</w:t>
      </w:r>
      <w:r>
        <w:rPr>
          <w:bCs/>
        </w:rPr>
        <w:t xml:space="preserve"> </w:t>
      </w:r>
      <w:r w:rsidR="00A67D7D">
        <w:rPr>
          <w:bCs/>
        </w:rPr>
        <w:t>However, the ch</w:t>
      </w:r>
      <w:r w:rsidR="00EC1DA6">
        <w:rPr>
          <w:bCs/>
        </w:rPr>
        <w:t xml:space="preserve">i-squared values for </w:t>
      </w:r>
      <w:r w:rsidR="00094AF9">
        <w:rPr>
          <w:bCs/>
        </w:rPr>
        <w:t>goodness of fit is poor</w:t>
      </w:r>
      <w:r w:rsidR="00EC1DA6">
        <w:rPr>
          <w:bCs/>
        </w:rPr>
        <w:t xml:space="preserve">, </w:t>
      </w:r>
      <w:r w:rsidR="0058642B">
        <w:rPr>
          <w:bCs/>
        </w:rPr>
        <w:t xml:space="preserve">with </w:t>
      </w:r>
      <w:r w:rsidR="00EC1DA6">
        <w:rPr>
          <w:bCs/>
        </w:rPr>
        <w:t>χ</w:t>
      </w:r>
      <w:r w:rsidR="00EC1DA6">
        <w:rPr>
          <w:bCs/>
          <w:vertAlign w:val="superscript"/>
        </w:rPr>
        <w:t>2</w:t>
      </w:r>
      <w:r w:rsidR="00EC1DA6">
        <w:rPr>
          <w:bCs/>
        </w:rPr>
        <w:t xml:space="preserve"> (</w:t>
      </w:r>
      <w:r w:rsidR="0058642B">
        <w:rPr>
          <w:bCs/>
        </w:rPr>
        <w:t>(</w:t>
      </w:r>
      <w:r w:rsidR="00EC1DA6">
        <w:rPr>
          <w:bCs/>
        </w:rPr>
        <w:t>15</w:t>
      </w:r>
      <w:r w:rsidR="0058642B">
        <w:rPr>
          <w:bCs/>
        </w:rPr>
        <w:t>)</w:t>
      </w:r>
      <w:r w:rsidR="00EC1DA6">
        <w:rPr>
          <w:bCs/>
        </w:rPr>
        <w:t xml:space="preserve"> = 51, </w:t>
      </w:r>
      <w:r w:rsidR="00EC1DA6" w:rsidRPr="00EC1DA6">
        <w:rPr>
          <w:bCs/>
          <w:i/>
        </w:rPr>
        <w:t>p</w:t>
      </w:r>
      <w:r w:rsidR="00EC1DA6">
        <w:rPr>
          <w:bCs/>
          <w:i/>
        </w:rPr>
        <w:t xml:space="preserve"> </w:t>
      </w:r>
      <w:r w:rsidR="00EC1DA6">
        <w:rPr>
          <w:rFonts w:ascii="Arial" w:hAnsi="Arial" w:cs="Arial"/>
          <w:color w:val="222222"/>
          <w:shd w:val="clear" w:color="auto" w:fill="FFFFFF"/>
        </w:rPr>
        <w:t>&lt;</w:t>
      </w:r>
      <w:r w:rsidR="00EC1DA6" w:rsidRPr="0058642B">
        <w:rPr>
          <w:rFonts w:cs="Arial"/>
          <w:color w:val="222222"/>
          <w:shd w:val="clear" w:color="auto" w:fill="FFFFFF"/>
        </w:rPr>
        <w:t>0.5</w:t>
      </w:r>
      <w:r w:rsidR="00A67D7D">
        <w:rPr>
          <w:bCs/>
        </w:rPr>
        <w:t>.</w:t>
      </w:r>
      <w:r w:rsidR="0058642B">
        <w:rPr>
          <w:bCs/>
        </w:rPr>
        <w:t xml:space="preserve">) and </w:t>
      </w:r>
      <w:r w:rsidR="00A67D7D">
        <w:rPr>
          <w:bCs/>
        </w:rPr>
        <w:t xml:space="preserve"> </w:t>
      </w:r>
      <w:r w:rsidR="0058642B">
        <w:rPr>
          <w:bCs/>
        </w:rPr>
        <w:t>χ</w:t>
      </w:r>
      <w:r w:rsidR="0058642B">
        <w:rPr>
          <w:bCs/>
          <w:vertAlign w:val="superscript"/>
        </w:rPr>
        <w:t>2</w:t>
      </w:r>
      <w:r w:rsidR="0058642B">
        <w:rPr>
          <w:bCs/>
        </w:rPr>
        <w:t xml:space="preserve"> ((21) = 27, </w:t>
      </w:r>
      <w:r w:rsidR="0058642B" w:rsidRPr="00EC1DA6">
        <w:rPr>
          <w:bCs/>
          <w:i/>
        </w:rPr>
        <w:t>p</w:t>
      </w:r>
      <w:r w:rsidR="0058642B">
        <w:rPr>
          <w:bCs/>
          <w:i/>
        </w:rPr>
        <w:t xml:space="preserve"> </w:t>
      </w:r>
      <w:r w:rsidR="0058642B">
        <w:rPr>
          <w:rFonts w:ascii="Arial" w:hAnsi="Arial" w:cs="Arial"/>
          <w:color w:val="222222"/>
          <w:shd w:val="clear" w:color="auto" w:fill="FFFFFF"/>
        </w:rPr>
        <w:t>&lt;</w:t>
      </w:r>
      <w:r w:rsidR="0058642B" w:rsidRPr="0058642B">
        <w:rPr>
          <w:rFonts w:cs="Arial"/>
          <w:color w:val="222222"/>
          <w:shd w:val="clear" w:color="auto" w:fill="FFFFFF"/>
        </w:rPr>
        <w:t>0.5</w:t>
      </w:r>
      <w:r w:rsidR="0058642B">
        <w:rPr>
          <w:bCs/>
        </w:rPr>
        <w:t xml:space="preserve">.) for the models applied for the interactions at 25 and 40 °C </w:t>
      </w:r>
      <w:r w:rsidR="0058642B">
        <w:rPr>
          <w:bCs/>
        </w:rPr>
        <w:lastRenderedPageBreak/>
        <w:t xml:space="preserve">respectively. </w:t>
      </w:r>
      <w:r w:rsidR="00BB23C7">
        <w:rPr>
          <w:bCs/>
        </w:rPr>
        <w:t xml:space="preserve">However, the model used to fit the data at 10°C was good, with </w:t>
      </w:r>
      <w:r w:rsidR="0058642B">
        <w:rPr>
          <w:bCs/>
        </w:rPr>
        <w:t>χ</w:t>
      </w:r>
      <w:r w:rsidR="0058642B">
        <w:rPr>
          <w:bCs/>
          <w:vertAlign w:val="superscript"/>
        </w:rPr>
        <w:t>2</w:t>
      </w:r>
      <w:r w:rsidR="0058642B">
        <w:rPr>
          <w:bCs/>
        </w:rPr>
        <w:t xml:space="preserve"> ((21) = 7.3, </w:t>
      </w:r>
      <w:r w:rsidR="0058642B" w:rsidRPr="00EC1DA6">
        <w:rPr>
          <w:bCs/>
          <w:i/>
        </w:rPr>
        <w:t>p</w:t>
      </w:r>
      <w:r w:rsidR="0058642B">
        <w:rPr>
          <w:bCs/>
          <w:i/>
        </w:rPr>
        <w:t xml:space="preserve"> </w:t>
      </w:r>
      <w:r w:rsidR="0058642B">
        <w:rPr>
          <w:rFonts w:ascii="Arial" w:hAnsi="Arial" w:cs="Arial"/>
          <w:color w:val="222222"/>
          <w:shd w:val="clear" w:color="auto" w:fill="FFFFFF"/>
        </w:rPr>
        <w:t>&lt;</w:t>
      </w:r>
      <w:r w:rsidR="0058642B" w:rsidRPr="0058642B">
        <w:rPr>
          <w:rFonts w:cs="Arial"/>
          <w:color w:val="222222"/>
          <w:shd w:val="clear" w:color="auto" w:fill="FFFFFF"/>
        </w:rPr>
        <w:t>0.5</w:t>
      </w:r>
      <w:r w:rsidR="0058642B">
        <w:rPr>
          <w:bCs/>
        </w:rPr>
        <w:t xml:space="preserve">.) </w:t>
      </w:r>
      <w:r w:rsidR="00BB23C7">
        <w:rPr>
          <w:bCs/>
        </w:rPr>
        <w:t xml:space="preserve"> </w:t>
      </w:r>
      <w:r w:rsidR="00A67D7D">
        <w:rPr>
          <w:bCs/>
        </w:rPr>
        <w:t xml:space="preserve">Similar to </w:t>
      </w:r>
      <w:r>
        <w:rPr>
          <w:bCs/>
        </w:rPr>
        <w:t>the binding isotherms presented earlier, the interaction does not reach 0</w:t>
      </w:r>
      <w:r w:rsidR="00DF4ABC">
        <w:rPr>
          <w:bCs/>
        </w:rPr>
        <w:t xml:space="preserve"> µJ at 25 or 40 °C</w:t>
      </w:r>
      <w:r w:rsidR="00094AF9">
        <w:rPr>
          <w:bCs/>
        </w:rPr>
        <w:t xml:space="preserve">, possibly due to continual tannin binding to the polyproline </w:t>
      </w:r>
      <w:r w:rsidR="00DF4ABC">
        <w:rPr>
          <w:bCs/>
        </w:rPr>
        <w:t>(</w:t>
      </w:r>
      <w:r w:rsidR="0075172E">
        <w:rPr>
          <w:bCs/>
        </w:rPr>
        <w:fldChar w:fldCharType="begin"/>
      </w:r>
      <w:r w:rsidR="0037064F">
        <w:rPr>
          <w:bCs/>
        </w:rPr>
        <w:instrText xml:space="preserve"> REF _Ref443581533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12</w:t>
      </w:r>
      <w:r w:rsidR="0075172E">
        <w:rPr>
          <w:bCs/>
        </w:rPr>
        <w:fldChar w:fldCharType="end"/>
      </w:r>
      <w:r w:rsidR="0037064F">
        <w:rPr>
          <w:bCs/>
        </w:rPr>
        <w:t xml:space="preserve"> and </w:t>
      </w:r>
      <w:r w:rsidR="0075172E">
        <w:rPr>
          <w:bCs/>
        </w:rPr>
        <w:fldChar w:fldCharType="begin"/>
      </w:r>
      <w:r w:rsidR="0037064F">
        <w:rPr>
          <w:bCs/>
        </w:rPr>
        <w:instrText xml:space="preserve"> REF _Ref443581534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13</w:t>
      </w:r>
      <w:r w:rsidR="0075172E">
        <w:rPr>
          <w:bCs/>
        </w:rPr>
        <w:fldChar w:fldCharType="end"/>
      </w:r>
      <w:r w:rsidR="0037064F">
        <w:rPr>
          <w:bCs/>
        </w:rPr>
        <w:t>)</w:t>
      </w:r>
      <w:r>
        <w:rPr>
          <w:bCs/>
        </w:rPr>
        <w:t xml:space="preserve">. </w:t>
      </w:r>
      <w:r w:rsidR="00BB23C7">
        <w:rPr>
          <w:bCs/>
        </w:rPr>
        <w:t xml:space="preserve">The model cannot fit these data points and explains the poor </w:t>
      </w:r>
      <w:r w:rsidR="0058642B">
        <w:rPr>
          <w:bCs/>
        </w:rPr>
        <w:t>χ</w:t>
      </w:r>
      <w:r w:rsidR="0058642B">
        <w:rPr>
          <w:bCs/>
          <w:vertAlign w:val="superscript"/>
        </w:rPr>
        <w:t>2</w:t>
      </w:r>
      <w:r w:rsidR="0058642B">
        <w:rPr>
          <w:bCs/>
        </w:rPr>
        <w:t xml:space="preserve"> </w:t>
      </w:r>
      <w:r w:rsidR="00BB23C7">
        <w:rPr>
          <w:bCs/>
        </w:rPr>
        <w:t xml:space="preserve">values. </w:t>
      </w:r>
      <w:r>
        <w:rPr>
          <w:bCs/>
        </w:rPr>
        <w:t xml:space="preserve">The interaction presented here is favoured enthalpically with a favourable entropic contribution. Both favourable </w:t>
      </w:r>
      <w:r w:rsidR="001D171F">
        <w:rPr>
          <w:bCs/>
        </w:rPr>
        <w:t>T</w:t>
      </w:r>
      <w:r w:rsidR="001D171F" w:rsidRPr="001D171F">
        <w:rPr>
          <w:rFonts w:eastAsiaTheme="minorEastAsia"/>
        </w:rPr>
        <w:t>Δ</w:t>
      </w:r>
      <w:r w:rsidR="001D171F">
        <w:rPr>
          <w:rFonts w:eastAsiaTheme="minorEastAsia"/>
          <w:i/>
        </w:rPr>
        <w:t>S</w:t>
      </w:r>
      <w:r w:rsidR="001D171F">
        <w:rPr>
          <w:bCs/>
        </w:rPr>
        <w:t xml:space="preserve"> </w:t>
      </w:r>
      <w:r>
        <w:rPr>
          <w:bCs/>
        </w:rPr>
        <w:t xml:space="preserve">and </w:t>
      </w:r>
      <w:r w:rsidR="001D171F" w:rsidRPr="001D171F">
        <w:rPr>
          <w:rFonts w:eastAsiaTheme="minorEastAsia"/>
        </w:rPr>
        <w:t>Δ</w:t>
      </w:r>
      <w:r w:rsidR="001D171F">
        <w:rPr>
          <w:rFonts w:eastAsiaTheme="minorEastAsia"/>
          <w:i/>
        </w:rPr>
        <w:t>H</w:t>
      </w:r>
      <w:r w:rsidR="001D171F">
        <w:rPr>
          <w:bCs/>
        </w:rPr>
        <w:t xml:space="preserve"> </w:t>
      </w:r>
      <w:r>
        <w:rPr>
          <w:bCs/>
        </w:rPr>
        <w:t>of binding were also reported for mixed condensed tannins-polyproline interactions using ITC.</w:t>
      </w:r>
      <w:r w:rsidR="0075172E">
        <w:rPr>
          <w:bCs/>
        </w:rPr>
        <w:fldChar w:fldCharType="begin">
          <w:fldData xml:space="preserve">PEVuZE5vdGU+PENpdGU+PEF1dGhvcj5NY1JhZTwvQXV0aG9yPjxZZWFyPjIwMTU8L1llYXI+PFJl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</w:fldData>
        </w:fldChar>
      </w:r>
      <w:r w:rsidR="006421D1">
        <w:rPr>
          <w:bCs/>
        </w:rPr>
        <w:instrText xml:space="preserve"> ADDIN EN.CITE </w:instrText>
      </w:r>
      <w:r w:rsidR="0075172E">
        <w:rPr>
          <w:bCs/>
        </w:rPr>
        <w:fldChar w:fldCharType="begin">
          <w:fldData xml:space="preserve">PEVuZE5vdGU+PENpdGU+PEF1dGhvcj5NY1JhZTwvQXV0aG9yPjxZZWFyPjIwMTU8L1llYXI+PFJl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</w:fldData>
        </w:fldChar>
      </w:r>
      <w:r w:rsidR="006421D1">
        <w:rPr>
          <w:bCs/>
        </w:rPr>
        <w:instrText xml:space="preserve"> ADDIN EN.CITE.DATA </w:instrText>
      </w:r>
      <w:r w:rsidR="0075172E">
        <w:rPr>
          <w:bCs/>
        </w:rPr>
      </w:r>
      <w:r w:rsidR="0075172E">
        <w:rPr>
          <w:bCs/>
        </w:rPr>
        <w:fldChar w:fldCharType="end"/>
      </w:r>
      <w:r w:rsidR="0075172E">
        <w:rPr>
          <w:bCs/>
        </w:rPr>
      </w:r>
      <w:r w:rsidR="0075172E">
        <w:rPr>
          <w:bCs/>
        </w:rPr>
        <w:fldChar w:fldCharType="separate"/>
      </w:r>
      <w:hyperlink w:anchor="_ENREF_219" w:tooltip="McRae, 2015 #558" w:history="1">
        <w:r w:rsidR="00512D09" w:rsidRPr="006421D1">
          <w:rPr>
            <w:bCs/>
            <w:noProof/>
            <w:vertAlign w:val="superscript"/>
          </w:rPr>
          <w:t>219</w:t>
        </w:r>
      </w:hyperlink>
      <w:r w:rsidR="006421D1" w:rsidRPr="006421D1">
        <w:rPr>
          <w:bCs/>
          <w:noProof/>
          <w:vertAlign w:val="superscript"/>
        </w:rPr>
        <w:t>,</w:t>
      </w:r>
      <w:hyperlink w:anchor="_ENREF_220" w:tooltip="McRae, 2010 #408" w:history="1">
        <w:r w:rsidR="00512D09" w:rsidRPr="006421D1">
          <w:rPr>
            <w:bCs/>
            <w:noProof/>
            <w:vertAlign w:val="superscript"/>
          </w:rPr>
          <w:t>220</w:t>
        </w:r>
      </w:hyperlink>
      <w:r w:rsidR="0075172E">
        <w:rPr>
          <w:bCs/>
        </w:rPr>
        <w:fldChar w:fldCharType="end"/>
      </w:r>
    </w:p>
    <w:p w:rsidR="000574FF" w:rsidRDefault="00040F10" w:rsidP="00C91C6C">
      <w:pPr>
        <w:keepNext/>
        <w:spacing w:line="480" w:lineRule="auto"/>
        <w:jc w:val="center"/>
      </w:pPr>
      <w:r>
        <w:rPr>
          <w:noProof/>
          <w:lang w:eastAsia="en-GB"/>
        </w:rPr>
        <w:pict>
          <v:shape id="_x0000_s1191" type="#_x0000_t202" style="position:absolute;left:0;text-align:left;margin-left:170.5pt;margin-top:.3pt;width:87.05pt;height:17.7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291B0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noProof/>
          <w:lang w:eastAsia="en-GB"/>
        </w:rPr>
        <w:pict>
          <v:shape id="_x0000_s1184" type="#_x0000_t202" style="position:absolute;left:0;text-align:left;margin-left:176pt;margin-top:261pt;width:87.05pt;height:17.7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291B0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Pr>
          <w:noProof/>
          <w:lang w:eastAsia="en-GB"/>
        </w:rPr>
        <w:pict>
          <v:shape id="_x0000_s1174" type="#_x0000_t202" style="position:absolute;left:0;text-align:left;margin-left:-.8pt;margin-top:18pt;width:24.05pt;height:232.45pt;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" strokecolor="white [3212]">
            <v:textbox style="layout-flow:vertical;mso-layout-flow-alt:bottom-to-top;mso-next-textbox:#_x0000_s1174">
              <w:txbxContent>
                <w:p w:rsidR="003A5686" w:rsidRPr="0016048C" w:rsidRDefault="003A5686" w:rsidP="00F8280C">
                  <w:pPr>
                    <w:rPr>
                      <w:rFonts w:ascii="Arial" w:hAnsi="Arial" w:cs="Arial"/>
                      <w:b/>
                      <w:color w:val="262626" w:themeColor="text1" w:themeTint="D9"/>
                      <w:sz w:val="18"/>
                      <w:szCs w:val="18"/>
                    </w:rPr>
                  </w:pPr>
                  <w:r>
                    <w:rPr>
                      <w:rFonts w:ascii="Arial" w:hAnsi="Arial" w:cs="Arial"/>
                      <w:b/>
                      <w:sz w:val="18"/>
                      <w:szCs w:val="18"/>
                    </w:rPr>
                    <w:t xml:space="preserve"> </w:t>
                  </w:r>
                  <w:r w:rsidRPr="0016048C">
                    <w:rPr>
                      <w:rFonts w:ascii="Arial" w:hAnsi="Arial" w:cs="Arial"/>
                      <w:b/>
                      <w:color w:val="262626" w:themeColor="text1" w:themeTint="D9"/>
                      <w:sz w:val="18"/>
                      <w:szCs w:val="18"/>
                    </w:rPr>
                    <w:t>Normalised Fit (kJ/mol)        Raw Heat Rate (µJ/s)</w:t>
                  </w:r>
                </w:p>
              </w:txbxContent>
            </v:textbox>
          </v:shape>
        </w:pict>
      </w:r>
      <w:r w:rsidR="00D53F00">
        <w:rPr>
          <w:noProof/>
          <w:lang w:eastAsia="en-GB"/>
        </w:rPr>
        <w:drawing>
          <wp:inline distT="0" distB="0" distL="0" distR="0" wp14:anchorId="7E0DABB0" wp14:editId="6D8077CB">
            <wp:extent cx="5151755" cy="3419475"/>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print"/>
                    <a:srcRect r="4607"/>
                    <a:stretch>
                      <a:fillRect/>
                    </a:stretch>
                  </pic:blipFill>
                  <pic:spPr bwMode="auto">
                    <a:xfrm>
                      <a:off x="0" y="0"/>
                      <a:ext cx="5151755" cy="3419475"/>
                    </a:xfrm>
                    <a:prstGeom prst="rect">
                      <a:avLst/>
                    </a:prstGeom>
                    <a:noFill/>
                    <a:ln w="9525">
                      <a:noFill/>
                      <a:miter lim="800000"/>
                      <a:headEnd/>
                      <a:tailEnd/>
                    </a:ln>
                  </pic:spPr>
                </pic:pic>
              </a:graphicData>
            </a:graphic>
          </wp:inline>
        </w:drawing>
      </w:r>
    </w:p>
    <w:p w:rsidR="000574FF" w:rsidRDefault="000574FF" w:rsidP="00010095">
      <w:pPr>
        <w:pStyle w:val="Caption"/>
        <w:spacing w:line="480" w:lineRule="auto"/>
        <w:jc w:val="center"/>
        <w:rPr>
          <w:b w:val="0"/>
          <w:bCs w:val="0"/>
        </w:rPr>
      </w:pPr>
      <w:bookmarkStart w:id="100" w:name="_Ref443581531"/>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11</w:t>
      </w:r>
      <w:r w:rsidR="0075172E">
        <w:fldChar w:fldCharType="end"/>
      </w:r>
      <w:bookmarkEnd w:id="100"/>
      <w:r w:rsidR="00D22CD7">
        <w:t xml:space="preserve"> </w:t>
      </w:r>
      <w:r>
        <w:t xml:space="preserve">Upper: </w:t>
      </w:r>
      <w:r w:rsidRPr="00B8359D">
        <w:t xml:space="preserve">Thermogram for the interaction of </w:t>
      </w:r>
      <w:r>
        <w:t>0.05 mM polyproline</w:t>
      </w:r>
      <w:r w:rsidRPr="00B8359D">
        <w:t xml:space="preserve"> with </w:t>
      </w:r>
      <w:r>
        <w:t>3.37 µ</w:t>
      </w:r>
      <w:r w:rsidRPr="00B8359D">
        <w:t>M</w:t>
      </w:r>
      <w:r>
        <w:t xml:space="preserve"> tannic acid at 10°C. Lower: ITC binding isotherm for the same interaction (closed circles). Sodium acetate into a solution of polyproline (open circles) and tannic acid dilution into sodium acetate (open squares).</w:t>
      </w:r>
      <w:r w:rsidRPr="00C70DEE">
        <w:t xml:space="preserve"> </w:t>
      </w:r>
      <w:r>
        <w:t>Solid line represents single site independent binding model fit.</w:t>
      </w:r>
      <w:r w:rsidR="0068654A" w:rsidRPr="0068654A">
        <w:rPr>
          <w:b w:val="0"/>
          <w:bCs w:val="0"/>
        </w:rPr>
        <w:t xml:space="preserve"> </w:t>
      </w:r>
    </w:p>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Pr="00186340" w:rsidRDefault="00040F10" w:rsidP="00186340">
      <w:r>
        <w:rPr>
          <w:noProof/>
          <w:lang w:eastAsia="en-GB"/>
        </w:rPr>
        <w:pict>
          <v:shape id="_x0000_s1193" type="#_x0000_t202" style="position:absolute;margin-left:176pt;margin-top:22.9pt;width:87.05pt;height:17.65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291B0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p>
    <w:p w:rsidR="000574FF" w:rsidRDefault="00040F10" w:rsidP="00C91C6C">
      <w:pPr>
        <w:keepNext/>
        <w:spacing w:line="480" w:lineRule="auto"/>
        <w:jc w:val="center"/>
      </w:pPr>
      <w:r>
        <w:rPr>
          <w:noProof/>
          <w:lang w:eastAsia="en-GB"/>
        </w:rPr>
        <w:pict>
          <v:shape id="_x0000_s1192" type="#_x0000_t202" style="position:absolute;left:0;text-align:left;margin-left:181.5pt;margin-top:265.1pt;width:87.05pt;height:27.1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291B0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Pr>
          <w:noProof/>
          <w:lang w:eastAsia="en-GB"/>
        </w:rPr>
        <w:pict>
          <v:shape id="_x0000_s1175" type="#_x0000_t202" style="position:absolute;left:0;text-align:left;margin-left:0;margin-top:27.35pt;width:24.05pt;height:22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" strokecolor="white [3212]">
            <v:textbox style="layout-flow:vertical;mso-layout-flow-alt:bottom-to-top;mso-next-textbox:#_x0000_s1175">
              <w:txbxContent>
                <w:p w:rsidR="003A5686" w:rsidRPr="0016048C" w:rsidRDefault="003A5686" w:rsidP="00F8280C">
                  <w:pPr>
                    <w:rPr>
                      <w:rFonts w:ascii="Arial" w:hAnsi="Arial" w:cs="Arial"/>
                      <w:b/>
                      <w:color w:val="262626" w:themeColor="text1" w:themeTint="D9"/>
                      <w:sz w:val="18"/>
                      <w:szCs w:val="18"/>
                    </w:rPr>
                  </w:pPr>
                  <w:r>
                    <w:rPr>
                      <w:rFonts w:ascii="Arial" w:hAnsi="Arial" w:cs="Arial"/>
                      <w:b/>
                      <w:sz w:val="18"/>
                      <w:szCs w:val="18"/>
                    </w:rPr>
                    <w:t xml:space="preserve"> </w:t>
                  </w:r>
                  <w:r w:rsidRPr="0016048C">
                    <w:rPr>
                      <w:rFonts w:ascii="Arial" w:hAnsi="Arial" w:cs="Arial"/>
                      <w:b/>
                      <w:color w:val="262626" w:themeColor="text1" w:themeTint="D9"/>
                      <w:sz w:val="18"/>
                      <w:szCs w:val="18"/>
                    </w:rPr>
                    <w:t xml:space="preserve">Normalised Fit (kJ/mol)       </w:t>
                  </w:r>
                  <w:r>
                    <w:rPr>
                      <w:rFonts w:ascii="Arial" w:hAnsi="Arial" w:cs="Arial"/>
                      <w:b/>
                      <w:color w:val="262626" w:themeColor="text1" w:themeTint="D9"/>
                      <w:sz w:val="18"/>
                      <w:szCs w:val="18"/>
                    </w:rPr>
                    <w:t xml:space="preserve">  </w:t>
                  </w:r>
                  <w:r w:rsidRPr="0016048C">
                    <w:rPr>
                      <w:rFonts w:ascii="Arial" w:hAnsi="Arial" w:cs="Arial"/>
                      <w:b/>
                      <w:color w:val="262626" w:themeColor="text1" w:themeTint="D9"/>
                      <w:sz w:val="18"/>
                      <w:szCs w:val="18"/>
                    </w:rPr>
                    <w:t xml:space="preserve"> Raw Heat Rate (µJ/s)</w:t>
                  </w:r>
                </w:p>
              </w:txbxContent>
            </v:textbox>
          </v:shape>
        </w:pict>
      </w:r>
      <w:r w:rsidR="00840672">
        <w:rPr>
          <w:noProof/>
          <w:lang w:eastAsia="en-GB"/>
        </w:rPr>
        <w:drawing>
          <wp:inline distT="0" distB="0" distL="0" distR="0" wp14:anchorId="7480A67F" wp14:editId="06804ACE">
            <wp:extent cx="5096602" cy="3533775"/>
            <wp:effectExtent l="19050" t="0" r="8798" b="0"/>
            <wp:docPr id="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5097384" cy="3534318"/>
                    </a:xfrm>
                    <a:prstGeom prst="rect">
                      <a:avLst/>
                    </a:prstGeom>
                    <a:noFill/>
                    <a:ln w="9525">
                      <a:noFill/>
                      <a:miter lim="800000"/>
                      <a:headEnd/>
                      <a:tailEnd/>
                    </a:ln>
                  </pic:spPr>
                </pic:pic>
              </a:graphicData>
            </a:graphic>
          </wp:inline>
        </w:drawing>
      </w:r>
    </w:p>
    <w:p w:rsidR="000574FF" w:rsidRDefault="000574FF" w:rsidP="00272714">
      <w:pPr>
        <w:pStyle w:val="Caption"/>
        <w:spacing w:line="480" w:lineRule="auto"/>
        <w:jc w:val="center"/>
        <w:rPr>
          <w:bCs w:val="0"/>
        </w:rPr>
      </w:pPr>
      <w:bookmarkStart w:id="101" w:name="_Ref443581533"/>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12</w:t>
      </w:r>
      <w:r w:rsidR="0075172E">
        <w:fldChar w:fldCharType="end"/>
      </w:r>
      <w:bookmarkEnd w:id="101"/>
      <w:r>
        <w:t xml:space="preserve">: Upper: </w:t>
      </w:r>
      <w:r w:rsidRPr="00B8359D">
        <w:t xml:space="preserve">Thermogram for the interaction of </w:t>
      </w:r>
      <w:r>
        <w:t>0.05 mM polyproline</w:t>
      </w:r>
      <w:r w:rsidRPr="00B8359D">
        <w:t xml:space="preserve"> with </w:t>
      </w:r>
      <w:r>
        <w:t>3.37 µ</w:t>
      </w:r>
      <w:r w:rsidRPr="00B8359D">
        <w:t>M</w:t>
      </w:r>
      <w:r>
        <w:t xml:space="preserve"> tannic acid at 25°C. Lower: ITC binding isotherm for the same interaction (closed circles). Sodium acetate into a solution of polyproline (open circles) and tannic acid dilution into sodium acetate (open squares). Solid line represents single site independent binding model fit.</w:t>
      </w:r>
      <w:r w:rsidR="00272714">
        <w:rPr>
          <w:bCs w:val="0"/>
        </w:rPr>
        <w:t xml:space="preserve"> </w:t>
      </w:r>
    </w:p>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Default="00186340" w:rsidP="00186340"/>
    <w:p w:rsidR="00186340" w:rsidRPr="00186340" w:rsidRDefault="00186340" w:rsidP="00186340"/>
    <w:p w:rsidR="000574FF" w:rsidRDefault="00040F10" w:rsidP="00840672">
      <w:pPr>
        <w:keepNext/>
        <w:spacing w:line="480" w:lineRule="auto"/>
        <w:jc w:val="center"/>
      </w:pPr>
      <w:r>
        <w:rPr>
          <w:noProof/>
          <w:lang w:eastAsia="en-GB"/>
        </w:rPr>
        <w:pict>
          <v:shape id="_x0000_s1180" type="#_x0000_t202" style="position:absolute;left:0;text-align:left;margin-left:177.4pt;margin-top:.35pt;width:87.05pt;height:17.7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5524C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noProof/>
          <w:lang w:eastAsia="en-GB"/>
        </w:rPr>
        <w:pict>
          <v:shape id="_x0000_s1181" type="#_x0000_t202" style="position:absolute;left:0;text-align:left;margin-left:184.9pt;margin-top:252.35pt;width:87.05pt;height:17.7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5524C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Pr>
          <w:noProof/>
          <w:lang w:eastAsia="en-GB"/>
        </w:rPr>
        <w:pict>
          <v:shape id="_x0000_s1176" type="#_x0000_t202" style="position:absolute;left:0;text-align:left;margin-left:0;margin-top:9.35pt;width:24.05pt;height:232.45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" strokecolor="white [3212]">
            <v:textbox style="layout-flow:vertical;mso-layout-flow-alt:bottom-to-top;mso-next-textbox:#_x0000_s1176">
              <w:txbxContent>
                <w:p w:rsidR="003A5686" w:rsidRPr="0016048C" w:rsidRDefault="003A5686" w:rsidP="00F8280C">
                  <w:pPr>
                    <w:rPr>
                      <w:rFonts w:ascii="Arial" w:hAnsi="Arial" w:cs="Arial"/>
                      <w:b/>
                      <w:color w:val="262626" w:themeColor="text1" w:themeTint="D9"/>
                      <w:sz w:val="18"/>
                      <w:szCs w:val="18"/>
                    </w:rPr>
                  </w:pPr>
                  <w:r>
                    <w:rPr>
                      <w:rFonts w:ascii="Arial" w:hAnsi="Arial" w:cs="Arial"/>
                      <w:b/>
                      <w:sz w:val="18"/>
                      <w:szCs w:val="18"/>
                    </w:rPr>
                    <w:t xml:space="preserve"> </w:t>
                  </w:r>
                  <w:r w:rsidRPr="0016048C">
                    <w:rPr>
                      <w:rFonts w:ascii="Arial" w:hAnsi="Arial" w:cs="Arial"/>
                      <w:b/>
                      <w:color w:val="262626" w:themeColor="text1" w:themeTint="D9"/>
                      <w:sz w:val="18"/>
                      <w:szCs w:val="18"/>
                    </w:rPr>
                    <w:t>Normalised Fit (kJ/mol)        Raw Heat Rate (µJ/s)</w:t>
                  </w:r>
                </w:p>
              </w:txbxContent>
            </v:textbox>
          </v:shape>
        </w:pict>
      </w:r>
      <w:r w:rsidR="00840672">
        <w:rPr>
          <w:noProof/>
          <w:lang w:eastAsia="en-GB"/>
        </w:rPr>
        <w:drawing>
          <wp:inline distT="0" distB="0" distL="0" distR="0" wp14:anchorId="02C26D46" wp14:editId="77E6BEE3">
            <wp:extent cx="5097384" cy="3420000"/>
            <wp:effectExtent l="19050" t="0" r="8016" b="0"/>
            <wp:docPr id="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srcRect/>
                    <a:stretch>
                      <a:fillRect/>
                    </a:stretch>
                  </pic:blipFill>
                  <pic:spPr bwMode="auto">
                    <a:xfrm>
                      <a:off x="0" y="0"/>
                      <a:ext cx="5097384" cy="3420000"/>
                    </a:xfrm>
                    <a:prstGeom prst="rect">
                      <a:avLst/>
                    </a:prstGeom>
                    <a:noFill/>
                    <a:ln w="9525">
                      <a:noFill/>
                      <a:miter lim="800000"/>
                      <a:headEnd/>
                      <a:tailEnd/>
                    </a:ln>
                  </pic:spPr>
                </pic:pic>
              </a:graphicData>
            </a:graphic>
          </wp:inline>
        </w:drawing>
      </w:r>
    </w:p>
    <w:p w:rsidR="000574FF" w:rsidRDefault="000574FF" w:rsidP="000574FF">
      <w:pPr>
        <w:pStyle w:val="Caption"/>
        <w:spacing w:line="480" w:lineRule="auto"/>
        <w:jc w:val="center"/>
        <w:rPr>
          <w:bCs w:val="0"/>
        </w:rPr>
      </w:pPr>
      <w:bookmarkStart w:id="102" w:name="_Ref443581534"/>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13</w:t>
      </w:r>
      <w:r w:rsidR="0075172E">
        <w:fldChar w:fldCharType="end"/>
      </w:r>
      <w:bookmarkEnd w:id="102"/>
      <w:r>
        <w:t xml:space="preserve">: Upper: </w:t>
      </w:r>
      <w:r w:rsidRPr="00B8359D">
        <w:t xml:space="preserve">Thermogram for the interaction of </w:t>
      </w:r>
      <w:r>
        <w:t>0.05 mM polyproline</w:t>
      </w:r>
      <w:r w:rsidRPr="00B8359D">
        <w:t xml:space="preserve"> with </w:t>
      </w:r>
      <w:r>
        <w:t>3.37 µ</w:t>
      </w:r>
      <w:r w:rsidRPr="00B8359D">
        <w:t>M</w:t>
      </w:r>
      <w:r w:rsidR="006F2757">
        <w:t xml:space="preserve"> tannic acid at 40</w:t>
      </w:r>
      <w:r>
        <w:t>°C. Lower: ITC binding isotherm for the same interaction (closed circles). Sodium acetate into a solution of polyproline (open circles) and tannic acid dilution into sodium acetate (open squares). Solid line represents single site independent binding model fit.</w:t>
      </w:r>
    </w:p>
    <w:p w:rsidR="000574FF" w:rsidRDefault="00040F10" w:rsidP="000574FF">
      <w:pPr>
        <w:keepNext/>
        <w:spacing w:line="480" w:lineRule="auto"/>
        <w:jc w:val="center"/>
      </w:pPr>
      <w:r>
        <w:rPr>
          <w:noProof/>
          <w:lang w:eastAsia="en-GB"/>
        </w:rPr>
        <w:lastRenderedPageBreak/>
        <w:pict>
          <v:shape id="_x0000_s1182" type="#_x0000_t202" style="position:absolute;left:0;text-align:left;margin-left:187pt;margin-top:261pt;width:87.05pt;height:17.7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5524C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sidR="00840672">
        <w:rPr>
          <w:noProof/>
          <w:lang w:eastAsia="en-GB"/>
        </w:rPr>
        <w:drawing>
          <wp:inline distT="0" distB="0" distL="0" distR="0" wp14:anchorId="6A360DF7" wp14:editId="36C2A51B">
            <wp:extent cx="5208042" cy="3432412"/>
            <wp:effectExtent l="19050" t="0" r="0" b="0"/>
            <wp:docPr id="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srcRect b="5628"/>
                    <a:stretch>
                      <a:fillRect/>
                    </a:stretch>
                  </pic:blipFill>
                  <pic:spPr bwMode="auto">
                    <a:xfrm>
                      <a:off x="0" y="0"/>
                      <a:ext cx="5208042" cy="3432412"/>
                    </a:xfrm>
                    <a:prstGeom prst="rect">
                      <a:avLst/>
                    </a:prstGeom>
                    <a:noFill/>
                    <a:ln w="9525">
                      <a:noFill/>
                      <a:miter lim="800000"/>
                      <a:headEnd/>
                      <a:tailEnd/>
                    </a:ln>
                  </pic:spPr>
                </pic:pic>
              </a:graphicData>
            </a:graphic>
          </wp:inline>
        </w:drawing>
      </w:r>
    </w:p>
    <w:p w:rsidR="000574FF" w:rsidRDefault="000574FF" w:rsidP="000574FF">
      <w:pPr>
        <w:pStyle w:val="Caption"/>
        <w:spacing w:line="480" w:lineRule="auto"/>
        <w:jc w:val="center"/>
        <w:rPr>
          <w:bCs w:val="0"/>
        </w:rPr>
      </w:pPr>
      <w:bookmarkStart w:id="103" w:name="_Ref442877952"/>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14</w:t>
      </w:r>
      <w:r w:rsidR="0075172E">
        <w:fldChar w:fldCharType="end"/>
      </w:r>
      <w:bookmarkEnd w:id="103"/>
      <w:r>
        <w:t xml:space="preserve">: </w:t>
      </w:r>
      <w:r w:rsidRPr="008E5634">
        <w:t>ITC binding isotherm of the interaction between 50 µM polyproline and 3.374 mM tannic acid in 10 mM acetate 10% ethanol pH 4 at 10 (</w:t>
      </w:r>
      <w:r w:rsidR="00EA64D7">
        <w:t>triangles</w:t>
      </w:r>
      <w:r w:rsidRPr="008E5634">
        <w:t>), 25 (</w:t>
      </w:r>
      <w:r w:rsidR="00186340">
        <w:t>open squares</w:t>
      </w:r>
      <w:r w:rsidRPr="008E5634">
        <w:t>) and 40</w:t>
      </w:r>
      <w:r w:rsidR="006F2757">
        <w:t xml:space="preserve"> </w:t>
      </w:r>
      <w:r w:rsidRPr="008E5634">
        <w:t>°C (</w:t>
      </w:r>
      <w:r w:rsidR="00F670D1">
        <w:t>black diamonds</w:t>
      </w:r>
      <w:r w:rsidRPr="008E5634">
        <w:t xml:space="preserve">).  </w:t>
      </w:r>
      <w:r>
        <w:t>Solid line represents model fit.</w:t>
      </w:r>
    </w:p>
    <w:p w:rsidR="000574FF" w:rsidRDefault="000574FF" w:rsidP="000574FF">
      <w:pPr>
        <w:spacing w:line="480" w:lineRule="auto"/>
        <w:jc w:val="both"/>
        <w:rPr>
          <w:bCs/>
        </w:rPr>
      </w:pPr>
      <w:r>
        <w:rPr>
          <w:bCs/>
        </w:rPr>
        <w:t xml:space="preserve">The source of the favourable </w:t>
      </w:r>
      <w:r w:rsidR="00CB4EDC" w:rsidRPr="001D171F">
        <w:rPr>
          <w:rFonts w:eastAsiaTheme="minorEastAsia"/>
        </w:rPr>
        <w:t>Δ</w:t>
      </w:r>
      <w:r w:rsidR="00CB4EDC">
        <w:rPr>
          <w:rFonts w:eastAsiaTheme="minorEastAsia"/>
          <w:i/>
        </w:rPr>
        <w:t>H</w:t>
      </w:r>
      <w:r w:rsidR="00CB4EDC">
        <w:rPr>
          <w:bCs/>
        </w:rPr>
        <w:t xml:space="preserve"> </w:t>
      </w:r>
      <w:r>
        <w:rPr>
          <w:bCs/>
        </w:rPr>
        <w:t>is most likely hydrogen bonding between the phenolic alcohols and those present on the polyproline (</w:t>
      </w:r>
      <w:r w:rsidR="0075172E">
        <w:rPr>
          <w:bCs/>
        </w:rPr>
        <w:fldChar w:fldCharType="begin"/>
      </w:r>
      <w:r w:rsidR="00597F51">
        <w:rPr>
          <w:bCs/>
        </w:rPr>
        <w:instrText xml:space="preserve"> REF _Ref443498107 \h </w:instrText>
      </w:r>
      <w:r w:rsidR="0075172E">
        <w:rPr>
          <w:bCs/>
        </w:rPr>
      </w:r>
      <w:r w:rsidR="0075172E">
        <w:rPr>
          <w:bCs/>
        </w:rPr>
        <w:fldChar w:fldCharType="separate"/>
      </w:r>
      <w:r w:rsidR="00CB4EDC">
        <w:t xml:space="preserve">Table </w:t>
      </w:r>
      <w:r w:rsidR="00CB4EDC">
        <w:rPr>
          <w:noProof/>
        </w:rPr>
        <w:t>3</w:t>
      </w:r>
      <w:r w:rsidR="00CB4EDC">
        <w:t>.</w:t>
      </w:r>
      <w:r w:rsidR="00CB4EDC">
        <w:rPr>
          <w:noProof/>
        </w:rPr>
        <w:t>2</w:t>
      </w:r>
      <w:r w:rsidR="0075172E">
        <w:rPr>
          <w:bCs/>
        </w:rPr>
        <w:fldChar w:fldCharType="end"/>
      </w:r>
      <w:r>
        <w:rPr>
          <w:bCs/>
        </w:rPr>
        <w:t xml:space="preserve">). The source of the favourable </w:t>
      </w:r>
      <w:r w:rsidR="00CB4EDC">
        <w:rPr>
          <w:bCs/>
        </w:rPr>
        <w:t>T</w:t>
      </w:r>
      <w:r w:rsidR="00CB4EDC" w:rsidRPr="001D171F">
        <w:rPr>
          <w:rFonts w:eastAsiaTheme="minorEastAsia"/>
        </w:rPr>
        <w:t>Δ</w:t>
      </w:r>
      <w:r w:rsidR="00CB4EDC">
        <w:rPr>
          <w:rFonts w:eastAsiaTheme="minorEastAsia"/>
          <w:i/>
        </w:rPr>
        <w:t>S</w:t>
      </w:r>
      <w:r w:rsidR="00CB4EDC" w:rsidRPr="00536BC2">
        <w:rPr>
          <w:bCs/>
        </w:rPr>
        <w:t xml:space="preserve"> </w:t>
      </w:r>
      <w:r>
        <w:rPr>
          <w:bCs/>
        </w:rPr>
        <w:t xml:space="preserve">is much harder to discern. Tannic acid has 31 rotatable bonds. </w:t>
      </w:r>
      <w:r w:rsidR="00664752">
        <w:rPr>
          <w:bCs/>
        </w:rPr>
        <w:t>Presumably,</w:t>
      </w:r>
      <w:r>
        <w:rPr>
          <w:bCs/>
        </w:rPr>
        <w:t xml:space="preserve"> some of these bonds would become conformationally restricted upon binding meaning a decrease in favourable entropy. Polyproline is also fairly </w:t>
      </w:r>
      <w:r w:rsidR="006677A1">
        <w:rPr>
          <w:bCs/>
        </w:rPr>
        <w:t>rigid</w:t>
      </w:r>
      <w:r>
        <w:rPr>
          <w:bCs/>
        </w:rPr>
        <w:t xml:space="preserve"> meaning it is unlikely that the source of the favourable </w:t>
      </w:r>
      <w:r w:rsidR="00CB4EDC">
        <w:rPr>
          <w:bCs/>
        </w:rPr>
        <w:t>T</w:t>
      </w:r>
      <w:r w:rsidR="00CB4EDC" w:rsidRPr="001D171F">
        <w:rPr>
          <w:rFonts w:eastAsiaTheme="minorEastAsia"/>
        </w:rPr>
        <w:t>Δ</w:t>
      </w:r>
      <w:r w:rsidR="00CB4EDC">
        <w:rPr>
          <w:rFonts w:eastAsiaTheme="minorEastAsia"/>
          <w:i/>
        </w:rPr>
        <w:t>S</w:t>
      </w:r>
      <w:r w:rsidR="00CB4EDC" w:rsidRPr="00536BC2">
        <w:rPr>
          <w:bCs/>
        </w:rPr>
        <w:t xml:space="preserve"> </w:t>
      </w:r>
      <w:r>
        <w:rPr>
          <w:bCs/>
        </w:rPr>
        <w:t>is the macromolecule adopting a more flexible state after binding.</w:t>
      </w:r>
      <w:hyperlink w:anchor="_ENREF_198" w:tooltip="Adzhubei, 2013 #560" w:history="1">
        <w:r w:rsidR="00512D09">
          <w:rPr>
            <w:bCs/>
          </w:rPr>
          <w:fldChar w:fldCharType="begin"/>
        </w:r>
        <w:r w:rsidR="00512D09">
          <w:rPr>
            <w:bCs/>
          </w:rPr>
          <w:instrText xml:space="preserve"> ADDIN EN.CITE &lt;EndNote&gt;&lt;Cite&gt;&lt;Author&gt;Adzhubei&lt;/Author&gt;&lt;Year&gt;2013&lt;/Year&gt;&lt;RecNum&gt;560&lt;/RecNum&gt;&lt;DisplayText&gt;&lt;style face="superscript"&gt;198&lt;/style&gt;&lt;/DisplayText&gt;&lt;record&gt;&lt;rec-number&gt;560&lt;/rec-number&gt;&lt;foreign-keys&gt;&lt;key app="EN" db-id="5trrespwzsdr07efd5tx2w96x22re9s0fsdt"&gt;560&lt;/key&gt;&lt;/foreign-keys&gt;&lt;ref-type name="Journal Article"&gt;17&lt;/ref-type&gt;&lt;contributors&gt;&lt;authors&gt;&lt;author&gt;Adzhubei, Alexei A.&lt;/author&gt;&lt;author&gt;Sternberg, Michael J. E.&lt;/author&gt;&lt;author&gt;Makarov, Alexander A.&lt;/author&gt;&lt;/authors&gt;&lt;/contributors&gt;&lt;titles&gt;&lt;title&gt;Polyproline-II Helix in Proteins: Structure and Function&lt;/title&gt;&lt;secondary-title&gt;Journal of Molecular Biology&lt;/secondary-title&gt;&lt;/titles&gt;&lt;periodical&gt;&lt;full-title&gt;Journal of Molecular Biology&lt;/full-title&gt;&lt;/periodical&gt;&lt;pages&gt;2100-2132&lt;/pages&gt;&lt;volume&gt;425&lt;/volume&gt;&lt;number&gt;12&lt;/number&gt;&lt;keywords&gt;&lt;keyword&gt;PPII conformation&lt;/keyword&gt;&lt;keyword&gt;extended left-handed helix&lt;/keyword&gt;&lt;keyword&gt;secondary structure&lt;/keyword&gt;&lt;keyword&gt;protein interactions&lt;/keyword&gt;&lt;keyword&gt;folded and unfolded proteins&lt;/keyword&gt;&lt;/keywords&gt;&lt;dates&gt;&lt;year&gt;2013&lt;/year&gt;&lt;/dates&gt;&lt;isbn&gt;0022-2836&lt;/isbn&gt;&lt;urls&gt;&lt;related-urls&gt;&lt;url&gt;http://www.sciencedirect.com/science/article/pii/S0022283613001666&lt;/url&gt;&lt;/related-urls&gt;&lt;/urls&gt;&lt;electronic-resource-num&gt;http://dx.doi.org/10.1016/j.jmb.2013.03.018&lt;/electronic-resource-num&gt;&lt;/record&gt;&lt;/Cite&gt;&lt;/EndNote&gt;</w:instrText>
        </w:r>
        <w:r w:rsidR="00512D09">
          <w:rPr>
            <w:bCs/>
          </w:rPr>
          <w:fldChar w:fldCharType="separate"/>
        </w:r>
        <w:r w:rsidR="00512D09" w:rsidRPr="006421D1">
          <w:rPr>
            <w:bCs/>
            <w:noProof/>
            <w:vertAlign w:val="superscript"/>
          </w:rPr>
          <w:t>198</w:t>
        </w:r>
        <w:r w:rsidR="00512D09">
          <w:rPr>
            <w:bCs/>
          </w:rPr>
          <w:fldChar w:fldCharType="end"/>
        </w:r>
      </w:hyperlink>
    </w:p>
    <w:p w:rsidR="000574FF" w:rsidRDefault="000574FF" w:rsidP="000574FF">
      <w:pPr>
        <w:spacing w:line="480" w:lineRule="auto"/>
        <w:jc w:val="both"/>
        <w:rPr>
          <w:bCs/>
        </w:rPr>
      </w:pPr>
      <w:r>
        <w:rPr>
          <w:bCs/>
        </w:rPr>
        <w:t xml:space="preserve">Much like the tannic acid-BSA system, there was an increase in endothermicity from 10 to 25 </w:t>
      </w:r>
      <w:r w:rsidRPr="009E306F">
        <w:rPr>
          <w:bCs/>
        </w:rPr>
        <w:t>°C</w:t>
      </w:r>
      <w:r>
        <w:rPr>
          <w:bCs/>
        </w:rPr>
        <w:t xml:space="preserve"> with an increase in the favourable </w:t>
      </w:r>
      <w:r w:rsidR="001D171F" w:rsidRPr="001D171F">
        <w:rPr>
          <w:rFonts w:eastAsiaTheme="minorEastAsia"/>
        </w:rPr>
        <w:t>Δ</w:t>
      </w:r>
      <w:r w:rsidR="001D171F">
        <w:rPr>
          <w:rFonts w:eastAsiaTheme="minorEastAsia"/>
          <w:i/>
        </w:rPr>
        <w:t>G</w:t>
      </w:r>
      <w:r>
        <w:rPr>
          <w:bCs/>
        </w:rPr>
        <w:t xml:space="preserve">. Most likely hydrophobic interaction has become stronger at 25 </w:t>
      </w:r>
      <w:r w:rsidRPr="009E306F">
        <w:rPr>
          <w:bCs/>
        </w:rPr>
        <w:t>°C</w:t>
      </w:r>
      <w:r>
        <w:rPr>
          <w:bCs/>
        </w:rPr>
        <w:t xml:space="preserve">, but the ethanol has reduced the observed exothermicity. </w:t>
      </w:r>
      <w:r w:rsidR="002E3CDA">
        <w:rPr>
          <w:bCs/>
        </w:rPr>
        <w:t>Instead,</w:t>
      </w:r>
      <w:r>
        <w:rPr>
          <w:bCs/>
        </w:rPr>
        <w:t xml:space="preserve"> when the tannic acid interacts with the polyproline, the endothermicity of water reorganisation around hydrophilic groups prior to bond formation dominates the observed </w:t>
      </w:r>
      <w:r w:rsidR="00CB4EDC" w:rsidRPr="001D171F">
        <w:rPr>
          <w:rFonts w:eastAsiaTheme="minorEastAsia"/>
        </w:rPr>
        <w:lastRenderedPageBreak/>
        <w:t>Δ</w:t>
      </w:r>
      <w:r w:rsidR="00CB4EDC">
        <w:rPr>
          <w:rFonts w:eastAsiaTheme="minorEastAsia"/>
          <w:i/>
        </w:rPr>
        <w:t>H</w:t>
      </w:r>
      <w:r>
        <w:rPr>
          <w:bCs/>
        </w:rPr>
        <w:t>. Increasing the temperature to 40</w:t>
      </w:r>
      <w:r w:rsidR="006F2757">
        <w:rPr>
          <w:bCs/>
        </w:rPr>
        <w:t xml:space="preserve"> </w:t>
      </w:r>
      <w:r w:rsidRPr="008300E1">
        <w:rPr>
          <w:bCs/>
        </w:rPr>
        <w:t>°C</w:t>
      </w:r>
      <w:r>
        <w:rPr>
          <w:bCs/>
        </w:rPr>
        <w:t xml:space="preserve"> increases the exothermicity between tannic acid and polyproline which is expected for hydrophobic interaction.</w:t>
      </w:r>
      <w:hyperlink w:anchor="_ENREF_221" w:tooltip="Haidacher, 1996 #409" w:history="1">
        <w:r w:rsidR="00512D09">
          <w:rPr>
            <w:bCs/>
          </w:rPr>
          <w:fldChar w:fldCharType="begin"/>
        </w:r>
        <w:r w:rsidR="00512D09">
          <w:rPr>
            <w:bCs/>
          </w:rPr>
          <w:instrText xml:space="preserve"> ADDIN EN.CITE &lt;EndNote&gt;&lt;Cite&gt;&lt;Author&gt;Haidacher&lt;/Author&gt;&lt;Year&gt;1996&lt;/Year&gt;&lt;RecNum&gt;409&lt;/RecNum&gt;&lt;DisplayText&gt;&lt;style face="superscript"&gt;221&lt;/style&gt;&lt;/DisplayText&gt;&lt;record&gt;&lt;rec-number&gt;409&lt;/rec-number&gt;&lt;foreign-keys&gt;&lt;key app="EN" db-id="5trrespwzsdr07efd5tx2w96x22re9s0fsdt"&gt;409&lt;/key&gt;&lt;/foreign-keys&gt;&lt;ref-type name="Journal Article"&gt;17&lt;/ref-type&gt;&lt;contributors&gt;&lt;authors&gt;&lt;author&gt;Haidacher, Dietmar&lt;/author&gt;&lt;author&gt;Vailaya, Anant&lt;/author&gt;&lt;author&gt;Horváth, Csaba&lt;/author&gt;&lt;/authors&gt;&lt;/contributors&gt;&lt;titles&gt;&lt;title&gt;Temperature Effects in Hydrophobic Interaction Chromatography&lt;/title&gt;&lt;secondary-title&gt;Proc Natl Acad Sci U S A&lt;/secondary-title&gt;&lt;/titles&gt;&lt;periodical&gt;&lt;full-title&gt;Proc Natl Acad Sci U S A&lt;/full-title&gt;&lt;abbr-1&gt;Proceedings of the National Academy of Sciences of the United States of America&lt;/abbr-1&gt;&lt;/periodical&gt;&lt;pages&gt;2290-2295&lt;/pages&gt;&lt;volume&gt;93&lt;/volume&gt;&lt;number&gt;6&lt;/number&gt;&lt;dates&gt;&lt;year&gt;1996&lt;/year&gt;&lt;/dates&gt;&lt;publisher&gt;National Academy of Sciences&lt;/publisher&gt;&lt;isbn&gt;00278424&lt;/isbn&gt;&lt;urls&gt;&lt;related-urls&gt;&lt;url&gt;http://www.jstor.org/stable/38665&lt;/url&gt;&lt;/related-urls&gt;&lt;/urls&gt;&lt;electronic-resource-num&gt;10.2307/38665&lt;/electronic-resource-num&gt;&lt;/record&gt;&lt;/Cite&gt;&lt;/EndNote&gt;</w:instrText>
        </w:r>
        <w:r w:rsidR="00512D09">
          <w:rPr>
            <w:bCs/>
          </w:rPr>
          <w:fldChar w:fldCharType="separate"/>
        </w:r>
        <w:r w:rsidR="00512D09" w:rsidRPr="006421D1">
          <w:rPr>
            <w:bCs/>
            <w:noProof/>
            <w:vertAlign w:val="superscript"/>
          </w:rPr>
          <w:t>221</w:t>
        </w:r>
        <w:r w:rsidR="00512D09">
          <w:rPr>
            <w:bCs/>
          </w:rPr>
          <w:fldChar w:fldCharType="end"/>
        </w:r>
      </w:hyperlink>
      <w:r>
        <w:rPr>
          <w:bCs/>
        </w:rPr>
        <w:t xml:space="preserve">  </w:t>
      </w:r>
    </w:p>
    <w:p w:rsidR="000574FF" w:rsidRPr="00E93595" w:rsidRDefault="000574FF" w:rsidP="00010095">
      <w:pPr>
        <w:pStyle w:val="Caption"/>
        <w:spacing w:line="480" w:lineRule="auto"/>
        <w:jc w:val="center"/>
        <w:rPr>
          <w:iCs/>
        </w:rPr>
      </w:pPr>
      <w:bookmarkStart w:id="104" w:name="_Ref442871539"/>
      <w:bookmarkStart w:id="105" w:name="_Ref443498107"/>
      <w:r>
        <w:t>Table</w:t>
      </w:r>
      <w:bookmarkEnd w:id="104"/>
      <w:r w:rsidR="00010095">
        <w:t xml:space="preserve"> </w:t>
      </w:r>
      <w:r w:rsidR="0075172E">
        <w:fldChar w:fldCharType="begin"/>
      </w:r>
      <w:r w:rsidR="00AC2227">
        <w:instrText xml:space="preserve"> STYLEREF 1 \s </w:instrText>
      </w:r>
      <w:r w:rsidR="0075172E">
        <w:fldChar w:fldCharType="separate"/>
      </w:r>
      <w:r w:rsidR="00E71593">
        <w:rPr>
          <w:noProof/>
        </w:rPr>
        <w:t>3</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2</w:t>
      </w:r>
      <w:r w:rsidR="0075172E">
        <w:fldChar w:fldCharType="end"/>
      </w:r>
      <w:bookmarkEnd w:id="105"/>
      <w:r>
        <w:t xml:space="preserve">: </w:t>
      </w:r>
      <w:r w:rsidRPr="008E5634">
        <w:t>The temperature, enthalpy Δ</w:t>
      </w:r>
      <w:r w:rsidRPr="008E5634">
        <w:rPr>
          <w:i/>
          <w:iCs/>
        </w:rPr>
        <w:t>H</w:t>
      </w:r>
      <w:r w:rsidRPr="008E5634">
        <w:rPr>
          <w:iCs/>
        </w:rPr>
        <w:t xml:space="preserve">, entropy </w:t>
      </w:r>
      <w:r w:rsidRPr="008E5634">
        <w:rPr>
          <w:i/>
          <w:iCs/>
        </w:rPr>
        <w:t>T</w:t>
      </w:r>
      <w:r w:rsidRPr="008E5634">
        <w:rPr>
          <w:iCs/>
        </w:rPr>
        <w:t>Δ</w:t>
      </w:r>
      <w:r w:rsidRPr="008E5634">
        <w:rPr>
          <w:i/>
          <w:iCs/>
        </w:rPr>
        <w:t>S</w:t>
      </w:r>
      <w:r w:rsidRPr="008E5634">
        <w:rPr>
          <w:iCs/>
        </w:rPr>
        <w:t>, Gibbs free energy Δ</w:t>
      </w:r>
      <w:r w:rsidRPr="008E5634">
        <w:rPr>
          <w:i/>
          <w:iCs/>
        </w:rPr>
        <w:t>G</w:t>
      </w:r>
      <w:r w:rsidR="00D3641B">
        <w:rPr>
          <w:iCs/>
        </w:rPr>
        <w:t xml:space="preserve"> </w:t>
      </w:r>
      <w:r w:rsidRPr="008E5634">
        <w:rPr>
          <w:iCs/>
        </w:rPr>
        <w:t>and stoichiometry for the tannic acid-</w:t>
      </w:r>
      <w:r>
        <w:rPr>
          <w:iCs/>
        </w:rPr>
        <w:t>polyproline</w:t>
      </w:r>
      <w:r w:rsidRPr="008E5634">
        <w:rPr>
          <w:iCs/>
        </w:rPr>
        <w:t xml:space="preserve"> interaction</w:t>
      </w:r>
      <w:r w:rsidR="00C15C07" w:rsidRPr="00C15C07">
        <w:rPr>
          <w:iCs/>
        </w:rPr>
        <w:t xml:space="preserve"> </w:t>
      </w:r>
      <w:r w:rsidR="00F96125">
        <w:rPr>
          <w:iCs/>
        </w:rPr>
        <w:t xml:space="preserve">at 10, </w:t>
      </w:r>
      <w:r w:rsidR="00C15C07">
        <w:rPr>
          <w:iCs/>
        </w:rPr>
        <w:t>25 and 40</w:t>
      </w:r>
      <w:r w:rsidR="00C15C07" w:rsidRPr="00D910AD">
        <w:t>°C</w:t>
      </w:r>
      <w:r w:rsidR="005079BA">
        <w:rPr>
          <w:iCs/>
        </w:rPr>
        <w:t>. The confidence intervals (italics) are in brackets.</w:t>
      </w:r>
    </w:p>
    <w:tbl>
      <w:tblPr>
        <w:tblStyle w:val="TableGrid"/>
        <w:tblW w:w="0" w:type="auto"/>
        <w:jc w:val="center"/>
        <w:tblLayout w:type="fixed"/>
        <w:tblLook w:val="04A0" w:firstRow="1" w:lastRow="0" w:firstColumn="1" w:lastColumn="0" w:noHBand="0" w:noVBand="1"/>
      </w:tblPr>
      <w:tblGrid>
        <w:gridCol w:w="1526"/>
        <w:gridCol w:w="1843"/>
        <w:gridCol w:w="1018"/>
        <w:gridCol w:w="1323"/>
        <w:gridCol w:w="1763"/>
      </w:tblGrid>
      <w:tr w:rsidR="00D3641B" w:rsidRPr="008E5634" w:rsidTr="003C2A9A">
        <w:trPr>
          <w:trHeight w:val="1185"/>
          <w:jc w:val="center"/>
        </w:trPr>
        <w:tc>
          <w:tcPr>
            <w:tcW w:w="1526" w:type="dxa"/>
            <w:tcBorders>
              <w:left w:val="nil"/>
              <w:bottom w:val="single" w:sz="4" w:space="0" w:color="auto"/>
              <w:right w:val="nil"/>
            </w:tcBorders>
          </w:tcPr>
          <w:p w:rsidR="00D3641B" w:rsidRPr="008E5634" w:rsidRDefault="00D3641B" w:rsidP="000574FF">
            <w:pPr>
              <w:spacing w:line="480" w:lineRule="auto"/>
              <w:jc w:val="center"/>
              <w:rPr>
                <w:b/>
                <w:bCs/>
                <w:sz w:val="16"/>
                <w:szCs w:val="16"/>
              </w:rPr>
            </w:pPr>
            <w:r w:rsidRPr="008E5634">
              <w:rPr>
                <w:b/>
                <w:bCs/>
                <w:sz w:val="16"/>
                <w:szCs w:val="16"/>
              </w:rPr>
              <w:t>Temperature</w:t>
            </w:r>
          </w:p>
          <w:p w:rsidR="00D3641B" w:rsidRPr="008E5634" w:rsidRDefault="00D3641B" w:rsidP="000574FF">
            <w:pPr>
              <w:spacing w:line="480" w:lineRule="auto"/>
              <w:jc w:val="center"/>
              <w:rPr>
                <w:b/>
                <w:bCs/>
                <w:sz w:val="16"/>
                <w:szCs w:val="16"/>
              </w:rPr>
            </w:pPr>
            <w:r w:rsidRPr="008E5634">
              <w:rPr>
                <w:b/>
                <w:bCs/>
                <w:sz w:val="16"/>
                <w:szCs w:val="16"/>
              </w:rPr>
              <w:t>(°C)</w:t>
            </w:r>
          </w:p>
        </w:tc>
        <w:tc>
          <w:tcPr>
            <w:tcW w:w="1843" w:type="dxa"/>
            <w:tcBorders>
              <w:left w:val="nil"/>
              <w:bottom w:val="single" w:sz="4" w:space="0" w:color="auto"/>
              <w:right w:val="nil"/>
            </w:tcBorders>
          </w:tcPr>
          <w:p w:rsidR="00D3641B" w:rsidRPr="008E5634" w:rsidRDefault="00D3641B" w:rsidP="000574FF">
            <w:pPr>
              <w:spacing w:line="480" w:lineRule="auto"/>
              <w:jc w:val="center"/>
              <w:rPr>
                <w:b/>
                <w:bCs/>
                <w:sz w:val="16"/>
                <w:szCs w:val="16"/>
              </w:rPr>
            </w:pPr>
            <w:r>
              <w:rPr>
                <w:b/>
                <w:bCs/>
                <w:sz w:val="16"/>
                <w:szCs w:val="16"/>
              </w:rPr>
              <w:t>-</w:t>
            </w:r>
            <w:r w:rsidRPr="008E5634">
              <w:rPr>
                <w:b/>
                <w:bCs/>
                <w:sz w:val="16"/>
                <w:szCs w:val="16"/>
              </w:rPr>
              <w:t>Δ</w:t>
            </w:r>
            <w:r w:rsidRPr="008E5634">
              <w:rPr>
                <w:b/>
                <w:bCs/>
                <w:i/>
                <w:iCs/>
                <w:sz w:val="16"/>
                <w:szCs w:val="16"/>
              </w:rPr>
              <w:t>H</w:t>
            </w:r>
            <w:r w:rsidRPr="008E5634">
              <w:rPr>
                <w:b/>
                <w:bCs/>
                <w:sz w:val="16"/>
                <w:szCs w:val="16"/>
              </w:rPr>
              <w:t> </w:t>
            </w:r>
          </w:p>
          <w:p w:rsidR="00D3641B" w:rsidRPr="00DA7437" w:rsidRDefault="00D3641B" w:rsidP="00DA7437">
            <w:pPr>
              <w:spacing w:line="480" w:lineRule="auto"/>
              <w:jc w:val="center"/>
              <w:rPr>
                <w:b/>
                <w:bCs/>
                <w:i/>
                <w:iCs/>
                <w:sz w:val="16"/>
                <w:szCs w:val="16"/>
                <w:vertAlign w:val="superscript"/>
              </w:rPr>
            </w:pPr>
            <w:r w:rsidRPr="008E5634">
              <w:rPr>
                <w:b/>
                <w:bCs/>
                <w:sz w:val="16"/>
                <w:szCs w:val="16"/>
              </w:rPr>
              <w:t>(kJ/mol)</w:t>
            </w:r>
          </w:p>
        </w:tc>
        <w:tc>
          <w:tcPr>
            <w:tcW w:w="1018" w:type="dxa"/>
            <w:tcBorders>
              <w:left w:val="nil"/>
              <w:bottom w:val="single" w:sz="4" w:space="0" w:color="auto"/>
              <w:right w:val="nil"/>
            </w:tcBorders>
          </w:tcPr>
          <w:p w:rsidR="00D3641B" w:rsidRPr="008E5634" w:rsidRDefault="00D3641B" w:rsidP="000574FF">
            <w:pPr>
              <w:spacing w:line="480" w:lineRule="auto"/>
              <w:jc w:val="center"/>
              <w:rPr>
                <w:b/>
                <w:bCs/>
                <w:sz w:val="16"/>
                <w:szCs w:val="16"/>
              </w:rPr>
            </w:pPr>
            <w:r>
              <w:rPr>
                <w:b/>
                <w:bCs/>
                <w:i/>
                <w:iCs/>
                <w:sz w:val="16"/>
                <w:szCs w:val="16"/>
              </w:rPr>
              <w:t>-</w:t>
            </w:r>
            <w:r w:rsidRPr="008E5634">
              <w:rPr>
                <w:b/>
                <w:bCs/>
                <w:i/>
                <w:iCs/>
                <w:sz w:val="16"/>
                <w:szCs w:val="16"/>
              </w:rPr>
              <w:t>T</w:t>
            </w:r>
            <w:r w:rsidRPr="008E5634">
              <w:rPr>
                <w:b/>
                <w:bCs/>
                <w:sz w:val="16"/>
                <w:szCs w:val="16"/>
              </w:rPr>
              <w:t>Δ</w:t>
            </w:r>
            <w:r w:rsidRPr="008E5634">
              <w:rPr>
                <w:b/>
                <w:bCs/>
                <w:i/>
                <w:iCs/>
                <w:sz w:val="16"/>
                <w:szCs w:val="16"/>
              </w:rPr>
              <w:t>S</w:t>
            </w:r>
            <w:r w:rsidRPr="008E5634">
              <w:rPr>
                <w:b/>
                <w:bCs/>
                <w:sz w:val="16"/>
                <w:szCs w:val="16"/>
              </w:rPr>
              <w:t> </w:t>
            </w:r>
          </w:p>
          <w:p w:rsidR="00D3641B" w:rsidRPr="008E5634" w:rsidRDefault="00D3641B" w:rsidP="000574FF">
            <w:pPr>
              <w:spacing w:line="480" w:lineRule="auto"/>
              <w:jc w:val="center"/>
              <w:rPr>
                <w:b/>
                <w:bCs/>
                <w:sz w:val="16"/>
                <w:szCs w:val="16"/>
              </w:rPr>
            </w:pPr>
            <w:r w:rsidRPr="008E5634">
              <w:rPr>
                <w:b/>
                <w:bCs/>
                <w:sz w:val="16"/>
                <w:szCs w:val="16"/>
              </w:rPr>
              <w:t>(kJ/mol)</w:t>
            </w:r>
          </w:p>
        </w:tc>
        <w:tc>
          <w:tcPr>
            <w:tcW w:w="1323" w:type="dxa"/>
            <w:tcBorders>
              <w:left w:val="nil"/>
              <w:bottom w:val="single" w:sz="4" w:space="0" w:color="auto"/>
              <w:right w:val="nil"/>
            </w:tcBorders>
          </w:tcPr>
          <w:p w:rsidR="00D3641B" w:rsidRPr="008E5634" w:rsidRDefault="00D3641B" w:rsidP="000574FF">
            <w:pPr>
              <w:spacing w:line="480" w:lineRule="auto"/>
              <w:jc w:val="center"/>
              <w:rPr>
                <w:b/>
                <w:bCs/>
                <w:sz w:val="16"/>
                <w:szCs w:val="16"/>
              </w:rPr>
            </w:pPr>
            <w:r>
              <w:rPr>
                <w:b/>
                <w:bCs/>
                <w:sz w:val="16"/>
                <w:szCs w:val="16"/>
              </w:rPr>
              <w:t>-</w:t>
            </w:r>
            <w:r w:rsidRPr="008E5634">
              <w:rPr>
                <w:b/>
                <w:bCs/>
                <w:sz w:val="16"/>
                <w:szCs w:val="16"/>
              </w:rPr>
              <w:t>Δ</w:t>
            </w:r>
            <w:r w:rsidRPr="008E5634">
              <w:rPr>
                <w:b/>
                <w:bCs/>
                <w:i/>
                <w:iCs/>
                <w:sz w:val="16"/>
                <w:szCs w:val="16"/>
              </w:rPr>
              <w:t>G</w:t>
            </w:r>
            <w:r w:rsidRPr="008E5634">
              <w:rPr>
                <w:b/>
                <w:bCs/>
                <w:sz w:val="16"/>
                <w:szCs w:val="16"/>
              </w:rPr>
              <w:t> </w:t>
            </w:r>
          </w:p>
          <w:p w:rsidR="00D3641B" w:rsidRPr="008E5634" w:rsidRDefault="00D3641B" w:rsidP="00DA7437">
            <w:pPr>
              <w:spacing w:line="480" w:lineRule="auto"/>
              <w:jc w:val="center"/>
              <w:rPr>
                <w:b/>
                <w:bCs/>
                <w:sz w:val="16"/>
                <w:szCs w:val="16"/>
              </w:rPr>
            </w:pPr>
            <w:r w:rsidRPr="008E5634">
              <w:rPr>
                <w:b/>
                <w:bCs/>
                <w:sz w:val="16"/>
                <w:szCs w:val="16"/>
              </w:rPr>
              <w:t>(kJ/mol)</w:t>
            </w:r>
          </w:p>
        </w:tc>
        <w:tc>
          <w:tcPr>
            <w:tcW w:w="1763" w:type="dxa"/>
            <w:tcBorders>
              <w:left w:val="nil"/>
              <w:bottom w:val="single" w:sz="4" w:space="0" w:color="auto"/>
              <w:right w:val="nil"/>
            </w:tcBorders>
          </w:tcPr>
          <w:p w:rsidR="00D3641B" w:rsidRDefault="00D3641B" w:rsidP="000574FF">
            <w:pPr>
              <w:spacing w:line="480" w:lineRule="auto"/>
              <w:jc w:val="center"/>
              <w:rPr>
                <w:b/>
                <w:bCs/>
                <w:sz w:val="16"/>
                <w:szCs w:val="16"/>
              </w:rPr>
            </w:pPr>
            <w:r w:rsidRPr="008E5634">
              <w:rPr>
                <w:b/>
                <w:bCs/>
                <w:sz w:val="16"/>
                <w:szCs w:val="16"/>
              </w:rPr>
              <w:t>Stoichiometry</w:t>
            </w:r>
          </w:p>
          <w:p w:rsidR="00D3641B" w:rsidRPr="0050110E" w:rsidRDefault="00D3641B" w:rsidP="000574FF">
            <w:pPr>
              <w:spacing w:line="480" w:lineRule="auto"/>
              <w:jc w:val="center"/>
              <w:rPr>
                <w:b/>
                <w:bCs/>
                <w:i/>
                <w:sz w:val="16"/>
                <w:szCs w:val="16"/>
              </w:rPr>
            </w:pPr>
            <w:r w:rsidRPr="0050110E">
              <w:rPr>
                <w:b/>
                <w:bCs/>
                <w:i/>
                <w:sz w:val="16"/>
                <w:szCs w:val="16"/>
              </w:rPr>
              <w:t>n</w:t>
            </w:r>
          </w:p>
        </w:tc>
      </w:tr>
      <w:tr w:rsidR="00D3641B" w:rsidRPr="008E5634" w:rsidTr="003C2A9A">
        <w:trPr>
          <w:jc w:val="center"/>
        </w:trPr>
        <w:tc>
          <w:tcPr>
            <w:tcW w:w="1526" w:type="dxa"/>
            <w:tcBorders>
              <w:top w:val="single" w:sz="4" w:space="0" w:color="auto"/>
              <w:left w:val="nil"/>
              <w:bottom w:val="nil"/>
              <w:right w:val="nil"/>
            </w:tcBorders>
          </w:tcPr>
          <w:p w:rsidR="00D3641B" w:rsidRPr="00365820" w:rsidRDefault="00D3641B" w:rsidP="000574FF">
            <w:pPr>
              <w:spacing w:line="480" w:lineRule="auto"/>
              <w:jc w:val="center"/>
              <w:rPr>
                <w:bCs/>
                <w:color w:val="000000" w:themeColor="text1"/>
                <w:sz w:val="16"/>
                <w:szCs w:val="16"/>
              </w:rPr>
            </w:pPr>
            <w:r w:rsidRPr="00365820">
              <w:rPr>
                <w:bCs/>
                <w:color w:val="000000" w:themeColor="text1"/>
                <w:sz w:val="16"/>
                <w:szCs w:val="16"/>
              </w:rPr>
              <w:t>10</w:t>
            </w:r>
          </w:p>
        </w:tc>
        <w:tc>
          <w:tcPr>
            <w:tcW w:w="1843" w:type="dxa"/>
            <w:tcBorders>
              <w:top w:val="single" w:sz="4" w:space="0" w:color="auto"/>
              <w:left w:val="nil"/>
              <w:bottom w:val="nil"/>
              <w:right w:val="nil"/>
            </w:tcBorders>
          </w:tcPr>
          <w:p w:rsidR="00D3641B" w:rsidRDefault="00D3641B" w:rsidP="000574FF">
            <w:pPr>
              <w:spacing w:line="480" w:lineRule="auto"/>
              <w:jc w:val="center"/>
              <w:rPr>
                <w:bCs/>
                <w:color w:val="000000" w:themeColor="text1"/>
                <w:sz w:val="16"/>
                <w:szCs w:val="16"/>
              </w:rPr>
            </w:pPr>
            <w:r w:rsidRPr="00365820">
              <w:rPr>
                <w:bCs/>
                <w:color w:val="000000" w:themeColor="text1"/>
                <w:sz w:val="16"/>
                <w:szCs w:val="16"/>
              </w:rPr>
              <w:t>17.6</w:t>
            </w:r>
          </w:p>
          <w:p w:rsidR="00D3641B" w:rsidRPr="00D3641B" w:rsidRDefault="00D3641B" w:rsidP="00BF1CE8">
            <w:pPr>
              <w:spacing w:line="480" w:lineRule="auto"/>
              <w:jc w:val="center"/>
              <w:rPr>
                <w:bCs/>
                <w:i/>
                <w:color w:val="000000" w:themeColor="text1"/>
                <w:sz w:val="16"/>
                <w:szCs w:val="16"/>
              </w:rPr>
            </w:pPr>
            <w:r w:rsidRPr="00D3641B">
              <w:rPr>
                <w:bCs/>
                <w:color w:val="000000" w:themeColor="text1"/>
                <w:sz w:val="16"/>
                <w:szCs w:val="16"/>
              </w:rPr>
              <w:t>(</w:t>
            </w:r>
            <w:r w:rsidRPr="00D3641B">
              <w:rPr>
                <w:bCs/>
                <w:i/>
                <w:color w:val="000000" w:themeColor="text1"/>
                <w:sz w:val="16"/>
                <w:szCs w:val="16"/>
              </w:rPr>
              <w:t>±0.3</w:t>
            </w:r>
            <w:r w:rsidRPr="00D3641B">
              <w:rPr>
                <w:bCs/>
                <w:color w:val="000000" w:themeColor="text1"/>
                <w:sz w:val="16"/>
                <w:szCs w:val="16"/>
              </w:rPr>
              <w:t>)</w:t>
            </w:r>
          </w:p>
        </w:tc>
        <w:tc>
          <w:tcPr>
            <w:tcW w:w="1018" w:type="dxa"/>
            <w:tcBorders>
              <w:top w:val="single" w:sz="4" w:space="0" w:color="auto"/>
              <w:left w:val="nil"/>
              <w:bottom w:val="nil"/>
              <w:right w:val="nil"/>
            </w:tcBorders>
          </w:tcPr>
          <w:p w:rsidR="00D3641B" w:rsidRPr="00365820" w:rsidRDefault="00D3641B" w:rsidP="000574FF">
            <w:pPr>
              <w:spacing w:line="480" w:lineRule="auto"/>
              <w:jc w:val="center"/>
              <w:rPr>
                <w:bCs/>
                <w:iCs/>
                <w:color w:val="000000" w:themeColor="text1"/>
                <w:sz w:val="16"/>
                <w:szCs w:val="16"/>
              </w:rPr>
            </w:pPr>
            <w:r>
              <w:rPr>
                <w:bCs/>
                <w:iCs/>
                <w:color w:val="000000" w:themeColor="text1"/>
                <w:sz w:val="16"/>
                <w:szCs w:val="16"/>
              </w:rPr>
              <w:t>-</w:t>
            </w:r>
            <w:r w:rsidRPr="00365820">
              <w:rPr>
                <w:bCs/>
                <w:iCs/>
                <w:color w:val="000000" w:themeColor="text1"/>
                <w:sz w:val="16"/>
                <w:szCs w:val="16"/>
              </w:rPr>
              <w:t>12.7</w:t>
            </w:r>
          </w:p>
        </w:tc>
        <w:tc>
          <w:tcPr>
            <w:tcW w:w="1323" w:type="dxa"/>
            <w:tcBorders>
              <w:top w:val="single" w:sz="4" w:space="0" w:color="auto"/>
              <w:left w:val="nil"/>
              <w:bottom w:val="nil"/>
              <w:right w:val="nil"/>
            </w:tcBorders>
          </w:tcPr>
          <w:p w:rsidR="00D3641B" w:rsidRDefault="00D3641B" w:rsidP="000574FF">
            <w:pPr>
              <w:spacing w:line="480" w:lineRule="auto"/>
              <w:jc w:val="center"/>
              <w:rPr>
                <w:bCs/>
                <w:color w:val="000000" w:themeColor="text1"/>
                <w:sz w:val="16"/>
                <w:szCs w:val="16"/>
              </w:rPr>
            </w:pPr>
            <w:r w:rsidRPr="00365820">
              <w:rPr>
                <w:bCs/>
                <w:color w:val="000000" w:themeColor="text1"/>
                <w:sz w:val="16"/>
                <w:szCs w:val="16"/>
              </w:rPr>
              <w:t>30.4</w:t>
            </w:r>
          </w:p>
          <w:p w:rsidR="00D3641B" w:rsidRPr="00D3641B" w:rsidRDefault="00D3641B" w:rsidP="000574FF">
            <w:pPr>
              <w:spacing w:line="480" w:lineRule="auto"/>
              <w:jc w:val="center"/>
              <w:rPr>
                <w:bCs/>
                <w:i/>
                <w:color w:val="000000" w:themeColor="text1"/>
                <w:sz w:val="16"/>
                <w:szCs w:val="16"/>
              </w:rPr>
            </w:pPr>
            <w:r w:rsidRPr="00B97C8E">
              <w:rPr>
                <w:bCs/>
                <w:color w:val="000000" w:themeColor="text1"/>
                <w:sz w:val="16"/>
                <w:szCs w:val="16"/>
              </w:rPr>
              <w:t>(</w:t>
            </w:r>
            <w:r w:rsidR="008643BE" w:rsidRPr="00D3641B">
              <w:rPr>
                <w:bCs/>
                <w:i/>
                <w:color w:val="000000" w:themeColor="text1"/>
                <w:sz w:val="16"/>
                <w:szCs w:val="16"/>
              </w:rPr>
              <w:t>±</w:t>
            </w:r>
            <w:r w:rsidRPr="00D3641B">
              <w:rPr>
                <w:bCs/>
                <w:i/>
                <w:color w:val="000000" w:themeColor="text1"/>
                <w:sz w:val="16"/>
                <w:szCs w:val="16"/>
              </w:rPr>
              <w:t>1</w:t>
            </w:r>
            <w:r w:rsidRPr="00B97C8E">
              <w:rPr>
                <w:bCs/>
                <w:color w:val="000000" w:themeColor="text1"/>
                <w:sz w:val="16"/>
                <w:szCs w:val="16"/>
              </w:rPr>
              <w:t>)</w:t>
            </w:r>
          </w:p>
        </w:tc>
        <w:tc>
          <w:tcPr>
            <w:tcW w:w="1763" w:type="dxa"/>
            <w:tcBorders>
              <w:top w:val="single" w:sz="4" w:space="0" w:color="auto"/>
              <w:left w:val="nil"/>
              <w:bottom w:val="nil"/>
              <w:right w:val="nil"/>
            </w:tcBorders>
          </w:tcPr>
          <w:p w:rsidR="00D3641B" w:rsidRDefault="00D3641B" w:rsidP="000574FF">
            <w:pPr>
              <w:spacing w:line="480" w:lineRule="auto"/>
              <w:jc w:val="center"/>
              <w:rPr>
                <w:bCs/>
                <w:color w:val="000000" w:themeColor="text1"/>
                <w:sz w:val="16"/>
                <w:szCs w:val="16"/>
              </w:rPr>
            </w:pPr>
            <w:r w:rsidRPr="00365820">
              <w:rPr>
                <w:bCs/>
                <w:color w:val="000000" w:themeColor="text1"/>
                <w:sz w:val="16"/>
                <w:szCs w:val="16"/>
              </w:rPr>
              <w:t>12</w:t>
            </w:r>
          </w:p>
          <w:p w:rsidR="00D3641B" w:rsidRPr="00D3641B" w:rsidRDefault="00D3641B" w:rsidP="00BF1CE8">
            <w:pPr>
              <w:spacing w:line="480" w:lineRule="auto"/>
              <w:jc w:val="center"/>
              <w:rPr>
                <w:bCs/>
                <w:i/>
                <w:color w:val="000000" w:themeColor="text1"/>
                <w:sz w:val="16"/>
                <w:szCs w:val="16"/>
              </w:rPr>
            </w:pPr>
            <w:r w:rsidRPr="00B97C8E">
              <w:rPr>
                <w:bCs/>
                <w:color w:val="000000" w:themeColor="text1"/>
                <w:sz w:val="16"/>
                <w:szCs w:val="16"/>
              </w:rPr>
              <w:t>(</w:t>
            </w:r>
            <w:r w:rsidR="008643BE" w:rsidRPr="00D3641B">
              <w:rPr>
                <w:bCs/>
                <w:i/>
                <w:color w:val="000000" w:themeColor="text1"/>
                <w:sz w:val="16"/>
                <w:szCs w:val="16"/>
              </w:rPr>
              <w:t>±</w:t>
            </w:r>
            <w:r w:rsidRPr="00D3641B">
              <w:rPr>
                <w:bCs/>
                <w:i/>
                <w:color w:val="000000" w:themeColor="text1"/>
                <w:sz w:val="16"/>
                <w:szCs w:val="16"/>
              </w:rPr>
              <w:t>0.1</w:t>
            </w:r>
            <w:r w:rsidRPr="00B97C8E">
              <w:rPr>
                <w:bCs/>
                <w:color w:val="000000" w:themeColor="text1"/>
                <w:sz w:val="16"/>
                <w:szCs w:val="16"/>
              </w:rPr>
              <w:t>)</w:t>
            </w:r>
          </w:p>
        </w:tc>
      </w:tr>
      <w:tr w:rsidR="00D3641B" w:rsidRPr="008E5634" w:rsidTr="003C2A9A">
        <w:trPr>
          <w:jc w:val="center"/>
        </w:trPr>
        <w:tc>
          <w:tcPr>
            <w:tcW w:w="1526" w:type="dxa"/>
            <w:tcBorders>
              <w:top w:val="nil"/>
              <w:left w:val="nil"/>
              <w:bottom w:val="nil"/>
              <w:right w:val="nil"/>
            </w:tcBorders>
          </w:tcPr>
          <w:p w:rsidR="00D3641B" w:rsidRPr="00365820" w:rsidRDefault="00D3641B" w:rsidP="000574FF">
            <w:pPr>
              <w:spacing w:line="480" w:lineRule="auto"/>
              <w:jc w:val="center"/>
              <w:rPr>
                <w:bCs/>
                <w:color w:val="000000" w:themeColor="text1"/>
                <w:sz w:val="16"/>
                <w:szCs w:val="16"/>
              </w:rPr>
            </w:pPr>
            <w:r w:rsidRPr="00365820">
              <w:rPr>
                <w:bCs/>
                <w:color w:val="000000" w:themeColor="text1"/>
                <w:sz w:val="16"/>
                <w:szCs w:val="16"/>
              </w:rPr>
              <w:t>25</w:t>
            </w:r>
          </w:p>
        </w:tc>
        <w:tc>
          <w:tcPr>
            <w:tcW w:w="1843" w:type="dxa"/>
            <w:tcBorders>
              <w:top w:val="nil"/>
              <w:left w:val="nil"/>
              <w:bottom w:val="nil"/>
              <w:right w:val="nil"/>
            </w:tcBorders>
          </w:tcPr>
          <w:p w:rsidR="00D3641B" w:rsidRDefault="00D3641B" w:rsidP="000574FF">
            <w:pPr>
              <w:spacing w:line="480" w:lineRule="auto"/>
              <w:jc w:val="center"/>
              <w:rPr>
                <w:bCs/>
                <w:color w:val="000000" w:themeColor="text1"/>
                <w:sz w:val="16"/>
                <w:szCs w:val="16"/>
              </w:rPr>
            </w:pPr>
            <w:r w:rsidRPr="00365820">
              <w:rPr>
                <w:bCs/>
                <w:color w:val="000000" w:themeColor="text1"/>
                <w:sz w:val="16"/>
                <w:szCs w:val="16"/>
              </w:rPr>
              <w:t>13.1</w:t>
            </w:r>
          </w:p>
          <w:p w:rsidR="00D3641B" w:rsidRPr="00D3641B" w:rsidRDefault="00D3641B" w:rsidP="00BF1CE8">
            <w:pPr>
              <w:spacing w:line="480" w:lineRule="auto"/>
              <w:jc w:val="center"/>
              <w:rPr>
                <w:bCs/>
                <w:i/>
                <w:color w:val="000000" w:themeColor="text1"/>
                <w:sz w:val="16"/>
                <w:szCs w:val="16"/>
              </w:rPr>
            </w:pPr>
            <w:r w:rsidRPr="00786B06">
              <w:rPr>
                <w:bCs/>
                <w:color w:val="000000" w:themeColor="text1"/>
                <w:sz w:val="16"/>
                <w:szCs w:val="16"/>
              </w:rPr>
              <w:t>(</w:t>
            </w:r>
            <w:r w:rsidR="00786B06" w:rsidRPr="00C64A59">
              <w:rPr>
                <w:bCs/>
                <w:color w:val="000000" w:themeColor="text1"/>
                <w:sz w:val="16"/>
                <w:szCs w:val="16"/>
              </w:rPr>
              <w:t>±</w:t>
            </w:r>
            <w:r>
              <w:rPr>
                <w:bCs/>
                <w:i/>
                <w:color w:val="000000" w:themeColor="text1"/>
                <w:sz w:val="16"/>
                <w:szCs w:val="16"/>
              </w:rPr>
              <w:t>0.</w:t>
            </w:r>
            <w:r w:rsidR="00BF1CE8">
              <w:rPr>
                <w:bCs/>
                <w:i/>
                <w:color w:val="000000" w:themeColor="text1"/>
                <w:sz w:val="16"/>
                <w:szCs w:val="16"/>
              </w:rPr>
              <w:t>8</w:t>
            </w:r>
            <w:r w:rsidRPr="00786B06">
              <w:rPr>
                <w:bCs/>
                <w:color w:val="000000" w:themeColor="text1"/>
                <w:sz w:val="16"/>
                <w:szCs w:val="16"/>
              </w:rPr>
              <w:t>)</w:t>
            </w:r>
          </w:p>
        </w:tc>
        <w:tc>
          <w:tcPr>
            <w:tcW w:w="1018" w:type="dxa"/>
            <w:tcBorders>
              <w:top w:val="nil"/>
              <w:left w:val="nil"/>
              <w:bottom w:val="nil"/>
              <w:right w:val="nil"/>
            </w:tcBorders>
          </w:tcPr>
          <w:p w:rsidR="00D3641B" w:rsidRPr="00365820" w:rsidRDefault="00D3641B" w:rsidP="000574FF">
            <w:pPr>
              <w:spacing w:line="480" w:lineRule="auto"/>
              <w:jc w:val="center"/>
              <w:rPr>
                <w:bCs/>
                <w:iCs/>
                <w:color w:val="000000" w:themeColor="text1"/>
                <w:sz w:val="16"/>
                <w:szCs w:val="16"/>
              </w:rPr>
            </w:pPr>
            <w:r>
              <w:rPr>
                <w:bCs/>
                <w:iCs/>
                <w:color w:val="000000" w:themeColor="text1"/>
                <w:sz w:val="16"/>
                <w:szCs w:val="16"/>
              </w:rPr>
              <w:t>-</w:t>
            </w:r>
            <w:r w:rsidRPr="00365820">
              <w:rPr>
                <w:bCs/>
                <w:iCs/>
                <w:color w:val="000000" w:themeColor="text1"/>
                <w:sz w:val="16"/>
                <w:szCs w:val="16"/>
              </w:rPr>
              <w:t>20.5</w:t>
            </w:r>
          </w:p>
        </w:tc>
        <w:tc>
          <w:tcPr>
            <w:tcW w:w="1323" w:type="dxa"/>
            <w:tcBorders>
              <w:top w:val="nil"/>
              <w:left w:val="nil"/>
              <w:bottom w:val="nil"/>
              <w:right w:val="nil"/>
            </w:tcBorders>
          </w:tcPr>
          <w:p w:rsidR="00D3641B" w:rsidRDefault="00D3641B" w:rsidP="000574FF">
            <w:pPr>
              <w:spacing w:line="480" w:lineRule="auto"/>
              <w:jc w:val="center"/>
              <w:rPr>
                <w:bCs/>
                <w:color w:val="000000" w:themeColor="text1"/>
                <w:sz w:val="16"/>
                <w:szCs w:val="16"/>
              </w:rPr>
            </w:pPr>
            <w:r w:rsidRPr="00365820">
              <w:rPr>
                <w:bCs/>
                <w:color w:val="000000" w:themeColor="text1"/>
                <w:sz w:val="16"/>
                <w:szCs w:val="16"/>
              </w:rPr>
              <w:t>33.6</w:t>
            </w:r>
          </w:p>
          <w:p w:rsidR="00D3641B" w:rsidRPr="00D3641B" w:rsidRDefault="00D3641B" w:rsidP="00BF1CE8">
            <w:pPr>
              <w:spacing w:line="480" w:lineRule="auto"/>
              <w:jc w:val="center"/>
              <w:rPr>
                <w:bCs/>
                <w:i/>
                <w:color w:val="000000" w:themeColor="text1"/>
                <w:sz w:val="16"/>
                <w:szCs w:val="16"/>
              </w:rPr>
            </w:pPr>
            <w:r w:rsidRPr="00B97C8E">
              <w:rPr>
                <w:bCs/>
                <w:color w:val="000000" w:themeColor="text1"/>
                <w:sz w:val="16"/>
                <w:szCs w:val="16"/>
              </w:rPr>
              <w:t>(</w:t>
            </w:r>
            <w:r w:rsidR="008643BE" w:rsidRPr="00D3641B">
              <w:rPr>
                <w:bCs/>
                <w:i/>
                <w:color w:val="000000" w:themeColor="text1"/>
                <w:sz w:val="16"/>
                <w:szCs w:val="16"/>
              </w:rPr>
              <w:t>±</w:t>
            </w:r>
            <w:r w:rsidRPr="00D3641B">
              <w:rPr>
                <w:bCs/>
                <w:i/>
                <w:color w:val="000000" w:themeColor="text1"/>
                <w:sz w:val="16"/>
                <w:szCs w:val="16"/>
              </w:rPr>
              <w:t>1</w:t>
            </w:r>
            <w:r w:rsidRPr="00B97C8E">
              <w:rPr>
                <w:bCs/>
                <w:color w:val="000000" w:themeColor="text1"/>
                <w:sz w:val="16"/>
                <w:szCs w:val="16"/>
              </w:rPr>
              <w:t>)</w:t>
            </w:r>
          </w:p>
        </w:tc>
        <w:tc>
          <w:tcPr>
            <w:tcW w:w="1763" w:type="dxa"/>
            <w:tcBorders>
              <w:top w:val="nil"/>
              <w:left w:val="nil"/>
              <w:bottom w:val="nil"/>
              <w:right w:val="nil"/>
            </w:tcBorders>
          </w:tcPr>
          <w:p w:rsidR="00D3641B" w:rsidRDefault="00D3641B" w:rsidP="000574FF">
            <w:pPr>
              <w:spacing w:line="480" w:lineRule="auto"/>
              <w:jc w:val="center"/>
              <w:rPr>
                <w:bCs/>
                <w:color w:val="000000" w:themeColor="text1"/>
                <w:sz w:val="16"/>
                <w:szCs w:val="16"/>
              </w:rPr>
            </w:pPr>
            <w:r w:rsidRPr="00365820">
              <w:rPr>
                <w:bCs/>
                <w:color w:val="000000" w:themeColor="text1"/>
                <w:sz w:val="16"/>
                <w:szCs w:val="16"/>
              </w:rPr>
              <w:t>9</w:t>
            </w:r>
          </w:p>
          <w:p w:rsidR="00D3641B" w:rsidRPr="00D3641B" w:rsidRDefault="00D3641B" w:rsidP="00BF1CE8">
            <w:pPr>
              <w:spacing w:line="480" w:lineRule="auto"/>
              <w:jc w:val="center"/>
              <w:rPr>
                <w:bCs/>
                <w:i/>
                <w:color w:val="000000" w:themeColor="text1"/>
                <w:sz w:val="16"/>
                <w:szCs w:val="16"/>
              </w:rPr>
            </w:pPr>
            <w:r w:rsidRPr="00B97C8E">
              <w:rPr>
                <w:bCs/>
                <w:color w:val="000000" w:themeColor="text1"/>
                <w:sz w:val="16"/>
                <w:szCs w:val="16"/>
              </w:rPr>
              <w:t>(</w:t>
            </w:r>
            <w:r w:rsidR="008643BE" w:rsidRPr="00D3641B">
              <w:rPr>
                <w:bCs/>
                <w:i/>
                <w:color w:val="000000" w:themeColor="text1"/>
                <w:sz w:val="16"/>
                <w:szCs w:val="16"/>
              </w:rPr>
              <w:t>±</w:t>
            </w:r>
            <w:r w:rsidRPr="00D3641B">
              <w:rPr>
                <w:bCs/>
                <w:i/>
                <w:color w:val="000000" w:themeColor="text1"/>
                <w:sz w:val="16"/>
                <w:szCs w:val="16"/>
              </w:rPr>
              <w:t>0.</w:t>
            </w:r>
            <w:r w:rsidR="00BF1CE8">
              <w:rPr>
                <w:bCs/>
                <w:i/>
                <w:color w:val="000000" w:themeColor="text1"/>
                <w:sz w:val="16"/>
                <w:szCs w:val="16"/>
              </w:rPr>
              <w:t>3</w:t>
            </w:r>
            <w:r w:rsidRPr="00B97C8E">
              <w:rPr>
                <w:bCs/>
                <w:color w:val="000000" w:themeColor="text1"/>
                <w:sz w:val="16"/>
                <w:szCs w:val="16"/>
              </w:rPr>
              <w:t>)</w:t>
            </w:r>
          </w:p>
        </w:tc>
      </w:tr>
      <w:tr w:rsidR="00D3641B" w:rsidRPr="008E5634" w:rsidTr="003C2A9A">
        <w:trPr>
          <w:jc w:val="center"/>
        </w:trPr>
        <w:tc>
          <w:tcPr>
            <w:tcW w:w="1526" w:type="dxa"/>
            <w:tcBorders>
              <w:top w:val="nil"/>
              <w:left w:val="nil"/>
              <w:bottom w:val="single" w:sz="4" w:space="0" w:color="auto"/>
              <w:right w:val="nil"/>
            </w:tcBorders>
          </w:tcPr>
          <w:p w:rsidR="00D3641B" w:rsidRPr="00365820" w:rsidRDefault="00D3641B" w:rsidP="000574FF">
            <w:pPr>
              <w:spacing w:line="480" w:lineRule="auto"/>
              <w:jc w:val="center"/>
              <w:rPr>
                <w:bCs/>
                <w:color w:val="000000" w:themeColor="text1"/>
                <w:sz w:val="16"/>
                <w:szCs w:val="16"/>
              </w:rPr>
            </w:pPr>
            <w:r w:rsidRPr="00365820">
              <w:rPr>
                <w:bCs/>
                <w:color w:val="000000" w:themeColor="text1"/>
                <w:sz w:val="16"/>
                <w:szCs w:val="16"/>
              </w:rPr>
              <w:t>40</w:t>
            </w:r>
          </w:p>
        </w:tc>
        <w:tc>
          <w:tcPr>
            <w:tcW w:w="1843" w:type="dxa"/>
            <w:tcBorders>
              <w:top w:val="nil"/>
              <w:left w:val="nil"/>
              <w:bottom w:val="single" w:sz="4" w:space="0" w:color="auto"/>
              <w:right w:val="nil"/>
            </w:tcBorders>
          </w:tcPr>
          <w:p w:rsidR="00D3641B" w:rsidRDefault="00D3641B" w:rsidP="000574FF">
            <w:pPr>
              <w:spacing w:line="480" w:lineRule="auto"/>
              <w:jc w:val="center"/>
              <w:rPr>
                <w:bCs/>
                <w:color w:val="000000" w:themeColor="text1"/>
                <w:sz w:val="16"/>
                <w:szCs w:val="16"/>
              </w:rPr>
            </w:pPr>
            <w:r>
              <w:rPr>
                <w:bCs/>
                <w:color w:val="000000" w:themeColor="text1"/>
                <w:sz w:val="16"/>
                <w:szCs w:val="16"/>
              </w:rPr>
              <w:t>15.7</w:t>
            </w:r>
          </w:p>
          <w:p w:rsidR="00D3641B" w:rsidRPr="00365820" w:rsidRDefault="00D3641B" w:rsidP="00BF1CE8">
            <w:pPr>
              <w:spacing w:line="480" w:lineRule="auto"/>
              <w:jc w:val="center"/>
              <w:rPr>
                <w:bCs/>
                <w:color w:val="000000" w:themeColor="text1"/>
                <w:sz w:val="16"/>
                <w:szCs w:val="16"/>
              </w:rPr>
            </w:pPr>
            <w:r w:rsidRPr="00786B06">
              <w:rPr>
                <w:bCs/>
                <w:i/>
                <w:color w:val="000000" w:themeColor="text1"/>
                <w:sz w:val="16"/>
                <w:szCs w:val="16"/>
              </w:rPr>
              <w:t>(</w:t>
            </w:r>
            <w:r w:rsidR="00786B06" w:rsidRPr="00C64A59">
              <w:rPr>
                <w:bCs/>
                <w:color w:val="000000" w:themeColor="text1"/>
                <w:sz w:val="16"/>
                <w:szCs w:val="16"/>
              </w:rPr>
              <w:t>±</w:t>
            </w:r>
            <w:r w:rsidR="00BF1CE8">
              <w:rPr>
                <w:bCs/>
                <w:i/>
                <w:color w:val="000000" w:themeColor="text1"/>
                <w:sz w:val="16"/>
                <w:szCs w:val="16"/>
              </w:rPr>
              <w:t>1</w:t>
            </w:r>
            <w:r w:rsidRPr="00786B06">
              <w:rPr>
                <w:bCs/>
                <w:i/>
                <w:color w:val="000000" w:themeColor="text1"/>
                <w:sz w:val="16"/>
                <w:szCs w:val="16"/>
              </w:rPr>
              <w:t>)</w:t>
            </w:r>
          </w:p>
        </w:tc>
        <w:tc>
          <w:tcPr>
            <w:tcW w:w="1018" w:type="dxa"/>
            <w:tcBorders>
              <w:top w:val="nil"/>
              <w:left w:val="nil"/>
              <w:bottom w:val="single" w:sz="4" w:space="0" w:color="auto"/>
              <w:right w:val="nil"/>
            </w:tcBorders>
          </w:tcPr>
          <w:p w:rsidR="00D3641B" w:rsidRDefault="00D3641B" w:rsidP="000574FF">
            <w:pPr>
              <w:spacing w:line="480" w:lineRule="auto"/>
              <w:jc w:val="center"/>
              <w:rPr>
                <w:bCs/>
                <w:iCs/>
                <w:color w:val="000000" w:themeColor="text1"/>
                <w:sz w:val="16"/>
                <w:szCs w:val="16"/>
              </w:rPr>
            </w:pPr>
            <w:r>
              <w:rPr>
                <w:bCs/>
                <w:iCs/>
                <w:color w:val="000000" w:themeColor="text1"/>
                <w:sz w:val="16"/>
                <w:szCs w:val="16"/>
              </w:rPr>
              <w:t>-</w:t>
            </w:r>
            <w:r w:rsidRPr="00365820">
              <w:rPr>
                <w:bCs/>
                <w:iCs/>
                <w:color w:val="000000" w:themeColor="text1"/>
                <w:sz w:val="16"/>
                <w:szCs w:val="16"/>
              </w:rPr>
              <w:t>20.5</w:t>
            </w:r>
          </w:p>
          <w:p w:rsidR="00D3641B" w:rsidRPr="00365820" w:rsidRDefault="00D3641B" w:rsidP="000574FF">
            <w:pPr>
              <w:spacing w:line="480" w:lineRule="auto"/>
              <w:jc w:val="center"/>
              <w:rPr>
                <w:bCs/>
                <w:iCs/>
                <w:color w:val="000000" w:themeColor="text1"/>
                <w:sz w:val="16"/>
                <w:szCs w:val="16"/>
              </w:rPr>
            </w:pPr>
          </w:p>
        </w:tc>
        <w:tc>
          <w:tcPr>
            <w:tcW w:w="1323" w:type="dxa"/>
            <w:tcBorders>
              <w:top w:val="nil"/>
              <w:left w:val="nil"/>
              <w:bottom w:val="single" w:sz="4" w:space="0" w:color="auto"/>
              <w:right w:val="nil"/>
            </w:tcBorders>
          </w:tcPr>
          <w:p w:rsidR="00D3641B" w:rsidRDefault="00D3641B" w:rsidP="000574FF">
            <w:pPr>
              <w:spacing w:line="480" w:lineRule="auto"/>
              <w:jc w:val="center"/>
              <w:rPr>
                <w:bCs/>
                <w:color w:val="000000" w:themeColor="text1"/>
                <w:sz w:val="16"/>
                <w:szCs w:val="16"/>
              </w:rPr>
            </w:pPr>
            <w:r w:rsidRPr="00365820">
              <w:rPr>
                <w:bCs/>
                <w:color w:val="000000" w:themeColor="text1"/>
                <w:sz w:val="16"/>
                <w:szCs w:val="16"/>
              </w:rPr>
              <w:t>36.2</w:t>
            </w:r>
          </w:p>
          <w:p w:rsidR="00D3641B" w:rsidRPr="00D3641B" w:rsidRDefault="00D3641B" w:rsidP="00786B06">
            <w:pPr>
              <w:spacing w:line="480" w:lineRule="auto"/>
              <w:jc w:val="center"/>
              <w:rPr>
                <w:bCs/>
                <w:i/>
                <w:color w:val="000000" w:themeColor="text1"/>
                <w:sz w:val="16"/>
                <w:szCs w:val="16"/>
              </w:rPr>
            </w:pPr>
            <w:r w:rsidRPr="00B97C8E">
              <w:rPr>
                <w:bCs/>
                <w:color w:val="000000" w:themeColor="text1"/>
                <w:sz w:val="16"/>
                <w:szCs w:val="16"/>
              </w:rPr>
              <w:t>(</w:t>
            </w:r>
            <w:r w:rsidR="008643BE" w:rsidRPr="00D3641B">
              <w:rPr>
                <w:bCs/>
                <w:i/>
                <w:color w:val="000000" w:themeColor="text1"/>
                <w:sz w:val="16"/>
                <w:szCs w:val="16"/>
              </w:rPr>
              <w:t>±</w:t>
            </w:r>
            <w:r w:rsidRPr="00D3641B">
              <w:rPr>
                <w:bCs/>
                <w:i/>
                <w:color w:val="000000" w:themeColor="text1"/>
                <w:sz w:val="16"/>
                <w:szCs w:val="16"/>
              </w:rPr>
              <w:t>0.7</w:t>
            </w:r>
            <w:r w:rsidR="00786B06" w:rsidRPr="00B97C8E">
              <w:rPr>
                <w:bCs/>
                <w:color w:val="000000" w:themeColor="text1"/>
                <w:sz w:val="16"/>
                <w:szCs w:val="16"/>
              </w:rPr>
              <w:t>)</w:t>
            </w:r>
          </w:p>
        </w:tc>
        <w:tc>
          <w:tcPr>
            <w:tcW w:w="1763" w:type="dxa"/>
            <w:tcBorders>
              <w:top w:val="nil"/>
              <w:left w:val="nil"/>
              <w:bottom w:val="single" w:sz="4" w:space="0" w:color="auto"/>
              <w:right w:val="nil"/>
            </w:tcBorders>
          </w:tcPr>
          <w:p w:rsidR="00D3641B" w:rsidRDefault="00D3641B" w:rsidP="000574FF">
            <w:pPr>
              <w:spacing w:line="480" w:lineRule="auto"/>
              <w:jc w:val="center"/>
              <w:rPr>
                <w:bCs/>
                <w:color w:val="000000" w:themeColor="text1"/>
                <w:sz w:val="16"/>
                <w:szCs w:val="16"/>
              </w:rPr>
            </w:pPr>
            <w:r w:rsidRPr="00365820">
              <w:rPr>
                <w:bCs/>
                <w:color w:val="000000" w:themeColor="text1"/>
                <w:sz w:val="16"/>
                <w:szCs w:val="16"/>
              </w:rPr>
              <w:t>7</w:t>
            </w:r>
          </w:p>
          <w:p w:rsidR="00D3641B" w:rsidRPr="00365820" w:rsidRDefault="00D3641B" w:rsidP="00BF1CE8">
            <w:pPr>
              <w:spacing w:line="480" w:lineRule="auto"/>
              <w:jc w:val="center"/>
              <w:rPr>
                <w:bCs/>
                <w:color w:val="000000" w:themeColor="text1"/>
                <w:sz w:val="16"/>
                <w:szCs w:val="16"/>
              </w:rPr>
            </w:pPr>
            <w:r w:rsidRPr="00B97C8E">
              <w:rPr>
                <w:bCs/>
                <w:color w:val="000000" w:themeColor="text1"/>
                <w:sz w:val="16"/>
                <w:szCs w:val="16"/>
              </w:rPr>
              <w:t>(</w:t>
            </w:r>
            <w:r w:rsidR="008643BE" w:rsidRPr="00D3641B">
              <w:rPr>
                <w:bCs/>
                <w:i/>
                <w:color w:val="000000" w:themeColor="text1"/>
                <w:sz w:val="16"/>
                <w:szCs w:val="16"/>
              </w:rPr>
              <w:t>±</w:t>
            </w:r>
            <w:r>
              <w:rPr>
                <w:bCs/>
                <w:i/>
                <w:color w:val="000000" w:themeColor="text1"/>
                <w:sz w:val="16"/>
                <w:szCs w:val="16"/>
              </w:rPr>
              <w:t>0.</w:t>
            </w:r>
            <w:r w:rsidR="00BF1CE8">
              <w:rPr>
                <w:bCs/>
                <w:i/>
                <w:color w:val="000000" w:themeColor="text1"/>
                <w:sz w:val="16"/>
                <w:szCs w:val="16"/>
              </w:rPr>
              <w:t>3</w:t>
            </w:r>
            <w:r w:rsidRPr="00B97C8E">
              <w:rPr>
                <w:bCs/>
                <w:i/>
                <w:color w:val="000000" w:themeColor="text1"/>
                <w:sz w:val="16"/>
                <w:szCs w:val="16"/>
              </w:rPr>
              <w:t>)</w:t>
            </w:r>
          </w:p>
        </w:tc>
      </w:tr>
    </w:tbl>
    <w:p w:rsidR="000574FF" w:rsidRDefault="000574FF" w:rsidP="000574FF">
      <w:pPr>
        <w:spacing w:line="480" w:lineRule="auto"/>
        <w:jc w:val="both"/>
        <w:rPr>
          <w:bCs/>
        </w:rPr>
      </w:pPr>
    </w:p>
    <w:p w:rsidR="000574FF" w:rsidRDefault="000574FF" w:rsidP="000574FF">
      <w:pPr>
        <w:spacing w:line="480" w:lineRule="auto"/>
        <w:jc w:val="both"/>
        <w:rPr>
          <w:bCs/>
        </w:rPr>
      </w:pPr>
      <w:r>
        <w:rPr>
          <w:bCs/>
        </w:rPr>
        <w:t xml:space="preserve">There is a decrease in binding stoichiometry from 10 to </w:t>
      </w:r>
      <w:r w:rsidR="008F0F06">
        <w:rPr>
          <w:bCs/>
        </w:rPr>
        <w:t>40</w:t>
      </w:r>
      <w:r>
        <w:rPr>
          <w:bCs/>
        </w:rPr>
        <w:t xml:space="preserve"> </w:t>
      </w:r>
      <w:r w:rsidRPr="00373BB0">
        <w:rPr>
          <w:bCs/>
        </w:rPr>
        <w:t>°C</w:t>
      </w:r>
      <w:r>
        <w:rPr>
          <w:bCs/>
        </w:rPr>
        <w:t xml:space="preserve">. This implies a temperature induced change in the tannic-acid polyproline aggregate conformation leading to conformation where tannin binding becomes less accessible possibly due to steric hindrance. </w:t>
      </w:r>
      <w:r w:rsidR="00BA7E7A">
        <w:rPr>
          <w:bCs/>
        </w:rPr>
        <w:t xml:space="preserve"> </w:t>
      </w:r>
      <w:r w:rsidR="000F11B0">
        <w:rPr>
          <w:bCs/>
        </w:rPr>
        <w:t>It is also possible that the tannin is changing conformation due to the change in temperature. NMR studies have shown that solutions of catechin change conformation from 6 to 40 °C.</w:t>
      </w:r>
      <w:hyperlink w:anchor="_ENREF_222" w:tooltip="Tobiason, 1997 #746" w:history="1">
        <w:r w:rsidR="00512D09">
          <w:rPr>
            <w:bCs/>
          </w:rPr>
          <w:fldChar w:fldCharType="begin"/>
        </w:r>
        <w:r w:rsidR="00512D09">
          <w:rPr>
            <w:bCs/>
          </w:rPr>
          <w:instrText xml:space="preserve"> ADDIN EN.CITE &lt;EndNote&gt;&lt;Cite&gt;&lt;Author&gt;Tobiason&lt;/Author&gt;&lt;Year&gt;1997&lt;/Year&gt;&lt;RecNum&gt;746&lt;/RecNum&gt;&lt;DisplayText&gt;&lt;style face="superscript"&gt;222&lt;/style&gt;&lt;/DisplayText&gt;&lt;record&gt;&lt;rec-number&gt;746&lt;/rec-number&gt;&lt;foreign-keys&gt;&lt;key app="EN" db-id="5trrespwzsdr07efd5tx2w96x22re9s0fsdt"&gt;746&lt;/key&gt;&lt;/foreign-keys&gt;&lt;ref-type name="Journal Article"&gt;17&lt;/ref-type&gt;&lt;contributors&gt;&lt;authors&gt;&lt;author&gt;Tobiason, Fred L.&lt;/author&gt;&lt;author&gt;Kelley, Stephen S.&lt;/author&gt;&lt;author&gt;Midland, M. Mark&lt;/author&gt;&lt;author&gt;Hemingway, Richard W.&lt;/author&gt;&lt;/authors&gt;&lt;/contributors&gt;&lt;titles&gt;&lt;title&gt;Temperature dependence of (+)-catechin pyran ring proton coupling constants as measured by NMR and modeled using GMMX search methodology&lt;/title&gt;&lt;secondary-title&gt;Tetrahedron Letters&lt;/secondary-title&gt;&lt;/titles&gt;&lt;periodical&gt;&lt;full-title&gt;Tetrahedron Letters&lt;/full-title&gt;&lt;/periodical&gt;&lt;pages&gt;985-988&lt;/pages&gt;&lt;volume&gt;38&lt;/volume&gt;&lt;number&gt;6&lt;/number&gt;&lt;dates&gt;&lt;year&gt;1997&lt;/year&gt;&lt;/dates&gt;&lt;isbn&gt;0040-4039&lt;/isbn&gt;&lt;urls&gt;&lt;related-urls&gt;&lt;url&gt;http://www.sciencedirect.com/science/article/pii/S0040403996025051&lt;/url&gt;&lt;/related-urls&gt;&lt;/urls&gt;&lt;electronic-resource-num&gt;http://dx.doi.org/10.1016/S0040-4039(96)02505-1&lt;/electronic-resource-num&gt;&lt;/record&gt;&lt;/Cite&gt;&lt;/EndNote&gt;</w:instrText>
        </w:r>
        <w:r w:rsidR="00512D09">
          <w:rPr>
            <w:bCs/>
          </w:rPr>
          <w:fldChar w:fldCharType="separate"/>
        </w:r>
        <w:r w:rsidR="00512D09" w:rsidRPr="006421D1">
          <w:rPr>
            <w:bCs/>
            <w:noProof/>
            <w:vertAlign w:val="superscript"/>
          </w:rPr>
          <w:t>222</w:t>
        </w:r>
        <w:r w:rsidR="00512D09">
          <w:rPr>
            <w:bCs/>
          </w:rPr>
          <w:fldChar w:fldCharType="end"/>
        </w:r>
      </w:hyperlink>
      <w:r w:rsidR="00B951EB">
        <w:rPr>
          <w:bCs/>
        </w:rPr>
        <w:t xml:space="preserve"> Tannin binding to proline rich peptides becomes more multidentate at lower temperatures</w:t>
      </w:r>
      <w:r w:rsidR="008660A7">
        <w:rPr>
          <w:bCs/>
        </w:rPr>
        <w:t xml:space="preserve"> (</w:t>
      </w:r>
      <w:r w:rsidR="008660A7" w:rsidRPr="00DC02EE">
        <w:rPr>
          <w:bCs/>
          <w:i/>
        </w:rPr>
        <w:t>i.e.</w:t>
      </w:r>
      <w:r w:rsidR="008660A7">
        <w:rPr>
          <w:bCs/>
        </w:rPr>
        <w:t xml:space="preserve"> multiple binding of one polyphenol to one peptide)</w:t>
      </w:r>
      <w:r w:rsidR="00B951EB">
        <w:rPr>
          <w:bCs/>
        </w:rPr>
        <w:t>.</w:t>
      </w:r>
      <w:r w:rsidR="008660A7">
        <w:rPr>
          <w:bCs/>
        </w:rPr>
        <w:t xml:space="preserve"> Conversely, at higher temperatures, different polyphenols bind to the same peptide at the expense of multidentate binding.</w:t>
      </w:r>
      <w:hyperlink w:anchor="_ENREF_148" w:tooltip="Charlton, 2002 #404" w:history="1">
        <w:r w:rsidR="00512D09">
          <w:rPr>
            <w:bCs/>
          </w:rPr>
          <w:fldChar w:fldCharType="begin"/>
        </w:r>
        <w:r w:rsidR="00512D09">
          <w:rPr>
            <w:bCs/>
          </w:rPr>
          <w:instrText xml:space="preserve"> ADDIN EN.CITE &lt;EndNote&gt;&lt;Cite&gt;&lt;Author&gt;Charlton&lt;/Author&gt;&lt;Year&gt;2002&lt;/Year&gt;&lt;RecNum&gt;404&lt;/RecNum&gt;&lt;DisplayText&gt;&lt;style face="superscript"&gt;148&lt;/style&gt;&lt;/DisplayText&gt;&lt;record&gt;&lt;rec-number&gt;404&lt;/rec-number&gt;&lt;foreign-keys&gt;&lt;key app="EN" db-id="5trrespwzsdr07efd5tx2w96x22re9s0fsdt"&gt;404&lt;/key&gt;&lt;/foreign-keys&gt;&lt;ref-type name="Journal Article"&gt;17&lt;/ref-type&gt;&lt;contributors&gt;&lt;authors&gt;&lt;author&gt;Charlton, Adrian J&lt;/author&gt;&lt;author&gt;Baxter, Nicola J&lt;/author&gt;&lt;author&gt;Khan, M Lokman&lt;/author&gt;&lt;author&gt;Moir, Arthur JG&lt;/author&gt;&lt;author&gt;Haslam, Edwin&lt;/author&gt;&lt;author&gt;Davies, Alan P&lt;/author&gt;&lt;author&gt;Williamson, Michael P&lt;/author&gt;&lt;/authors&gt;&lt;/contributors&gt;&lt;titles&gt;&lt;title&gt;Polyphenol/peptide binding and precipitation&lt;/title&gt;&lt;secondary-title&gt;Journal of Agricultural and Food Chemistry&lt;/secondary-title&gt;&lt;/titles&gt;&lt;periodical&gt;&lt;full-title&gt;Journal of Agricultural and Food Chemistry&lt;/full-title&gt;&lt;/periodical&gt;&lt;pages&gt;1593-1601&lt;/pages&gt;&lt;volume&gt;50&lt;/volume&gt;&lt;number&gt;6&lt;/number&gt;&lt;dates&gt;&lt;year&gt;2002&lt;/year&gt;&lt;/dates&gt;&lt;isbn&gt;0021-8561&lt;/isbn&gt;&lt;urls&gt;&lt;/urls&gt;&lt;/record&gt;&lt;/Cite&gt;&lt;/EndNote&gt;</w:instrText>
        </w:r>
        <w:r w:rsidR="00512D09">
          <w:rPr>
            <w:bCs/>
          </w:rPr>
          <w:fldChar w:fldCharType="separate"/>
        </w:r>
        <w:r w:rsidR="00512D09" w:rsidRPr="00991167">
          <w:rPr>
            <w:bCs/>
            <w:noProof/>
            <w:vertAlign w:val="superscript"/>
          </w:rPr>
          <w:t>148</w:t>
        </w:r>
        <w:r w:rsidR="00512D09">
          <w:rPr>
            <w:bCs/>
          </w:rPr>
          <w:fldChar w:fldCharType="end"/>
        </w:r>
      </w:hyperlink>
      <w:r w:rsidR="008660A7">
        <w:rPr>
          <w:bCs/>
        </w:rPr>
        <w:t xml:space="preserve">  </w:t>
      </w:r>
      <w:r w:rsidR="00132E28">
        <w:rPr>
          <w:bCs/>
        </w:rPr>
        <w:t xml:space="preserve">Since it is known that polyphenol-peptide conformation changes with </w:t>
      </w:r>
      <w:r w:rsidR="00CB4EDC">
        <w:rPr>
          <w:bCs/>
        </w:rPr>
        <w:t>temperature,</w:t>
      </w:r>
      <w:r w:rsidR="00132E28">
        <w:rPr>
          <w:bCs/>
        </w:rPr>
        <w:t xml:space="preserve"> as does the conformation of the tannin, i</w:t>
      </w:r>
      <w:r w:rsidR="008F0F06">
        <w:rPr>
          <w:bCs/>
        </w:rPr>
        <w:t xml:space="preserve">t is possible that the drop in binding stoichiometry could be due to an increase in tannic acid flexibility due to the increase in temperature. </w:t>
      </w:r>
      <w:r w:rsidR="00D753A0">
        <w:rPr>
          <w:bCs/>
        </w:rPr>
        <w:t>This also agrees with the increased T</w:t>
      </w:r>
      <w:r w:rsidR="00D753A0" w:rsidRPr="001D171F">
        <w:rPr>
          <w:rFonts w:eastAsiaTheme="minorEastAsia"/>
        </w:rPr>
        <w:t>Δ</w:t>
      </w:r>
      <w:r w:rsidR="00D753A0">
        <w:rPr>
          <w:rFonts w:eastAsiaTheme="minorEastAsia"/>
          <w:i/>
        </w:rPr>
        <w:t xml:space="preserve">S </w:t>
      </w:r>
      <w:r w:rsidR="00D753A0" w:rsidRPr="00D753A0">
        <w:rPr>
          <w:rFonts w:eastAsiaTheme="minorEastAsia"/>
        </w:rPr>
        <w:t>values</w:t>
      </w:r>
      <w:r w:rsidR="00D753A0">
        <w:rPr>
          <w:rFonts w:eastAsiaTheme="minorEastAsia"/>
          <w:i/>
        </w:rPr>
        <w:t xml:space="preserve">. </w:t>
      </w:r>
    </w:p>
    <w:p w:rsidR="000574FF" w:rsidRPr="005E0879" w:rsidRDefault="000574FF" w:rsidP="000574FF">
      <w:pPr>
        <w:spacing w:line="480" w:lineRule="auto"/>
        <w:jc w:val="both"/>
        <w:rPr>
          <w:bCs/>
        </w:rPr>
      </w:pPr>
      <w:r w:rsidRPr="008315FA">
        <w:rPr>
          <w:bCs/>
        </w:rPr>
        <w:lastRenderedPageBreak/>
        <w:t>Kresheck showed that hydrophobic interaction was the major driving force in micelle formation. The fall in critical micelle formation was steepest between 15 to 25 °C and levelled above this temperature</w:t>
      </w:r>
      <w:r>
        <w:rPr>
          <w:bCs/>
        </w:rPr>
        <w:t xml:space="preserve">. </w:t>
      </w:r>
      <w:hyperlink w:anchor="_ENREF_223" w:tooltip="Kresheck, 1998 #462" w:history="1">
        <w:r w:rsidR="00512D09" w:rsidRPr="0020563E">
          <w:rPr>
            <w:bCs/>
          </w:rPr>
          <w:fldChar w:fldCharType="begin"/>
        </w:r>
        <w:r w:rsidR="00512D09">
          <w:rPr>
            <w:bCs/>
          </w:rPr>
          <w:instrText xml:space="preserve"> ADDIN EN.CITE &lt;EndNote&gt;&lt;Cite&gt;&lt;Author&gt;Kresheck&lt;/Author&gt;&lt;Year&gt;1998&lt;/Year&gt;&lt;RecNum&gt;462&lt;/RecNum&gt;&lt;DisplayText&gt;&lt;style face="superscript"&gt;223&lt;/style&gt;&lt;/DisplayText&gt;&lt;record&gt;&lt;rec-number&gt;462&lt;/rec-number&gt;&lt;foreign-keys&gt;&lt;key app="EN" db-id="5trrespwzsdr07efd5tx2w96x22re9s0fsdt"&gt;462&lt;/key&gt;&lt;/foreign-keys&gt;&lt;ref-type name="Journal Article"&gt;17&lt;/ref-type&gt;&lt;contributors&gt;&lt;authors&gt;&lt;author&gt;Kresheck, Gordon C.&lt;/author&gt;&lt;/authors&gt;&lt;/contributors&gt;&lt;titles&gt;&lt;title&gt;&lt;style face="normal" font="default" size="100%"&gt;Comparison of the Calorimetric and van&amp;apos;t Hoff Enthalpy of Micelle Formation for a Nonionic Surfactant in H&lt;/style&gt;&lt;style face="subscript" font="default" size="100%"&gt;2&lt;/style&gt;&lt;style face="normal" font="default" size="100%"&gt;O and D&lt;/style&gt;&lt;style face="subscript" font="default" size="100%"&gt;2&lt;/style&gt;&lt;style face="normal" font="default" size="100%"&gt;O Solutions from 15 to 40 °C&lt;/style&gt;&lt;/title&gt;&lt;secondary-title&gt;The Journal of Physical Chemistry B&lt;/secondary-title&gt;&lt;/titles&gt;&lt;periodical&gt;&lt;full-title&gt;The Journal of Physical Chemistry B&lt;/full-title&gt;&lt;/periodical&gt;&lt;pages&gt;6596-6600&lt;/pages&gt;&lt;volume&gt;102&lt;/volume&gt;&lt;number&gt;34&lt;/number&gt;&lt;dates&gt;&lt;year&gt;1998&lt;/year&gt;&lt;pub-dates&gt;&lt;date&gt;1998/08/01&lt;/date&gt;&lt;/pub-dates&gt;&lt;/dates&gt;&lt;publisher&gt;American Chemical Society&lt;/publisher&gt;&lt;isbn&gt;1520-6106&lt;/isbn&gt;&lt;urls&gt;&lt;related-urls&gt;&lt;url&gt;http://dx.doi.org/10.1021/jp9820469&lt;/url&gt;&lt;/related-urls&gt;&lt;/urls&gt;&lt;electronic-resource-num&gt;10.1021/jp9820469&lt;/electronic-resource-num&gt;&lt;access-date&gt;2014/11/17&lt;/access-date&gt;&lt;/record&gt;&lt;/Cite&gt;&lt;/EndNote&gt;</w:instrText>
        </w:r>
        <w:r w:rsidR="00512D09" w:rsidRPr="0020563E">
          <w:rPr>
            <w:bCs/>
          </w:rPr>
          <w:fldChar w:fldCharType="separate"/>
        </w:r>
        <w:r w:rsidR="00512D09" w:rsidRPr="006421D1">
          <w:rPr>
            <w:bCs/>
            <w:noProof/>
            <w:vertAlign w:val="superscript"/>
          </w:rPr>
          <w:t>223</w:t>
        </w:r>
        <w:r w:rsidR="00512D09" w:rsidRPr="0020563E">
          <w:rPr>
            <w:bCs/>
          </w:rPr>
          <w:fldChar w:fldCharType="end"/>
        </w:r>
      </w:hyperlink>
      <w:r w:rsidRPr="008315FA">
        <w:rPr>
          <w:bCs/>
        </w:rPr>
        <w:t xml:space="preserve">  </w:t>
      </w:r>
      <w:r>
        <w:rPr>
          <w:bCs/>
        </w:rPr>
        <w:t xml:space="preserve">This may explain why the exothermicity does not increase over the entire temperature range. </w:t>
      </w:r>
      <w:r w:rsidR="001D171F" w:rsidRPr="001D171F">
        <w:rPr>
          <w:rFonts w:eastAsiaTheme="minorEastAsia"/>
        </w:rPr>
        <w:t>Δ</w:t>
      </w:r>
      <w:r w:rsidR="001D171F">
        <w:rPr>
          <w:rFonts w:eastAsiaTheme="minorEastAsia"/>
          <w:i/>
        </w:rPr>
        <w:t xml:space="preserve">G </w:t>
      </w:r>
      <w:r>
        <w:rPr>
          <w:bCs/>
        </w:rPr>
        <w:t xml:space="preserve">of hydrophobic interaction is minimal at 10 </w:t>
      </w:r>
      <w:r w:rsidRPr="005E0879">
        <w:rPr>
          <w:bCs/>
        </w:rPr>
        <w:t xml:space="preserve">°C </w:t>
      </w:r>
      <w:r>
        <w:rPr>
          <w:bCs/>
        </w:rPr>
        <w:t xml:space="preserve">but 40 </w:t>
      </w:r>
      <w:r w:rsidRPr="005E0879">
        <w:rPr>
          <w:bCs/>
        </w:rPr>
        <w:t xml:space="preserve">°C </w:t>
      </w:r>
      <w:r>
        <w:rPr>
          <w:bCs/>
        </w:rPr>
        <w:t xml:space="preserve">it is at its maxima. The </w:t>
      </w:r>
      <w:r w:rsidR="00421C4D" w:rsidRPr="00536BC2">
        <w:rPr>
          <w:bCs/>
        </w:rPr>
        <w:t>Δ</w:t>
      </w:r>
      <w:r w:rsidR="00421C4D" w:rsidRPr="00536BC2">
        <w:rPr>
          <w:bCs/>
          <w:i/>
          <w:iCs/>
        </w:rPr>
        <w:t>H</w:t>
      </w:r>
      <w:r>
        <w:rPr>
          <w:bCs/>
        </w:rPr>
        <w:t xml:space="preserve"> for micelle formation also shifts from being endothermic to exothermic over a similar temperature range.  For the interaction presented here, the exothermicity of hydrophobic interaction dominates the observed enthalpy between 25 and 40</w:t>
      </w:r>
      <w:r w:rsidR="006F2757">
        <w:rPr>
          <w:bCs/>
        </w:rPr>
        <w:t xml:space="preserve"> </w:t>
      </w:r>
      <w:r>
        <w:rPr>
          <w:bCs/>
        </w:rPr>
        <w:t xml:space="preserve">°C. </w:t>
      </w:r>
    </w:p>
    <w:p w:rsidR="000574FF" w:rsidRDefault="000574FF" w:rsidP="000574FF">
      <w:pPr>
        <w:spacing w:line="480" w:lineRule="auto"/>
        <w:jc w:val="both"/>
        <w:rPr>
          <w:bCs/>
        </w:rPr>
      </w:pPr>
      <w:r>
        <w:rPr>
          <w:bCs/>
        </w:rPr>
        <w:t xml:space="preserve">Another possibility other than a change in the aggregation state of tannic acid-polyproline complex is a conformational change in the polyproline. CD spectroscopy is an </w:t>
      </w:r>
      <w:r w:rsidRPr="00325C24">
        <w:rPr>
          <w:bCs/>
        </w:rPr>
        <w:t>excellent tool for determination of the secondary structure</w:t>
      </w:r>
      <w:r>
        <w:rPr>
          <w:bCs/>
        </w:rPr>
        <w:t xml:space="preserve"> of proteins and peptides.</w:t>
      </w:r>
      <w:hyperlink w:anchor="_ENREF_224" w:tooltip="Greenfield, 2006 #559" w:history="1">
        <w:r w:rsidR="00512D09">
          <w:rPr>
            <w:bCs/>
          </w:rPr>
          <w:fldChar w:fldCharType="begin"/>
        </w:r>
        <w:r w:rsidR="00512D09">
          <w:rPr>
            <w:bCs/>
          </w:rPr>
          <w:instrText xml:space="preserve"> ADDIN EN.CITE &lt;EndNote&gt;&lt;Cite&gt;&lt;Author&gt;Greenfield&lt;/Author&gt;&lt;Year&gt;2006&lt;/Year&gt;&lt;RecNum&gt;559&lt;/RecNum&gt;&lt;DisplayText&gt;&lt;style face="superscript"&gt;224&lt;/style&gt;&lt;/DisplayText&gt;&lt;record&gt;&lt;rec-number&gt;559&lt;/rec-number&gt;&lt;foreign-keys&gt;&lt;key app="EN" db-id="5trrespwzsdr07efd5tx2w96x22re9s0fsdt"&gt;559&lt;/key&gt;&lt;/foreign-keys&gt;&lt;ref-type name="Journal Article"&gt;17&lt;/ref-type&gt;&lt;contributors&gt;&lt;authors&gt;&lt;author&gt;Greenfield, Norma J.&lt;/author&gt;&lt;/authors&gt;&lt;/contributors&gt;&lt;titles&gt;&lt;title&gt;Using circular dichroism spectra to estimate protein secondary structure&lt;/title&gt;&lt;secondary-title&gt;Nature protocols&lt;/secondary-title&gt;&lt;/titles&gt;&lt;periodical&gt;&lt;full-title&gt;Nature protocols&lt;/full-title&gt;&lt;/periodical&gt;&lt;pages&gt;2876-2890&lt;/pages&gt;&lt;volume&gt;1&lt;/volume&gt;&lt;number&gt;6&lt;/number&gt;&lt;dates&gt;&lt;year&gt;2006&lt;/year&gt;&lt;/dates&gt;&lt;isbn&gt;1754-2189&amp;#xD;1750-2799&lt;/isbn&gt;&lt;accession-num&gt;PMC2728378&lt;/accession-num&gt;&lt;urls&gt;&lt;related-urls&gt;&lt;url&gt;http://www.ncbi.nlm.nih.gov/pmc/articles/PMC2728378/&lt;/url&gt;&lt;/related-urls&gt;&lt;/urls&gt;&lt;electronic-resource-num&gt;10.1038/nprot.2006.202&lt;/electronic-resource-num&gt;&lt;remote-database-name&gt;Pmc&lt;/remote-database-name&gt;&lt;/record&gt;&lt;/Cite&gt;&lt;/EndNote&gt;</w:instrText>
        </w:r>
        <w:r w:rsidR="00512D09">
          <w:rPr>
            <w:bCs/>
          </w:rPr>
          <w:fldChar w:fldCharType="separate"/>
        </w:r>
        <w:r w:rsidR="00512D09" w:rsidRPr="006421D1">
          <w:rPr>
            <w:bCs/>
            <w:noProof/>
            <w:vertAlign w:val="superscript"/>
          </w:rPr>
          <w:t>224</w:t>
        </w:r>
        <w:r w:rsidR="00512D09">
          <w:rPr>
            <w:bCs/>
          </w:rPr>
          <w:fldChar w:fldCharType="end"/>
        </w:r>
      </w:hyperlink>
      <w:r>
        <w:rPr>
          <w:bCs/>
        </w:rPr>
        <w:t xml:space="preserve"> The spectra is indicative of a polyproline II helix rather than the less common polyproline I helix (</w:t>
      </w:r>
      <w:r w:rsidR="0075172E">
        <w:rPr>
          <w:bCs/>
        </w:rPr>
        <w:fldChar w:fldCharType="begin"/>
      </w:r>
      <w:r w:rsidR="00E63899">
        <w:rPr>
          <w:bCs/>
        </w:rPr>
        <w:instrText xml:space="preserve"> REF _Ref442876612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15</w:t>
      </w:r>
      <w:r w:rsidR="0075172E">
        <w:rPr>
          <w:bCs/>
        </w:rPr>
        <w:fldChar w:fldCharType="end"/>
      </w:r>
      <w:r>
        <w:rPr>
          <w:bCs/>
        </w:rPr>
        <w:t xml:space="preserve">). This structure is distinct from the two major structures found in folded globular proteins, the α-helix and the β-pleated sheet and although less common, it is found in a number of folded and unfolded proteins. </w:t>
      </w:r>
      <w:hyperlink w:anchor="_ENREF_198" w:tooltip="Adzhubei, 2013 #560" w:history="1">
        <w:r w:rsidR="00512D09">
          <w:rPr>
            <w:bCs/>
          </w:rPr>
          <w:fldChar w:fldCharType="begin"/>
        </w:r>
        <w:r w:rsidR="00512D09">
          <w:rPr>
            <w:bCs/>
          </w:rPr>
          <w:instrText xml:space="preserve"> ADDIN EN.CITE &lt;EndNote&gt;&lt;Cite&gt;&lt;Author&gt;Adzhubei&lt;/Author&gt;&lt;Year&gt;2013&lt;/Year&gt;&lt;RecNum&gt;560&lt;/RecNum&gt;&lt;DisplayText&gt;&lt;style face="superscript"&gt;198&lt;/style&gt;&lt;/DisplayText&gt;&lt;record&gt;&lt;rec-number&gt;560&lt;/rec-number&gt;&lt;foreign-keys&gt;&lt;key app="EN" db-id="5trrespwzsdr07efd5tx2w96x22re9s0fsdt"&gt;560&lt;/key&gt;&lt;/foreign-keys&gt;&lt;ref-type name="Journal Article"&gt;17&lt;/ref-type&gt;&lt;contributors&gt;&lt;authors&gt;&lt;author&gt;Adzhubei, Alexei A.&lt;/author&gt;&lt;author&gt;Sternberg, Michael J. E.&lt;/author&gt;&lt;author&gt;Makarov, Alexander A.&lt;/author&gt;&lt;/authors&gt;&lt;/contributors&gt;&lt;titles&gt;&lt;title&gt;Polyproline-II Helix in Proteins: Structure and Function&lt;/title&gt;&lt;secondary-title&gt;Journal of Molecular Biology&lt;/secondary-title&gt;&lt;/titles&gt;&lt;periodical&gt;&lt;full-title&gt;Journal of Molecular Biology&lt;/full-title&gt;&lt;/periodical&gt;&lt;pages&gt;2100-2132&lt;/pages&gt;&lt;volume&gt;425&lt;/volume&gt;&lt;number&gt;12&lt;/number&gt;&lt;keywords&gt;&lt;keyword&gt;PPII conformation&lt;/keyword&gt;&lt;keyword&gt;extended left-handed helix&lt;/keyword&gt;&lt;keyword&gt;secondary structure&lt;/keyword&gt;&lt;keyword&gt;protein interactions&lt;/keyword&gt;&lt;keyword&gt;folded and unfolded proteins&lt;/keyword&gt;&lt;/keywords&gt;&lt;dates&gt;&lt;year&gt;2013&lt;/year&gt;&lt;/dates&gt;&lt;isbn&gt;0022-2836&lt;/isbn&gt;&lt;urls&gt;&lt;related-urls&gt;&lt;url&gt;http://www.sciencedirect.com/science/article/pii/S0022283613001666&lt;/url&gt;&lt;/related-urls&gt;&lt;/urls&gt;&lt;electronic-resource-num&gt;http://dx.doi.org/10.1016/j.jmb.2013.03.018&lt;/electronic-resource-num&gt;&lt;/record&gt;&lt;/Cite&gt;&lt;/EndNote&gt;</w:instrText>
        </w:r>
        <w:r w:rsidR="00512D09">
          <w:rPr>
            <w:bCs/>
          </w:rPr>
          <w:fldChar w:fldCharType="separate"/>
        </w:r>
        <w:r w:rsidR="00512D09" w:rsidRPr="006421D1">
          <w:rPr>
            <w:bCs/>
            <w:noProof/>
            <w:vertAlign w:val="superscript"/>
          </w:rPr>
          <w:t>198</w:t>
        </w:r>
        <w:r w:rsidR="00512D09">
          <w:rPr>
            <w:bCs/>
          </w:rPr>
          <w:fldChar w:fldCharType="end"/>
        </w:r>
      </w:hyperlink>
      <w:r>
        <w:rPr>
          <w:bCs/>
        </w:rPr>
        <w:t xml:space="preserve"> </w:t>
      </w:r>
    </w:p>
    <w:p w:rsidR="000574FF" w:rsidRDefault="000574FF" w:rsidP="000574FF">
      <w:pPr>
        <w:spacing w:line="480" w:lineRule="auto"/>
        <w:jc w:val="both"/>
        <w:rPr>
          <w:bCs/>
        </w:rPr>
      </w:pPr>
      <w:r>
        <w:rPr>
          <w:bCs/>
        </w:rPr>
        <w:t>The spectral change seen in the CD spectra from 10 to 40</w:t>
      </w:r>
      <w:r w:rsidR="006F2757">
        <w:rPr>
          <w:bCs/>
        </w:rPr>
        <w:t xml:space="preserve"> </w:t>
      </w:r>
      <w:r>
        <w:rPr>
          <w:bCs/>
        </w:rPr>
        <w:t>°C is not very large, but the bands are more intense at a lower temperature which is keeping with the work done by Tifany and Krim.</w:t>
      </w:r>
      <w:hyperlink w:anchor="_ENREF_225" w:tooltip="Tifany, 1972 #561" w:history="1">
        <w:r w:rsidR="00512D09">
          <w:rPr>
            <w:bCs/>
          </w:rPr>
          <w:fldChar w:fldCharType="begin"/>
        </w:r>
        <w:r w:rsidR="00512D09">
          <w:rPr>
            <w:bCs/>
          </w:rPr>
          <w:instrText xml:space="preserve"> ADDIN EN.CITE &lt;EndNote&gt;&lt;Cite&gt;&lt;Author&gt;Tifany&lt;/Author&gt;&lt;Year&gt;1972&lt;/Year&gt;&lt;RecNum&gt;561&lt;/RecNum&gt;&lt;DisplayText&gt;&lt;style face="superscript"&gt;225&lt;/style&gt;&lt;/DisplayText&gt;&lt;record&gt;&lt;rec-number&gt;561&lt;/rec-number&gt;&lt;foreign-keys&gt;&lt;key app="EN" db-id="5trrespwzsdr07efd5tx2w96x22re9s0fsdt"&gt;561&lt;/key&gt;&lt;/foreign-keys&gt;&lt;ref-type name="Journal Article"&gt;17&lt;/ref-type&gt;&lt;contributors&gt;&lt;authors&gt;&lt;author&gt;Tifany, M Lois&lt;/author&gt;&lt;author&gt;Krimm, Samuel&lt;/author&gt;&lt;/authors&gt;&lt;/contributors&gt;&lt;titles&gt;&lt;title&gt;Effect of temperature on the circular dichroism spectra of polypeptides in the extended state&lt;/title&gt;&lt;secondary-title&gt;Biopolymers&lt;/secondary-title&gt;&lt;/titles&gt;&lt;periodical&gt;&lt;full-title&gt;Biopolymers&lt;/full-title&gt;&lt;/periodical&gt;&lt;pages&gt;2309-2316&lt;/pages&gt;&lt;volume&gt;11&lt;/volume&gt;&lt;number&gt;11&lt;/number&gt;&lt;dates&gt;&lt;year&gt;1972&lt;/year&gt;&lt;/dates&gt;&lt;isbn&gt;1097-0282&lt;/isbn&gt;&lt;urls&gt;&lt;/urls&gt;&lt;/record&gt;&lt;/Cite&gt;&lt;/EndNote&gt;</w:instrText>
        </w:r>
        <w:r w:rsidR="00512D09">
          <w:rPr>
            <w:bCs/>
          </w:rPr>
          <w:fldChar w:fldCharType="separate"/>
        </w:r>
        <w:r w:rsidR="00512D09" w:rsidRPr="006421D1">
          <w:rPr>
            <w:bCs/>
            <w:noProof/>
            <w:vertAlign w:val="superscript"/>
          </w:rPr>
          <w:t>225</w:t>
        </w:r>
        <w:r w:rsidR="00512D09">
          <w:rPr>
            <w:bCs/>
          </w:rPr>
          <w:fldChar w:fldCharType="end"/>
        </w:r>
      </w:hyperlink>
      <w:r>
        <w:rPr>
          <w:bCs/>
        </w:rPr>
        <w:t xml:space="preserve">  In keeping with their hypothesis, it is suggested that the reduction of absorption with increasing temperature is due to “structural loosening” of the macromolecule meaning the buffer does not induce any structural anomalies within the polyproline at the temperature range studied.   </w:t>
      </w:r>
    </w:p>
    <w:p w:rsidR="000574FF" w:rsidRDefault="000574FF" w:rsidP="000574FF">
      <w:pPr>
        <w:keepNext/>
        <w:spacing w:line="480" w:lineRule="auto"/>
        <w:jc w:val="both"/>
      </w:pPr>
      <w:r w:rsidRPr="004F05BF">
        <w:rPr>
          <w:noProof/>
          <w:lang w:eastAsia="en-GB"/>
        </w:rPr>
        <w:lastRenderedPageBreak/>
        <w:drawing>
          <wp:inline distT="0" distB="0" distL="0" distR="0" wp14:anchorId="6444D79F" wp14:editId="4010CE4C">
            <wp:extent cx="5597718" cy="3458817"/>
            <wp:effectExtent l="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574FF" w:rsidRDefault="000574FF" w:rsidP="000574FF">
      <w:pPr>
        <w:pStyle w:val="Caption"/>
        <w:spacing w:line="480" w:lineRule="auto"/>
        <w:jc w:val="center"/>
        <w:rPr>
          <w:bCs w:val="0"/>
        </w:rPr>
      </w:pPr>
      <w:bookmarkStart w:id="106" w:name="_Ref442876612"/>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15</w:t>
      </w:r>
      <w:r w:rsidR="0075172E">
        <w:fldChar w:fldCharType="end"/>
      </w:r>
      <w:bookmarkEnd w:id="106"/>
      <w:r>
        <w:t>: CD spectra of polyproline in 10 mM acetate 10% ethanol pH 4 at 10 (blue), 25 (red) and 40 °C (green).</w:t>
      </w:r>
    </w:p>
    <w:p w:rsidR="000574FF" w:rsidRDefault="000574FF" w:rsidP="000574FF">
      <w:pPr>
        <w:spacing w:line="480" w:lineRule="auto"/>
        <w:jc w:val="both"/>
        <w:rPr>
          <w:bCs/>
        </w:rPr>
      </w:pPr>
      <w:r w:rsidRPr="007C18B8">
        <w:rPr>
          <w:bCs/>
        </w:rPr>
        <w:t xml:space="preserve">Nanoparticle Tracking Analysis (NTA) employs the properties of both light scattering and Brownian motion in order to attain the particle size distribution of samples in solution. The </w:t>
      </w:r>
      <w:r>
        <w:rPr>
          <w:bCs/>
        </w:rPr>
        <w:t>video stills of the</w:t>
      </w:r>
      <w:r w:rsidRPr="007C18B8">
        <w:rPr>
          <w:bCs/>
        </w:rPr>
        <w:t xml:space="preserve"> polyproline-tannic acid solution showed that tannic acid, in line with the literature, precipitated polyproline out of solution at the molar ratios utilised in the ITC study</w:t>
      </w:r>
      <w:r>
        <w:rPr>
          <w:bCs/>
        </w:rPr>
        <w:t xml:space="preserve"> (</w:t>
      </w:r>
      <w:r w:rsidR="0075172E">
        <w:rPr>
          <w:bCs/>
        </w:rPr>
        <w:fldChar w:fldCharType="begin"/>
      </w:r>
      <w:r w:rsidR="001738A8">
        <w:rPr>
          <w:bCs/>
        </w:rPr>
        <w:instrText xml:space="preserve"> REF _Ref442876762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16</w:t>
      </w:r>
      <w:r w:rsidR="0075172E">
        <w:rPr>
          <w:bCs/>
        </w:rPr>
        <w:fldChar w:fldCharType="end"/>
      </w:r>
      <w:r>
        <w:rPr>
          <w:bCs/>
        </w:rPr>
        <w:t xml:space="preserve">). </w:t>
      </w:r>
    </w:p>
    <w:p w:rsidR="001738A8" w:rsidRDefault="000574FF" w:rsidP="000574FF">
      <w:pPr>
        <w:spacing w:line="480" w:lineRule="auto"/>
        <w:jc w:val="both"/>
        <w:rPr>
          <w:bCs/>
        </w:rPr>
      </w:pPr>
      <w:r>
        <w:rPr>
          <w:bCs/>
        </w:rPr>
        <w:t>Performing NTA studies at 25</w:t>
      </w:r>
      <w:r w:rsidR="006F2757">
        <w:rPr>
          <w:bCs/>
        </w:rPr>
        <w:t xml:space="preserve"> </w:t>
      </w:r>
      <w:r>
        <w:rPr>
          <w:bCs/>
        </w:rPr>
        <w:t>and 40</w:t>
      </w:r>
      <w:r w:rsidR="006F2757">
        <w:rPr>
          <w:bCs/>
        </w:rPr>
        <w:t xml:space="preserve"> </w:t>
      </w:r>
      <w:r>
        <w:rPr>
          <w:bCs/>
        </w:rPr>
        <w:t>°C visualised how the concentration of particles changes with temperature</w:t>
      </w:r>
      <w:r w:rsidR="00010095">
        <w:rPr>
          <w:bCs/>
        </w:rPr>
        <w:t xml:space="preserve"> (</w:t>
      </w:r>
      <w:r w:rsidR="0075172E">
        <w:rPr>
          <w:bCs/>
        </w:rPr>
        <w:fldChar w:fldCharType="begin"/>
      </w:r>
      <w:r w:rsidR="00010095">
        <w:rPr>
          <w:bCs/>
        </w:rPr>
        <w:instrText xml:space="preserve"> REF _Ref443310499 \h </w:instrText>
      </w:r>
      <w:r w:rsidR="0075172E">
        <w:rPr>
          <w:bCs/>
        </w:rPr>
      </w:r>
      <w:r w:rsidR="0075172E">
        <w:rPr>
          <w:bCs/>
        </w:rPr>
        <w:fldChar w:fldCharType="separate"/>
      </w:r>
      <w:r w:rsidR="00CB4EDC">
        <w:t xml:space="preserve">Table </w:t>
      </w:r>
      <w:r w:rsidR="00CB4EDC">
        <w:rPr>
          <w:noProof/>
        </w:rPr>
        <w:t>3</w:t>
      </w:r>
      <w:r w:rsidR="00CB4EDC">
        <w:t>.</w:t>
      </w:r>
      <w:r w:rsidR="00CB4EDC">
        <w:rPr>
          <w:noProof/>
        </w:rPr>
        <w:t>3</w:t>
      </w:r>
      <w:r w:rsidR="0075172E">
        <w:rPr>
          <w:bCs/>
        </w:rPr>
        <w:fldChar w:fldCharType="end"/>
      </w:r>
      <w:r w:rsidR="00010095">
        <w:rPr>
          <w:bCs/>
        </w:rPr>
        <w:t>)</w:t>
      </w:r>
      <w:r>
        <w:rPr>
          <w:bCs/>
        </w:rPr>
        <w:t xml:space="preserve">. The concentration of particles within the </w:t>
      </w:r>
      <w:r>
        <w:t>0.375 µM</w:t>
      </w:r>
      <w:r>
        <w:rPr>
          <w:bCs/>
        </w:rPr>
        <w:t xml:space="preserve"> tannic acid solution was 0, whilst the concentration of particles within the </w:t>
      </w:r>
      <w:r>
        <w:t>0.05 µM</w:t>
      </w:r>
      <w:r>
        <w:rPr>
          <w:bCs/>
        </w:rPr>
        <w:t xml:space="preserve"> is negligible.  There is a clear dependence between the concentration of particles and the temperature. It seems that increasing the temperature decreases the aggregate concentration</w:t>
      </w:r>
      <w:r w:rsidR="002C6F70">
        <w:rPr>
          <w:bCs/>
        </w:rPr>
        <w:t xml:space="preserve">. This </w:t>
      </w:r>
      <w:r w:rsidR="00B042B0">
        <w:rPr>
          <w:bCs/>
        </w:rPr>
        <w:t xml:space="preserve">is not surprising given that previous </w:t>
      </w:r>
      <w:r w:rsidR="002C6F70">
        <w:rPr>
          <w:bCs/>
        </w:rPr>
        <w:t xml:space="preserve">DLS studies </w:t>
      </w:r>
      <w:r w:rsidR="00B042B0">
        <w:rPr>
          <w:bCs/>
        </w:rPr>
        <w:t xml:space="preserve">have shown that </w:t>
      </w:r>
      <w:r w:rsidR="002C6F70">
        <w:rPr>
          <w:bCs/>
        </w:rPr>
        <w:t xml:space="preserve"> </w:t>
      </w:r>
      <w:r w:rsidR="002C6F70" w:rsidRPr="002C6F70">
        <w:t>epigallocatechin gallate</w:t>
      </w:r>
      <w:r w:rsidR="002C6F70">
        <w:rPr>
          <w:bCs/>
        </w:rPr>
        <w:t xml:space="preserve">-proline rich </w:t>
      </w:r>
      <w:r w:rsidR="00B042B0">
        <w:rPr>
          <w:bCs/>
        </w:rPr>
        <w:t>peptide particles</w:t>
      </w:r>
      <w:r w:rsidR="002C6F70">
        <w:rPr>
          <w:bCs/>
        </w:rPr>
        <w:t xml:space="preserve"> decrease  with increasing temperature.</w:t>
      </w:r>
      <w:hyperlink w:anchor="_ENREF_148" w:tooltip="Charlton, 2002 #404" w:history="1">
        <w:r w:rsidR="00512D09">
          <w:rPr>
            <w:bCs/>
          </w:rPr>
          <w:fldChar w:fldCharType="begin"/>
        </w:r>
        <w:r w:rsidR="00512D09">
          <w:rPr>
            <w:bCs/>
          </w:rPr>
          <w:instrText xml:space="preserve"> ADDIN EN.CITE &lt;EndNote&gt;&lt;Cite&gt;&lt;Author&gt;Charlton&lt;/Author&gt;&lt;Year&gt;2002&lt;/Year&gt;&lt;RecNum&gt;404&lt;/RecNum&gt;&lt;DisplayText&gt;&lt;style face="superscript"&gt;148&lt;/style&gt;&lt;/DisplayText&gt;&lt;record&gt;&lt;rec-number&gt;404&lt;/rec-number&gt;&lt;foreign-keys&gt;&lt;key app="EN" db-id="5trrespwzsdr07efd5tx2w96x22re9s0fsdt"&gt;404&lt;/key&gt;&lt;/foreign-keys&gt;&lt;ref-type name="Journal Article"&gt;17&lt;/ref-type&gt;&lt;contributors&gt;&lt;authors&gt;&lt;author&gt;Charlton, Adrian J&lt;/author&gt;&lt;author&gt;Baxter, Nicola J&lt;/author&gt;&lt;author&gt;Khan, M Lokman&lt;/author&gt;&lt;author&gt;Moir, Arthur JG&lt;/author&gt;&lt;author&gt;Haslam, Edwin&lt;/author&gt;&lt;author&gt;Davies, Alan P&lt;/author&gt;&lt;author&gt;Williamson, Michael P&lt;/author&gt;&lt;/authors&gt;&lt;/contributors&gt;&lt;titles&gt;&lt;title&gt;Polyphenol/peptide binding and precipitation&lt;/title&gt;&lt;secondary-title&gt;Journal of Agricultural and Food Chemistry&lt;/secondary-title&gt;&lt;/titles&gt;&lt;periodical&gt;&lt;full-title&gt;Journal of Agricultural and Food Chemistry&lt;/full-title&gt;&lt;/periodical&gt;&lt;pages&gt;1593-1601&lt;/pages&gt;&lt;volume&gt;50&lt;/volume&gt;&lt;number&gt;6&lt;/number&gt;&lt;dates&gt;&lt;year&gt;2002&lt;/year&gt;&lt;/dates&gt;&lt;isbn&gt;0021-8561&lt;/isbn&gt;&lt;urls&gt;&lt;/urls&gt;&lt;/record&gt;&lt;/Cite&gt;&lt;/EndNote&gt;</w:instrText>
        </w:r>
        <w:r w:rsidR="00512D09">
          <w:rPr>
            <w:bCs/>
          </w:rPr>
          <w:fldChar w:fldCharType="separate"/>
        </w:r>
        <w:r w:rsidR="00512D09" w:rsidRPr="00991167">
          <w:rPr>
            <w:bCs/>
            <w:noProof/>
            <w:vertAlign w:val="superscript"/>
          </w:rPr>
          <w:t>148</w:t>
        </w:r>
        <w:r w:rsidR="00512D09">
          <w:rPr>
            <w:bCs/>
          </w:rPr>
          <w:fldChar w:fldCharType="end"/>
        </w:r>
      </w:hyperlink>
      <w:r w:rsidR="002C6F70">
        <w:rPr>
          <w:bCs/>
        </w:rPr>
        <w:t xml:space="preserve"> </w:t>
      </w:r>
      <w:r>
        <w:rPr>
          <w:bCs/>
        </w:rPr>
        <w:t>The temperature control on the NTA cannot go down to 10</w:t>
      </w:r>
      <w:r w:rsidR="006F2757">
        <w:rPr>
          <w:bCs/>
        </w:rPr>
        <w:t xml:space="preserve"> </w:t>
      </w:r>
      <w:r>
        <w:rPr>
          <w:bCs/>
        </w:rPr>
        <w:t xml:space="preserve">°C meaning </w:t>
      </w:r>
      <w:r>
        <w:rPr>
          <w:bCs/>
        </w:rPr>
        <w:lastRenderedPageBreak/>
        <w:t>particle concentrations at this temperature could not be gathered.</w:t>
      </w:r>
      <w:r w:rsidR="003C2A9A">
        <w:rPr>
          <w:bCs/>
        </w:rPr>
        <w:t xml:space="preserve"> </w:t>
      </w:r>
      <w:r w:rsidR="005478E0">
        <w:rPr>
          <w:bCs/>
        </w:rPr>
        <w:t xml:space="preserve">The images are not to scale and are purely representative of the videos capturing the light scattering. As such scale bars cannot be used. </w:t>
      </w:r>
    </w:p>
    <w:p w:rsidR="000574FF" w:rsidRDefault="000574FF" w:rsidP="000574FF">
      <w:pPr>
        <w:keepNext/>
        <w:spacing w:line="480" w:lineRule="auto"/>
        <w:jc w:val="center"/>
      </w:pPr>
      <w:r>
        <w:rPr>
          <w:noProof/>
          <w:lang w:eastAsia="en-GB"/>
        </w:rPr>
        <w:drawing>
          <wp:inline distT="0" distB="0" distL="0" distR="0" wp14:anchorId="5FC703C9" wp14:editId="70E92F7A">
            <wp:extent cx="3657600" cy="2596473"/>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657600" cy="2596473"/>
                    </a:xfrm>
                    <a:prstGeom prst="rect">
                      <a:avLst/>
                    </a:prstGeom>
                    <a:noFill/>
                    <a:ln w="9525">
                      <a:noFill/>
                      <a:miter lim="800000"/>
                      <a:headEnd/>
                      <a:tailEnd/>
                    </a:ln>
                  </pic:spPr>
                </pic:pic>
              </a:graphicData>
            </a:graphic>
          </wp:inline>
        </w:drawing>
      </w:r>
    </w:p>
    <w:p w:rsidR="000574FF" w:rsidRPr="00935B0E" w:rsidRDefault="000574FF" w:rsidP="00B95AD7">
      <w:pPr>
        <w:pStyle w:val="Caption"/>
        <w:spacing w:line="480" w:lineRule="auto"/>
        <w:jc w:val="center"/>
      </w:pPr>
      <w:bookmarkStart w:id="107" w:name="_Ref442876762"/>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16</w:t>
      </w:r>
      <w:r w:rsidR="0075172E">
        <w:fldChar w:fldCharType="end"/>
      </w:r>
      <w:bookmarkEnd w:id="107"/>
      <w:r>
        <w:t>: Video stills from the NTA analysis. Top left: 0.375 µM tannic acid in 10 mM sodium acetate buffer with 10% ethanol pH 4 at 25</w:t>
      </w:r>
      <w:r w:rsidR="006F2757">
        <w:t xml:space="preserve"> </w:t>
      </w:r>
      <w:r>
        <w:t>°C. Top right: 0.5 µM polyproline dissolved in the same buffer at 25°C.Bottom left: 0.05 µM polyproline in the presence of 0.675 µM tannic acid in the same buffer at a molar ratio of 13.5 at 25°C. Bottom right: The same 13.5 ratio at 40°C.</w:t>
      </w:r>
    </w:p>
    <w:p w:rsidR="000574FF" w:rsidRDefault="000574FF" w:rsidP="00106280">
      <w:pPr>
        <w:pStyle w:val="Caption"/>
        <w:spacing w:line="480" w:lineRule="auto"/>
      </w:pPr>
      <w:bookmarkStart w:id="108" w:name="_Ref443310499"/>
      <w:r>
        <w:t>Table</w:t>
      </w:r>
      <w:r w:rsidR="00010095">
        <w:t xml:space="preserve"> </w:t>
      </w:r>
      <w:r w:rsidR="0075172E">
        <w:fldChar w:fldCharType="begin"/>
      </w:r>
      <w:r w:rsidR="00AC2227">
        <w:instrText xml:space="preserve"> STYLEREF 1 \s </w:instrText>
      </w:r>
      <w:r w:rsidR="0075172E">
        <w:fldChar w:fldCharType="separate"/>
      </w:r>
      <w:r w:rsidR="00E71593">
        <w:rPr>
          <w:noProof/>
        </w:rPr>
        <w:t>3</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3</w:t>
      </w:r>
      <w:r w:rsidR="0075172E">
        <w:fldChar w:fldCharType="end"/>
      </w:r>
      <w:bookmarkEnd w:id="108"/>
      <w:r>
        <w:t>: Temperature, molar ratio, concentration of particles given as both per frame and per ml for the tannic acid-polyproline interaction in 10 mM sodium acet</w:t>
      </w:r>
      <w:r w:rsidR="00106280">
        <w:t>ate buffer in 10% ethanol pH 4 using the NTA</w:t>
      </w:r>
      <w:r w:rsidR="00484D60">
        <w:t xml:space="preserve"> at 25 and 40 °C. </w:t>
      </w:r>
    </w:p>
    <w:tbl>
      <w:tblPr>
        <w:tblW w:w="0" w:type="auto"/>
        <w:jc w:val="center"/>
        <w:tblLook w:val="04A0" w:firstRow="1" w:lastRow="0" w:firstColumn="1" w:lastColumn="0" w:noHBand="0" w:noVBand="1"/>
      </w:tblPr>
      <w:tblGrid>
        <w:gridCol w:w="1087"/>
        <w:gridCol w:w="970"/>
        <w:gridCol w:w="1940"/>
        <w:gridCol w:w="1940"/>
      </w:tblGrid>
      <w:tr w:rsidR="000574FF" w:rsidRPr="00CA5585" w:rsidTr="00DA7437">
        <w:trPr>
          <w:trHeight w:val="1263"/>
          <w:jc w:val="center"/>
        </w:trPr>
        <w:tc>
          <w:tcPr>
            <w:tcW w:w="0" w:type="auto"/>
            <w:tcBorders>
              <w:top w:val="single" w:sz="4" w:space="0" w:color="auto"/>
              <w:bottom w:val="single" w:sz="4" w:space="0" w:color="auto"/>
            </w:tcBorders>
          </w:tcPr>
          <w:p w:rsidR="000574FF" w:rsidRPr="00CA5585" w:rsidRDefault="000574FF" w:rsidP="000574FF">
            <w:pPr>
              <w:spacing w:line="480" w:lineRule="auto"/>
              <w:jc w:val="center"/>
              <w:rPr>
                <w:b/>
                <w:bCs/>
                <w:sz w:val="16"/>
                <w:szCs w:val="16"/>
              </w:rPr>
            </w:pPr>
            <w:r w:rsidRPr="00CA5585">
              <w:rPr>
                <w:b/>
                <w:bCs/>
                <w:sz w:val="16"/>
                <w:szCs w:val="16"/>
              </w:rPr>
              <w:t>Temperature</w:t>
            </w:r>
          </w:p>
          <w:p w:rsidR="000574FF" w:rsidRPr="00CA5585" w:rsidRDefault="000574FF" w:rsidP="000574FF">
            <w:pPr>
              <w:spacing w:line="480" w:lineRule="auto"/>
              <w:jc w:val="center"/>
              <w:rPr>
                <w:b/>
                <w:bCs/>
                <w:sz w:val="16"/>
                <w:szCs w:val="16"/>
              </w:rPr>
            </w:pPr>
            <w:r w:rsidRPr="00CA5585">
              <w:rPr>
                <w:b/>
                <w:bCs/>
                <w:sz w:val="16"/>
                <w:szCs w:val="16"/>
              </w:rPr>
              <w:t>(°C)</w:t>
            </w:r>
          </w:p>
        </w:tc>
        <w:tc>
          <w:tcPr>
            <w:tcW w:w="0" w:type="auto"/>
            <w:tcBorders>
              <w:top w:val="single" w:sz="4" w:space="0" w:color="auto"/>
              <w:bottom w:val="single" w:sz="4" w:space="0" w:color="auto"/>
            </w:tcBorders>
          </w:tcPr>
          <w:p w:rsidR="000574FF" w:rsidRPr="00CA5585" w:rsidRDefault="000574FF" w:rsidP="000574FF">
            <w:pPr>
              <w:spacing w:line="480" w:lineRule="auto"/>
              <w:jc w:val="center"/>
              <w:rPr>
                <w:b/>
                <w:bCs/>
                <w:sz w:val="16"/>
                <w:szCs w:val="16"/>
              </w:rPr>
            </w:pPr>
            <w:r w:rsidRPr="00CA5585">
              <w:rPr>
                <w:b/>
                <w:bCs/>
                <w:sz w:val="16"/>
                <w:szCs w:val="16"/>
              </w:rPr>
              <w:t>Molar ratio</w:t>
            </w:r>
          </w:p>
        </w:tc>
        <w:tc>
          <w:tcPr>
            <w:tcW w:w="0" w:type="auto"/>
            <w:tcBorders>
              <w:top w:val="single" w:sz="4" w:space="0" w:color="auto"/>
              <w:bottom w:val="single" w:sz="4" w:space="0" w:color="auto"/>
            </w:tcBorders>
          </w:tcPr>
          <w:p w:rsidR="000574FF" w:rsidRPr="00CA5585" w:rsidRDefault="000574FF" w:rsidP="000574FF">
            <w:pPr>
              <w:spacing w:line="480" w:lineRule="auto"/>
              <w:jc w:val="center"/>
              <w:rPr>
                <w:b/>
                <w:bCs/>
                <w:sz w:val="16"/>
                <w:szCs w:val="16"/>
              </w:rPr>
            </w:pPr>
            <w:r w:rsidRPr="00CA5585">
              <w:rPr>
                <w:b/>
                <w:bCs/>
                <w:sz w:val="16"/>
                <w:szCs w:val="16"/>
              </w:rPr>
              <w:t>Concentration of particles</w:t>
            </w:r>
          </w:p>
          <w:p w:rsidR="000574FF" w:rsidRPr="00CA5585" w:rsidRDefault="000574FF" w:rsidP="000574FF">
            <w:pPr>
              <w:spacing w:line="480" w:lineRule="auto"/>
              <w:jc w:val="center"/>
              <w:rPr>
                <w:b/>
                <w:bCs/>
                <w:sz w:val="16"/>
                <w:szCs w:val="16"/>
              </w:rPr>
            </w:pPr>
            <w:r w:rsidRPr="00CA5585">
              <w:rPr>
                <w:b/>
                <w:bCs/>
                <w:sz w:val="16"/>
                <w:szCs w:val="16"/>
              </w:rPr>
              <w:t>(Particles/frame)</w:t>
            </w:r>
          </w:p>
        </w:tc>
        <w:tc>
          <w:tcPr>
            <w:tcW w:w="0" w:type="auto"/>
            <w:tcBorders>
              <w:top w:val="single" w:sz="4" w:space="0" w:color="auto"/>
              <w:bottom w:val="single" w:sz="4" w:space="0" w:color="auto"/>
            </w:tcBorders>
          </w:tcPr>
          <w:p w:rsidR="000574FF" w:rsidRPr="00CA5585" w:rsidRDefault="000574FF" w:rsidP="000574FF">
            <w:pPr>
              <w:spacing w:line="480" w:lineRule="auto"/>
              <w:jc w:val="center"/>
              <w:rPr>
                <w:b/>
                <w:bCs/>
                <w:sz w:val="16"/>
                <w:szCs w:val="16"/>
              </w:rPr>
            </w:pPr>
            <w:r w:rsidRPr="00CA5585">
              <w:rPr>
                <w:b/>
                <w:bCs/>
                <w:sz w:val="16"/>
                <w:szCs w:val="16"/>
              </w:rPr>
              <w:t>Concentration of particles</w:t>
            </w:r>
          </w:p>
          <w:p w:rsidR="000574FF" w:rsidRPr="00CA5585" w:rsidRDefault="000574FF" w:rsidP="00DA7437">
            <w:pPr>
              <w:spacing w:line="480" w:lineRule="auto"/>
              <w:jc w:val="center"/>
              <w:rPr>
                <w:b/>
                <w:bCs/>
                <w:sz w:val="16"/>
                <w:szCs w:val="16"/>
              </w:rPr>
            </w:pPr>
            <w:r w:rsidRPr="00CA5585">
              <w:rPr>
                <w:b/>
                <w:bCs/>
                <w:sz w:val="16"/>
                <w:szCs w:val="16"/>
              </w:rPr>
              <w:t>(particles 10</w:t>
            </w:r>
            <w:r w:rsidRPr="00CA5585">
              <w:rPr>
                <w:b/>
                <w:bCs/>
                <w:sz w:val="16"/>
                <w:szCs w:val="16"/>
                <w:vertAlign w:val="superscript"/>
              </w:rPr>
              <w:t xml:space="preserve">8 </w:t>
            </w:r>
            <w:r w:rsidRPr="00CA5585">
              <w:rPr>
                <w:b/>
                <w:bCs/>
                <w:sz w:val="16"/>
                <w:szCs w:val="16"/>
              </w:rPr>
              <w:t>/ml)</w:t>
            </w:r>
            <w:r w:rsidR="00DA7437" w:rsidRPr="00CA5585">
              <w:rPr>
                <w:b/>
                <w:bCs/>
                <w:sz w:val="16"/>
                <w:szCs w:val="16"/>
              </w:rPr>
              <w:t xml:space="preserve"> </w:t>
            </w:r>
          </w:p>
        </w:tc>
      </w:tr>
      <w:tr w:rsidR="000574FF" w:rsidRPr="00CA5585" w:rsidTr="000574FF">
        <w:trPr>
          <w:jc w:val="center"/>
        </w:trPr>
        <w:tc>
          <w:tcPr>
            <w:tcW w:w="0" w:type="auto"/>
          </w:tcPr>
          <w:p w:rsidR="000574FF" w:rsidRPr="004E4182" w:rsidRDefault="000574FF" w:rsidP="000574FF">
            <w:pPr>
              <w:spacing w:line="480" w:lineRule="auto"/>
              <w:jc w:val="center"/>
              <w:rPr>
                <w:bCs/>
                <w:color w:val="000000" w:themeColor="text1"/>
                <w:sz w:val="16"/>
                <w:szCs w:val="16"/>
              </w:rPr>
            </w:pPr>
            <w:r w:rsidRPr="004E4182">
              <w:rPr>
                <w:bCs/>
                <w:color w:val="000000" w:themeColor="text1"/>
                <w:sz w:val="16"/>
                <w:szCs w:val="16"/>
              </w:rPr>
              <w:t>25</w:t>
            </w:r>
          </w:p>
        </w:tc>
        <w:tc>
          <w:tcPr>
            <w:tcW w:w="0" w:type="auto"/>
          </w:tcPr>
          <w:p w:rsidR="000574FF" w:rsidRPr="004E4182" w:rsidRDefault="000574FF" w:rsidP="000574FF">
            <w:pPr>
              <w:spacing w:line="480" w:lineRule="auto"/>
              <w:jc w:val="center"/>
              <w:rPr>
                <w:bCs/>
                <w:color w:val="000000" w:themeColor="text1"/>
                <w:sz w:val="16"/>
                <w:szCs w:val="16"/>
              </w:rPr>
            </w:pPr>
            <w:r w:rsidRPr="004E4182">
              <w:rPr>
                <w:bCs/>
                <w:color w:val="000000" w:themeColor="text1"/>
                <w:sz w:val="16"/>
                <w:szCs w:val="16"/>
              </w:rPr>
              <w:t>6.75</w:t>
            </w:r>
          </w:p>
        </w:tc>
        <w:tc>
          <w:tcPr>
            <w:tcW w:w="0" w:type="auto"/>
          </w:tcPr>
          <w:p w:rsidR="000574FF" w:rsidRPr="004E4182" w:rsidRDefault="000574FF" w:rsidP="000574FF">
            <w:pPr>
              <w:spacing w:line="480" w:lineRule="auto"/>
              <w:jc w:val="center"/>
              <w:rPr>
                <w:bCs/>
                <w:iCs/>
                <w:color w:val="000000" w:themeColor="text1"/>
                <w:sz w:val="16"/>
                <w:szCs w:val="16"/>
              </w:rPr>
            </w:pPr>
            <w:r w:rsidRPr="004E4182">
              <w:rPr>
                <w:rFonts w:cs="Arial"/>
                <w:sz w:val="16"/>
                <w:szCs w:val="16"/>
              </w:rPr>
              <w:t>24.45</w:t>
            </w:r>
          </w:p>
        </w:tc>
        <w:tc>
          <w:tcPr>
            <w:tcW w:w="0" w:type="auto"/>
          </w:tcPr>
          <w:p w:rsidR="000574FF" w:rsidRPr="004E4182" w:rsidRDefault="000574FF" w:rsidP="000574FF">
            <w:pPr>
              <w:spacing w:line="480" w:lineRule="auto"/>
              <w:jc w:val="center"/>
              <w:rPr>
                <w:rFonts w:cs="Arial"/>
                <w:sz w:val="16"/>
                <w:szCs w:val="16"/>
              </w:rPr>
            </w:pPr>
            <w:r w:rsidRPr="004E4182">
              <w:rPr>
                <w:rFonts w:cs="Arial"/>
                <w:sz w:val="16"/>
                <w:szCs w:val="16"/>
              </w:rPr>
              <w:t>2.86</w:t>
            </w:r>
          </w:p>
        </w:tc>
      </w:tr>
      <w:tr w:rsidR="000574FF" w:rsidRPr="00CA5585" w:rsidTr="000574FF">
        <w:trPr>
          <w:jc w:val="center"/>
        </w:trPr>
        <w:tc>
          <w:tcPr>
            <w:tcW w:w="0" w:type="auto"/>
          </w:tcPr>
          <w:p w:rsidR="000574FF" w:rsidRPr="004E4182" w:rsidRDefault="000574FF" w:rsidP="000574FF">
            <w:pPr>
              <w:spacing w:line="480" w:lineRule="auto"/>
              <w:jc w:val="center"/>
              <w:rPr>
                <w:bCs/>
                <w:color w:val="000000" w:themeColor="text1"/>
                <w:sz w:val="16"/>
                <w:szCs w:val="16"/>
              </w:rPr>
            </w:pPr>
            <w:r w:rsidRPr="004E4182">
              <w:rPr>
                <w:bCs/>
                <w:color w:val="000000" w:themeColor="text1"/>
                <w:sz w:val="16"/>
                <w:szCs w:val="16"/>
              </w:rPr>
              <w:t>40</w:t>
            </w:r>
          </w:p>
        </w:tc>
        <w:tc>
          <w:tcPr>
            <w:tcW w:w="0" w:type="auto"/>
          </w:tcPr>
          <w:p w:rsidR="000574FF" w:rsidRPr="004E4182" w:rsidRDefault="000574FF" w:rsidP="000574FF">
            <w:pPr>
              <w:spacing w:line="480" w:lineRule="auto"/>
              <w:jc w:val="center"/>
              <w:rPr>
                <w:bCs/>
                <w:color w:val="000000" w:themeColor="text1"/>
                <w:sz w:val="16"/>
                <w:szCs w:val="16"/>
              </w:rPr>
            </w:pPr>
            <w:r w:rsidRPr="004E4182">
              <w:rPr>
                <w:bCs/>
                <w:color w:val="000000" w:themeColor="text1"/>
                <w:sz w:val="16"/>
                <w:szCs w:val="16"/>
              </w:rPr>
              <w:t>6.75</w:t>
            </w:r>
          </w:p>
        </w:tc>
        <w:tc>
          <w:tcPr>
            <w:tcW w:w="0" w:type="auto"/>
          </w:tcPr>
          <w:p w:rsidR="000574FF" w:rsidRPr="004E4182" w:rsidRDefault="000574FF" w:rsidP="000574FF">
            <w:pPr>
              <w:spacing w:line="480" w:lineRule="auto"/>
              <w:jc w:val="center"/>
              <w:rPr>
                <w:rFonts w:cs="Arial"/>
                <w:sz w:val="16"/>
                <w:szCs w:val="16"/>
              </w:rPr>
            </w:pPr>
            <w:r w:rsidRPr="004E4182">
              <w:rPr>
                <w:rFonts w:cs="Arial"/>
                <w:sz w:val="16"/>
                <w:szCs w:val="16"/>
              </w:rPr>
              <w:t>16.91</w:t>
            </w:r>
          </w:p>
        </w:tc>
        <w:tc>
          <w:tcPr>
            <w:tcW w:w="0" w:type="auto"/>
          </w:tcPr>
          <w:p w:rsidR="000574FF" w:rsidRPr="004E4182" w:rsidRDefault="000574FF" w:rsidP="000574FF">
            <w:pPr>
              <w:spacing w:line="480" w:lineRule="auto"/>
              <w:jc w:val="center"/>
              <w:rPr>
                <w:rFonts w:cs="Arial"/>
                <w:sz w:val="16"/>
                <w:szCs w:val="16"/>
              </w:rPr>
            </w:pPr>
            <w:r w:rsidRPr="004E4182">
              <w:rPr>
                <w:rFonts w:cs="Arial"/>
                <w:sz w:val="16"/>
                <w:szCs w:val="16"/>
              </w:rPr>
              <w:t>2.02</w:t>
            </w:r>
          </w:p>
        </w:tc>
      </w:tr>
      <w:tr w:rsidR="000574FF" w:rsidRPr="00CA5585" w:rsidTr="000574FF">
        <w:trPr>
          <w:jc w:val="center"/>
        </w:trPr>
        <w:tc>
          <w:tcPr>
            <w:tcW w:w="0" w:type="auto"/>
          </w:tcPr>
          <w:p w:rsidR="000574FF" w:rsidRPr="004E4182" w:rsidRDefault="000574FF" w:rsidP="000574FF">
            <w:pPr>
              <w:spacing w:line="480" w:lineRule="auto"/>
              <w:jc w:val="center"/>
              <w:rPr>
                <w:bCs/>
                <w:color w:val="000000" w:themeColor="text1"/>
                <w:sz w:val="16"/>
                <w:szCs w:val="16"/>
              </w:rPr>
            </w:pPr>
            <w:r w:rsidRPr="004E4182">
              <w:rPr>
                <w:bCs/>
                <w:color w:val="000000" w:themeColor="text1"/>
                <w:sz w:val="16"/>
                <w:szCs w:val="16"/>
              </w:rPr>
              <w:t>25</w:t>
            </w:r>
          </w:p>
        </w:tc>
        <w:tc>
          <w:tcPr>
            <w:tcW w:w="0" w:type="auto"/>
          </w:tcPr>
          <w:p w:rsidR="000574FF" w:rsidRPr="004E4182" w:rsidRDefault="000574FF" w:rsidP="000574FF">
            <w:pPr>
              <w:spacing w:line="480" w:lineRule="auto"/>
              <w:jc w:val="center"/>
              <w:rPr>
                <w:bCs/>
                <w:color w:val="000000" w:themeColor="text1"/>
                <w:sz w:val="16"/>
                <w:szCs w:val="16"/>
              </w:rPr>
            </w:pPr>
            <w:r w:rsidRPr="004E4182">
              <w:rPr>
                <w:bCs/>
                <w:color w:val="000000" w:themeColor="text1"/>
                <w:sz w:val="16"/>
                <w:szCs w:val="16"/>
              </w:rPr>
              <w:t>12</w:t>
            </w:r>
          </w:p>
        </w:tc>
        <w:tc>
          <w:tcPr>
            <w:tcW w:w="0" w:type="auto"/>
          </w:tcPr>
          <w:p w:rsidR="000574FF" w:rsidRPr="004E4182" w:rsidRDefault="000574FF" w:rsidP="000574FF">
            <w:pPr>
              <w:spacing w:line="480" w:lineRule="auto"/>
              <w:jc w:val="center"/>
              <w:rPr>
                <w:bCs/>
                <w:iCs/>
                <w:color w:val="000000" w:themeColor="text1"/>
                <w:sz w:val="16"/>
                <w:szCs w:val="16"/>
              </w:rPr>
            </w:pPr>
            <w:r w:rsidRPr="004E4182">
              <w:rPr>
                <w:bCs/>
                <w:iCs/>
                <w:color w:val="000000" w:themeColor="text1"/>
                <w:sz w:val="16"/>
                <w:szCs w:val="16"/>
              </w:rPr>
              <w:t>58</w:t>
            </w:r>
          </w:p>
        </w:tc>
        <w:tc>
          <w:tcPr>
            <w:tcW w:w="0" w:type="auto"/>
          </w:tcPr>
          <w:p w:rsidR="000574FF" w:rsidRPr="004E4182" w:rsidRDefault="000574FF" w:rsidP="000574FF">
            <w:pPr>
              <w:spacing w:line="480" w:lineRule="auto"/>
              <w:jc w:val="center"/>
              <w:rPr>
                <w:rFonts w:cs="Arial"/>
                <w:sz w:val="16"/>
                <w:szCs w:val="16"/>
              </w:rPr>
            </w:pPr>
            <w:r w:rsidRPr="004E4182">
              <w:rPr>
                <w:rFonts w:cs="Arial"/>
                <w:sz w:val="16"/>
                <w:szCs w:val="16"/>
              </w:rPr>
              <w:t>7.04</w:t>
            </w:r>
          </w:p>
        </w:tc>
      </w:tr>
      <w:tr w:rsidR="000574FF" w:rsidRPr="00CA5585" w:rsidTr="000574FF">
        <w:trPr>
          <w:jc w:val="center"/>
        </w:trPr>
        <w:tc>
          <w:tcPr>
            <w:tcW w:w="0" w:type="auto"/>
            <w:tcBorders>
              <w:bottom w:val="single" w:sz="4" w:space="0" w:color="auto"/>
            </w:tcBorders>
          </w:tcPr>
          <w:p w:rsidR="000574FF" w:rsidRPr="004E4182" w:rsidRDefault="000574FF" w:rsidP="000574FF">
            <w:pPr>
              <w:spacing w:line="480" w:lineRule="auto"/>
              <w:jc w:val="center"/>
              <w:rPr>
                <w:bCs/>
                <w:color w:val="000000" w:themeColor="text1"/>
                <w:sz w:val="16"/>
                <w:szCs w:val="16"/>
              </w:rPr>
            </w:pPr>
            <w:r w:rsidRPr="004E4182">
              <w:rPr>
                <w:bCs/>
                <w:color w:val="000000" w:themeColor="text1"/>
                <w:sz w:val="16"/>
                <w:szCs w:val="16"/>
              </w:rPr>
              <w:t>40</w:t>
            </w:r>
          </w:p>
        </w:tc>
        <w:tc>
          <w:tcPr>
            <w:tcW w:w="0" w:type="auto"/>
            <w:tcBorders>
              <w:bottom w:val="single" w:sz="4" w:space="0" w:color="auto"/>
            </w:tcBorders>
          </w:tcPr>
          <w:p w:rsidR="000574FF" w:rsidRPr="004E4182" w:rsidRDefault="000574FF" w:rsidP="000574FF">
            <w:pPr>
              <w:spacing w:line="480" w:lineRule="auto"/>
              <w:jc w:val="center"/>
              <w:rPr>
                <w:bCs/>
                <w:color w:val="000000" w:themeColor="text1"/>
                <w:sz w:val="16"/>
                <w:szCs w:val="16"/>
              </w:rPr>
            </w:pPr>
            <w:r w:rsidRPr="004E4182">
              <w:rPr>
                <w:bCs/>
                <w:color w:val="000000" w:themeColor="text1"/>
                <w:sz w:val="16"/>
                <w:szCs w:val="16"/>
              </w:rPr>
              <w:t>12</w:t>
            </w:r>
          </w:p>
        </w:tc>
        <w:tc>
          <w:tcPr>
            <w:tcW w:w="0" w:type="auto"/>
            <w:tcBorders>
              <w:bottom w:val="single" w:sz="4" w:space="0" w:color="auto"/>
            </w:tcBorders>
          </w:tcPr>
          <w:p w:rsidR="000574FF" w:rsidRPr="004E4182" w:rsidRDefault="000574FF" w:rsidP="000574FF">
            <w:pPr>
              <w:spacing w:line="480" w:lineRule="auto"/>
              <w:jc w:val="center"/>
              <w:rPr>
                <w:bCs/>
                <w:iCs/>
                <w:color w:val="000000" w:themeColor="text1"/>
                <w:sz w:val="16"/>
                <w:szCs w:val="16"/>
              </w:rPr>
            </w:pPr>
            <w:r w:rsidRPr="004E4182">
              <w:rPr>
                <w:bCs/>
                <w:iCs/>
                <w:color w:val="000000" w:themeColor="text1"/>
                <w:sz w:val="16"/>
                <w:szCs w:val="16"/>
              </w:rPr>
              <w:t>27.2</w:t>
            </w:r>
          </w:p>
        </w:tc>
        <w:tc>
          <w:tcPr>
            <w:tcW w:w="0" w:type="auto"/>
            <w:tcBorders>
              <w:bottom w:val="single" w:sz="4" w:space="0" w:color="auto"/>
            </w:tcBorders>
          </w:tcPr>
          <w:p w:rsidR="000574FF" w:rsidRPr="004E4182" w:rsidRDefault="000574FF" w:rsidP="000574FF">
            <w:pPr>
              <w:spacing w:line="480" w:lineRule="auto"/>
              <w:jc w:val="center"/>
              <w:rPr>
                <w:rFonts w:cs="Arial"/>
                <w:sz w:val="16"/>
                <w:szCs w:val="16"/>
              </w:rPr>
            </w:pPr>
            <w:r w:rsidRPr="004E4182">
              <w:rPr>
                <w:rFonts w:cs="Arial"/>
                <w:sz w:val="16"/>
                <w:szCs w:val="16"/>
              </w:rPr>
              <w:t>3.22</w:t>
            </w:r>
          </w:p>
        </w:tc>
      </w:tr>
    </w:tbl>
    <w:p w:rsidR="00D753A0" w:rsidRPr="00D753A0" w:rsidRDefault="00D753A0" w:rsidP="00D753A0"/>
    <w:p w:rsidR="002D3EFD" w:rsidRPr="002D3EFD" w:rsidRDefault="000574FF" w:rsidP="002D3EFD">
      <w:pPr>
        <w:pStyle w:val="Heading3"/>
        <w:spacing w:line="480" w:lineRule="auto"/>
      </w:pPr>
      <w:bookmarkStart w:id="109" w:name="_Toc459130704"/>
      <w:r w:rsidRPr="00F5005D">
        <w:lastRenderedPageBreak/>
        <w:t>Arguments</w:t>
      </w:r>
      <w:r w:rsidR="00137F62">
        <w:t xml:space="preserve"> </w:t>
      </w:r>
      <w:r w:rsidR="00A65113">
        <w:t>against</w:t>
      </w:r>
      <w:r w:rsidR="00137F62">
        <w:t xml:space="preserve"> Positive C</w:t>
      </w:r>
      <w:r>
        <w:t>ooperativity</w:t>
      </w:r>
      <w:bookmarkEnd w:id="109"/>
    </w:p>
    <w:p w:rsidR="00391AE8" w:rsidRDefault="00391AE8" w:rsidP="000574FF">
      <w:pPr>
        <w:spacing w:line="480" w:lineRule="auto"/>
        <w:jc w:val="both"/>
      </w:pPr>
      <w:r>
        <w:t xml:space="preserve">Many tannin-macromolecule ITC studies have suggested that the </w:t>
      </w:r>
      <w:r w:rsidR="00226E74">
        <w:rPr>
          <w:bCs/>
        </w:rPr>
        <w:t xml:space="preserve">enthalpy </w:t>
      </w:r>
      <w:r w:rsidR="00226E74">
        <w:t>increase</w:t>
      </w:r>
      <w:r>
        <w:t xml:space="preserve"> at low molar ratios is due to positive cooperativity, that the bound tannin is having a favourable effect on the next binding event. </w:t>
      </w:r>
      <w:r w:rsidR="00CA4F1C">
        <w:t>Mechanistically</w:t>
      </w:r>
      <w:r>
        <w:t xml:space="preserve">, this is </w:t>
      </w:r>
      <w:r w:rsidR="00CA4F1C">
        <w:t xml:space="preserve">thought to be </w:t>
      </w:r>
      <w:r>
        <w:t>achieved by the bound tannin binding to other macromolecules in solution, forming multiple tannin-macromolecule crosslinks.</w:t>
      </w:r>
      <w:r w:rsidR="00A83976">
        <w:t xml:space="preserve"> </w:t>
      </w:r>
      <w:hyperlink w:anchor="_ENREF_145" w:tooltip="Prigent, 2009 #450" w:history="1">
        <w:r w:rsidR="00512D09">
          <w:fldChar w:fldCharType="begin">
            <w:fldData xml:space="preserve">PEVuZE5vdGU+PENpdGU+PEF1dGhvcj5QcmlnZW50PC9BdXRob3I+PFllYXI+MjAwOTwvWWVhcj48
UmVjTnVtPjQ1MDwvUmVjTnVtPjxEaXNwbGF5VGV4dD48c3R5bGUgZmFjZT0ic3VwZXJzY3JpcHQi
PjE0NS0xNDc8L3N0eWxlPjwvRGlzcGxheVRleHQ+PHJlY29yZD48cmVjLW51bWJlcj40NTA8L3Jl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dW0+PC9yZWNvcmQ+PC9DaXRlPjxDaXRlPjxBdXRob3I+UGFzY2FsPC9BdXRob3I+PFllYXI+MjAw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</w:fldData>
          </w:fldChar>
        </w:r>
        <w:r w:rsidR="00512D09">
          <w:instrText xml:space="preserve"> ADDIN EN.CITE </w:instrText>
        </w:r>
        <w:r w:rsidR="00512D09">
          <w:fldChar w:fldCharType="begin">
            <w:fldData xml:space="preserve">PEVuZE5vdGU+PENpdGU+PEF1dGhvcj5QcmlnZW50PC9BdXRob3I+PFllYXI+MjAwOTwvWWVhcj48
UmVjTnVtPjQ1MDwvUmVjTnVtPjxEaXNwbGF5VGV4dD48c3R5bGUgZmFjZT0ic3VwZXJzY3JpcHQi
PjE0NS0xNDc8L3N0eWxlPjwvRGlzcGxheVRleHQ+PHJlY29yZD48cmVjLW51bWJlcj40NTA8L3Jl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dW0+PC9yZWNvcmQ+PC9DaXRlPjxDaXRlPjxBdXRob3I+UGFzY2FsPC9BdXRob3I+PFllYXI+MjAw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</w:fldData>
          </w:fldChar>
        </w:r>
        <w:r w:rsidR="00512D09">
          <w:instrText xml:space="preserve"> ADDIN EN.CITE.DATA </w:instrText>
        </w:r>
        <w:r w:rsidR="00512D09">
          <w:fldChar w:fldCharType="end"/>
        </w:r>
        <w:r w:rsidR="00512D09">
          <w:fldChar w:fldCharType="separate"/>
        </w:r>
        <w:r w:rsidR="00512D09" w:rsidRPr="00F80CAD">
          <w:rPr>
            <w:noProof/>
            <w:vertAlign w:val="superscript"/>
          </w:rPr>
          <w:t>145-147</w:t>
        </w:r>
        <w:r w:rsidR="00512D09">
          <w:fldChar w:fldCharType="end"/>
        </w:r>
      </w:hyperlink>
      <w:r w:rsidR="00A83976">
        <w:t xml:space="preserve"> This is referred to as a crosslinking induced cooperativity model. </w:t>
      </w:r>
      <w:r>
        <w:t xml:space="preserve">  </w:t>
      </w:r>
    </w:p>
    <w:p w:rsidR="00033347" w:rsidRDefault="002E0068" w:rsidP="000574FF">
      <w:pPr>
        <w:spacing w:line="480" w:lineRule="auto"/>
        <w:jc w:val="both"/>
        <w:rPr>
          <w:bCs/>
          <w:color w:val="000000" w:themeColor="text1"/>
        </w:rPr>
      </w:pPr>
      <w:r>
        <w:t xml:space="preserve">In terms of the crosslinking induced cooperativity model,  </w:t>
      </w:r>
      <w:r>
        <w:rPr>
          <w:bCs/>
          <w:color w:val="000000" w:themeColor="text1"/>
        </w:rPr>
        <w:t>t</w:t>
      </w:r>
      <w:r w:rsidRPr="002401B8">
        <w:rPr>
          <w:bCs/>
          <w:color w:val="000000" w:themeColor="text1"/>
        </w:rPr>
        <w:t>annic acid is a large polyphenol in comparison to the polyphenols used by other studies measuring protein-tannin crosslinks</w:t>
      </w:r>
      <w:r>
        <w:rPr>
          <w:bCs/>
          <w:color w:val="000000" w:themeColor="text1"/>
        </w:rPr>
        <w:t>.</w:t>
      </w:r>
      <w:hyperlink w:anchor="_ENREF_148" w:tooltip="Charlton, 2002 #404" w:history="1">
        <w:r w:rsidR="00512D09" w:rsidRPr="002401B8">
          <w:rPr>
            <w:bCs/>
            <w:color w:val="000000" w:themeColor="text1"/>
          </w:rPr>
          <w:fldChar w:fldCharType="begin"/>
        </w:r>
        <w:r w:rsidR="00512D09">
          <w:rPr>
            <w:bCs/>
            <w:color w:val="000000" w:themeColor="text1"/>
          </w:rPr>
          <w:instrText xml:space="preserve"> ADDIN EN.CITE &lt;EndNote&gt;&lt;Cite&gt;&lt;Author&gt;Charlton&lt;/Author&gt;&lt;Year&gt;2002&lt;/Year&gt;&lt;RecNum&gt;404&lt;/RecNum&gt;&lt;DisplayText&gt;&lt;style face="superscript"&gt;148&lt;/style&gt;&lt;/DisplayText&gt;&lt;record&gt;&lt;rec-number&gt;404&lt;/rec-number&gt;&lt;foreign-keys&gt;&lt;key app="EN" db-id="5trrespwzsdr07efd5tx2w96x22re9s0fsdt"&gt;404&lt;/key&gt;&lt;/foreign-keys&gt;&lt;ref-type name="Journal Article"&gt;17&lt;/ref-type&gt;&lt;contributors&gt;&lt;authors&gt;&lt;author&gt;Charlton, Adrian J&lt;/author&gt;&lt;author&gt;Baxter, Nicola J&lt;/author&gt;&lt;author&gt;Khan, M Lokman&lt;/author&gt;&lt;author&gt;Moir, Arthur JG&lt;/author&gt;&lt;author&gt;Haslam, Edwin&lt;/author&gt;&lt;author&gt;Davies, Alan P&lt;/author&gt;&lt;author&gt;Williamson, Michael P&lt;/author&gt;&lt;/authors&gt;&lt;/contributors&gt;&lt;titles&gt;&lt;title&gt;Polyphenol/peptide binding and precipitation&lt;/title&gt;&lt;secondary-title&gt;Journal of Agricultural and Food Chemistry&lt;/secondary-title&gt;&lt;/titles&gt;&lt;periodical&gt;&lt;full-title&gt;Journal of Agricultural and Food Chemistry&lt;/full-title&gt;&lt;/periodical&gt;&lt;pages&gt;1593-1601&lt;/pages&gt;&lt;volume&gt;50&lt;/volume&gt;&lt;number&gt;6&lt;/number&gt;&lt;dates&gt;&lt;year&gt;2002&lt;/year&gt;&lt;/dates&gt;&lt;isbn&gt;0021-8561&lt;/isbn&gt;&lt;urls&gt;&lt;/urls&gt;&lt;/record&gt;&lt;/Cite&gt;&lt;/EndNote&gt;</w:instrText>
        </w:r>
        <w:r w:rsidR="00512D09" w:rsidRPr="002401B8">
          <w:rPr>
            <w:bCs/>
            <w:color w:val="000000" w:themeColor="text1"/>
          </w:rPr>
          <w:fldChar w:fldCharType="separate"/>
        </w:r>
        <w:r w:rsidR="00512D09" w:rsidRPr="00991167">
          <w:rPr>
            <w:bCs/>
            <w:noProof/>
            <w:color w:val="000000" w:themeColor="text1"/>
            <w:vertAlign w:val="superscript"/>
          </w:rPr>
          <w:t>148</w:t>
        </w:r>
        <w:r w:rsidR="00512D09" w:rsidRPr="002401B8">
          <w:rPr>
            <w:bCs/>
            <w:color w:val="000000" w:themeColor="text1"/>
          </w:rPr>
          <w:fldChar w:fldCharType="end"/>
        </w:r>
      </w:hyperlink>
      <w:r w:rsidR="00226E74">
        <w:rPr>
          <w:bCs/>
          <w:color w:val="000000" w:themeColor="text1"/>
        </w:rPr>
        <w:t xml:space="preserve"> Consequently,</w:t>
      </w:r>
      <w:r w:rsidRPr="002401B8">
        <w:rPr>
          <w:bCs/>
          <w:color w:val="000000" w:themeColor="text1"/>
        </w:rPr>
        <w:t xml:space="preserve"> tannic acid would st</w:t>
      </w:r>
      <w:r>
        <w:rPr>
          <w:bCs/>
          <w:color w:val="000000" w:themeColor="text1"/>
        </w:rPr>
        <w:t>ill crosslink proteins at 10 °C, but the biphasic binding isotherm is not present. It is possible that crosslinking becomes more favourable at higher temperatures producing the biphasic binding isotherm. The caveat being precipitation studies have shown the size of polyphenol-peptide aggregates decrease with increasing temperature.</w:t>
      </w:r>
      <w:r w:rsidR="008376A0">
        <w:rPr>
          <w:bCs/>
          <w:color w:val="000000" w:themeColor="text1"/>
          <w:vertAlign w:val="superscript"/>
        </w:rPr>
        <w:t>148</w:t>
      </w:r>
      <w:r>
        <w:rPr>
          <w:bCs/>
          <w:color w:val="000000" w:themeColor="text1"/>
        </w:rPr>
        <w:t xml:space="preserve"> </w:t>
      </w:r>
      <w:r w:rsidR="000724D2">
        <w:rPr>
          <w:bCs/>
          <w:color w:val="000000" w:themeColor="text1"/>
        </w:rPr>
        <w:t xml:space="preserve">It must also be stated that a change in the </w:t>
      </w:r>
      <w:r w:rsidR="00D753A0" w:rsidRPr="00536BC2">
        <w:rPr>
          <w:bCs/>
        </w:rPr>
        <w:t>Δ</w:t>
      </w:r>
      <w:r w:rsidR="00D753A0">
        <w:rPr>
          <w:bCs/>
          <w:i/>
          <w:iCs/>
        </w:rPr>
        <w:t>G</w:t>
      </w:r>
      <w:r w:rsidR="00D753A0">
        <w:rPr>
          <w:bCs/>
          <w:color w:val="000000" w:themeColor="text1"/>
        </w:rPr>
        <w:t xml:space="preserve"> </w:t>
      </w:r>
      <w:r w:rsidR="000724D2">
        <w:rPr>
          <w:bCs/>
          <w:color w:val="000000" w:themeColor="text1"/>
        </w:rPr>
        <w:t xml:space="preserve">would be indicative of a change in cooperativity, not the change in </w:t>
      </w:r>
      <w:r w:rsidR="00421C4D" w:rsidRPr="00536BC2">
        <w:rPr>
          <w:bCs/>
        </w:rPr>
        <w:t>Δ</w:t>
      </w:r>
      <w:r w:rsidR="00421C4D" w:rsidRPr="00536BC2">
        <w:rPr>
          <w:bCs/>
          <w:i/>
          <w:iCs/>
        </w:rPr>
        <w:t>H</w:t>
      </w:r>
      <w:r w:rsidR="000724D2">
        <w:rPr>
          <w:bCs/>
          <w:color w:val="000000" w:themeColor="text1"/>
        </w:rPr>
        <w:t xml:space="preserve"> as there could be a counteracting change in the </w:t>
      </w:r>
      <w:r w:rsidR="00D753A0">
        <w:rPr>
          <w:bCs/>
          <w:color w:val="000000" w:themeColor="text1"/>
        </w:rPr>
        <w:t>T</w:t>
      </w:r>
      <w:r w:rsidR="00D753A0" w:rsidRPr="00536BC2">
        <w:rPr>
          <w:bCs/>
        </w:rPr>
        <w:t>Δ</w:t>
      </w:r>
      <w:r w:rsidR="00D753A0">
        <w:rPr>
          <w:bCs/>
          <w:i/>
          <w:iCs/>
        </w:rPr>
        <w:t>S</w:t>
      </w:r>
      <w:r w:rsidR="000724D2">
        <w:rPr>
          <w:bCs/>
          <w:color w:val="000000" w:themeColor="text1"/>
        </w:rPr>
        <w:t xml:space="preserve">. </w:t>
      </w:r>
    </w:p>
    <w:p w:rsidR="00551882" w:rsidRPr="00F961CF" w:rsidRDefault="00A6653D" w:rsidP="00551882">
      <w:pPr>
        <w:spacing w:line="480" w:lineRule="auto"/>
        <w:jc w:val="both"/>
      </w:pPr>
      <w:r>
        <w:t xml:space="preserve">There </w:t>
      </w:r>
      <w:r w:rsidR="000724D2">
        <w:t>is another form</w:t>
      </w:r>
      <w:r>
        <w:t xml:space="preserve"> of polyphenol-protein forms of cooperativity. Charlton </w:t>
      </w:r>
      <w:r w:rsidRPr="00A6653D">
        <w:rPr>
          <w:i/>
        </w:rPr>
        <w:t>et al.</w:t>
      </w:r>
      <w:r>
        <w:t xml:space="preserve"> suggested that peptides exhibiting no secondary structure would be able to “wrap around” tannins. </w:t>
      </w:r>
      <w:r w:rsidR="00F961CF">
        <w:t xml:space="preserve">Longer peptides are more able to </w:t>
      </w:r>
      <w:r w:rsidR="000724D2">
        <w:t>“</w:t>
      </w:r>
      <w:r w:rsidR="00F961CF">
        <w:t>wrap around</w:t>
      </w:r>
      <w:r w:rsidR="000724D2">
        <w:t>”</w:t>
      </w:r>
      <w:r w:rsidR="00F961CF">
        <w:t xml:space="preserve"> tannins than shorter peptides, meaning binding constants become larger with increasing length of the peptide.</w:t>
      </w:r>
      <w:r w:rsidR="0075172E">
        <w:fldChar w:fldCharType="begin">
          <w:fldData xml:space="preserve">PEVuZE5vdGU+PENpdGU+PEF1dGhvcj5DaGFybHRvbjwvQXV0aG9yPjxZZWFyPjE5OTY8L1llYXI+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=
</w:fldData>
        </w:fldChar>
      </w:r>
      <w:r w:rsidR="006421D1">
        <w:instrText xml:space="preserve"> ADDIN EN.CITE </w:instrText>
      </w:r>
      <w:r w:rsidR="0075172E">
        <w:fldChar w:fldCharType="begin">
          <w:fldData xml:space="preserve">PEVuZE5vdGU+PENpdGU+PEF1dGhvcj5DaGFybHRvbjwvQXV0aG9yPjxZZWFyPjE5OTY8L1llYXI+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=
</w:fldData>
        </w:fldChar>
      </w:r>
      <w:r w:rsidR="006421D1">
        <w:instrText xml:space="preserve"> ADDIN EN.CITE.DATA </w:instrText>
      </w:r>
      <w:r w:rsidR="0075172E">
        <w:fldChar w:fldCharType="end"/>
      </w:r>
      <w:r w:rsidR="0075172E">
        <w:fldChar w:fldCharType="separate"/>
      </w:r>
      <w:hyperlink w:anchor="_ENREF_148" w:tooltip="Charlton, 2002 #404" w:history="1">
        <w:r w:rsidR="00512D09" w:rsidRPr="006421D1">
          <w:rPr>
            <w:noProof/>
            <w:vertAlign w:val="superscript"/>
          </w:rPr>
          <w:t>148</w:t>
        </w:r>
      </w:hyperlink>
      <w:r w:rsidR="006421D1" w:rsidRPr="006421D1">
        <w:rPr>
          <w:noProof/>
          <w:vertAlign w:val="superscript"/>
        </w:rPr>
        <w:t>,</w:t>
      </w:r>
      <w:hyperlink w:anchor="_ENREF_200" w:tooltip="Charlton, 1996 #447" w:history="1">
        <w:r w:rsidR="00512D09" w:rsidRPr="006421D1">
          <w:rPr>
            <w:noProof/>
            <w:vertAlign w:val="superscript"/>
          </w:rPr>
          <w:t>200</w:t>
        </w:r>
      </w:hyperlink>
      <w:r w:rsidR="0075172E">
        <w:fldChar w:fldCharType="end"/>
      </w:r>
      <w:r w:rsidR="00F961CF">
        <w:t xml:space="preserve"> </w:t>
      </w:r>
      <w:r w:rsidR="003D58F4">
        <w:t xml:space="preserve"> </w:t>
      </w:r>
      <w:r w:rsidR="00F961CF">
        <w:rPr>
          <w:bCs/>
        </w:rPr>
        <w:t>However</w:t>
      </w:r>
      <w:r w:rsidR="00551882" w:rsidRPr="00AD1BB2">
        <w:rPr>
          <w:bCs/>
        </w:rPr>
        <w:t xml:space="preserve">, </w:t>
      </w:r>
      <w:r w:rsidR="00F961CF">
        <w:rPr>
          <w:bCs/>
        </w:rPr>
        <w:t xml:space="preserve">this form of </w:t>
      </w:r>
      <w:r w:rsidR="00551882" w:rsidRPr="00AD1BB2">
        <w:rPr>
          <w:bCs/>
        </w:rPr>
        <w:t xml:space="preserve">protein-tannin positive cooperativity </w:t>
      </w:r>
      <w:r w:rsidR="00F961CF">
        <w:rPr>
          <w:bCs/>
        </w:rPr>
        <w:t>can</w:t>
      </w:r>
      <w:r w:rsidR="00551882" w:rsidRPr="00AD1BB2">
        <w:rPr>
          <w:bCs/>
        </w:rPr>
        <w:t xml:space="preserve"> only be applied to peptides exhibiting very little secondary structure</w:t>
      </w:r>
      <w:r w:rsidR="00F961CF">
        <w:rPr>
          <w:bCs/>
        </w:rPr>
        <w:t xml:space="preserve">, as a peptide with </w:t>
      </w:r>
      <w:r w:rsidR="000724D2">
        <w:rPr>
          <w:bCs/>
        </w:rPr>
        <w:t xml:space="preserve">a secondary structure would not be able to </w:t>
      </w:r>
      <w:r w:rsidR="000724D2">
        <w:t xml:space="preserve">“wrap around” </w:t>
      </w:r>
      <w:r w:rsidR="000724D2">
        <w:rPr>
          <w:bCs/>
        </w:rPr>
        <w:t>a tannin.</w:t>
      </w:r>
      <w:hyperlink w:anchor="_ENREF_200" w:tooltip="Charlton, 1996 #447" w:history="1">
        <w:r w:rsidR="00512D09" w:rsidRPr="00AD1BB2">
          <w:rPr>
            <w:bCs/>
          </w:rPr>
          <w:fldChar w:fldCharType="begin"/>
        </w:r>
        <w:r w:rsidR="00512D09">
          <w:rPr>
            <w:bCs/>
          </w:rPr>
          <w:instrText xml:space="preserve"> ADDIN EN.CITE &lt;EndNote&gt;&lt;Cite&gt;&lt;Author&gt;Charlton&lt;/Author&gt;&lt;Year&gt;1996&lt;/Year&gt;&lt;RecNum&gt;447&lt;/RecNum&gt;&lt;DisplayText&gt;&lt;style face="superscript"&gt;200&lt;/style&gt;&lt;/DisplayText&gt;&lt;record&gt;&lt;rec-number&gt;447&lt;/rec-number&gt;&lt;foreign-keys&gt;&lt;key app="EN" db-id="5trrespwzsdr07efd5tx2w96x22re9s0fsdt"&gt;447&lt;/key&gt;&lt;/foreign-keys&gt;&lt;ref-type name="Journal Article"&gt;17&lt;/ref-type&gt;&lt;contributors&gt;&lt;authors&gt;&lt;author&gt;Charlton, Adrian J.&lt;/author&gt;&lt;author&gt;Baxter, Nicola J.&lt;/author&gt;&lt;author&gt;Lilley, Terence H.&lt;/author&gt;&lt;author&gt;Haslam, Edwin&lt;/author&gt;&lt;author&gt;McDonald, Charles J.&lt;/author&gt;&lt;author&gt;Williamson, Michael P.&lt;/author&gt;&lt;/authors&gt;&lt;/contributors&gt;&lt;titles&gt;&lt;title&gt;Tannin interactions with a full-length human salivary proline-rich protein display a stronger affinity than with single proline-rich repeats&lt;/title&gt;&lt;secondary-title&gt;FEBS Letters&lt;/secondary-title&gt;&lt;/titles&gt;&lt;periodical&gt;&lt;full-title&gt;FEBS Letters&lt;/full-title&gt;&lt;/periodical&gt;&lt;pages&gt;289-292&lt;/pages&gt;&lt;volume&gt;382&lt;/volume&gt;&lt;number&gt;3&lt;/number&gt;&lt;keywords&gt;&lt;keyword&gt;1H-NMR&lt;/keyword&gt;&lt;keyword&gt;Tannin&lt;/keyword&gt;&lt;keyword&gt;Salivary proline-rich protein&lt;/keyword&gt;&lt;keyword&gt;Intramolecular binding&lt;/keyword&gt;&lt;keyword&gt;Hydrophobic interaction&lt;/keyword&gt;&lt;/keywords&gt;&lt;dates&gt;&lt;year&gt;1996&lt;/year&gt;&lt;/dates&gt;&lt;isbn&gt;0014-5793&lt;/isbn&gt;&lt;urls&gt;&lt;related-urls&gt;&lt;url&gt;http://www.sciencedirect.com/science/article/pii/001457939600186X&lt;/url&gt;&lt;/related-urls&gt;&lt;/urls&gt;&lt;electronic-resource-num&gt;http://dx.doi.org/10.1016/0014-5793(96)00186-X&lt;/electronic-resource-num&gt;&lt;/record&gt;&lt;/Cite&gt;&lt;/EndNote&gt;</w:instrText>
        </w:r>
        <w:r w:rsidR="00512D09" w:rsidRPr="00AD1BB2">
          <w:rPr>
            <w:bCs/>
          </w:rPr>
          <w:fldChar w:fldCharType="separate"/>
        </w:r>
        <w:r w:rsidR="00512D09" w:rsidRPr="006421D1">
          <w:rPr>
            <w:bCs/>
            <w:noProof/>
            <w:vertAlign w:val="superscript"/>
          </w:rPr>
          <w:t>200</w:t>
        </w:r>
        <w:r w:rsidR="00512D09" w:rsidRPr="00AD1BB2">
          <w:rPr>
            <w:bCs/>
          </w:rPr>
          <w:fldChar w:fldCharType="end"/>
        </w:r>
      </w:hyperlink>
      <w:r w:rsidR="00551882" w:rsidRPr="00AD1BB2">
        <w:rPr>
          <w:bCs/>
        </w:rPr>
        <w:t xml:space="preserve"> Proteins such as BSA exhibit f</w:t>
      </w:r>
      <w:r w:rsidR="00551882">
        <w:rPr>
          <w:bCs/>
        </w:rPr>
        <w:t xml:space="preserve">airly rigid tertiary structure meaning it is unlikely that BSA would be able to “wrap around” tannins.  </w:t>
      </w:r>
      <w:r w:rsidR="00551882" w:rsidRPr="00AD1BB2">
        <w:rPr>
          <w:bCs/>
        </w:rPr>
        <w:t xml:space="preserve"> </w:t>
      </w:r>
    </w:p>
    <w:p w:rsidR="000574FF" w:rsidRDefault="000724D2" w:rsidP="000574FF">
      <w:pPr>
        <w:spacing w:line="480" w:lineRule="auto"/>
        <w:jc w:val="both"/>
        <w:rPr>
          <w:bCs/>
        </w:rPr>
      </w:pPr>
      <w:r>
        <w:rPr>
          <w:bCs/>
        </w:rPr>
        <w:lastRenderedPageBreak/>
        <w:t>It is important to remember that t</w:t>
      </w:r>
      <w:r w:rsidR="000574FF" w:rsidRPr="00AD1BB2">
        <w:rPr>
          <w:bCs/>
        </w:rPr>
        <w:t xml:space="preserve">annins are </w:t>
      </w:r>
      <w:r w:rsidR="000574FF">
        <w:rPr>
          <w:bCs/>
        </w:rPr>
        <w:t>thought</w:t>
      </w:r>
      <w:r w:rsidR="000574FF" w:rsidRPr="00AD1BB2">
        <w:rPr>
          <w:bCs/>
        </w:rPr>
        <w:t xml:space="preserve"> to cause conformational changes in unfolded proteins, inducing a more folded state upon binding</w:t>
      </w:r>
      <w:r w:rsidR="000574FF">
        <w:rPr>
          <w:bCs/>
        </w:rPr>
        <w:t>.</w:t>
      </w:r>
      <w:r w:rsidR="000574FF" w:rsidRPr="00AD1BB2">
        <w:rPr>
          <w:bCs/>
        </w:rPr>
        <w:t xml:space="preserve"> </w:t>
      </w:r>
      <w:hyperlink w:anchor="_ENREF_147" w:tooltip="Pascal, 2007 #411" w:history="1">
        <w:r w:rsidR="00512D09" w:rsidRPr="00AD1BB2">
          <w:rPr>
            <w:bCs/>
          </w:rPr>
          <w:fldChar w:fldCharType="begin"/>
        </w:r>
        <w:r w:rsidR="00512D09">
          <w:rPr>
            <w:bCs/>
          </w:rPr>
          <w:instrText xml:space="preserve"> ADDIN EN.CITE &lt;EndNote&gt;&lt;Cite&gt;&lt;Author&gt;Pascal&lt;/Author&gt;&lt;Year&gt;2007&lt;/Year&gt;&lt;RecNum&gt;411&lt;/RecNum&gt;&lt;DisplayText&gt;&lt;style face="superscript"&gt;147&lt;/style&gt;&lt;/DisplayText&gt;&lt;record&gt;&lt;rec-number&gt;411&lt;/rec-number&gt;&lt;foreign-keys&gt;&lt;key app="EN" db-id="5trrespwzsdr07efd5tx2w96x22re9s0fsdt"&gt;411&lt;/key&gt;&lt;/foreign-keys&gt;&lt;ref-type name="Journal Article"&gt;17&lt;/ref-type&gt;&lt;contributors&gt;&lt;authors&gt;&lt;author&gt;Pascal, Christine&lt;/author&gt;&lt;author&gt;Poncet-Legrand, Céline&lt;/author&gt;&lt;author&gt;Imberty, Anne&lt;/author&gt;&lt;author&gt;Gautier, Catherine&lt;/author&gt;&lt;author&gt;Sarni-Manchado, Pascale&lt;/author&gt;&lt;author&gt;Cheynier, Véronique&lt;/author&gt;&lt;author&gt;Vernhet, Aude&lt;/author&gt;&lt;/authors&gt;&lt;/contributors&gt;&lt;titles&gt;&lt;title&gt;Interactions between a Non Glycosylated Human Proline-Rich Protein and Flavan-3-ols Are Affected by Protein Concentration and Polyphenol/Protein Ratio&lt;/title&gt;&lt;secondary-title&gt;Journal of Agricultural and Food Chemistry&lt;/secondary-title&gt;&lt;/titles&gt;&lt;periodical&gt;&lt;full-title&gt;Journal of Agricultural and Food Chemistry&lt;/full-title&gt;&lt;/periodical&gt;&lt;pages&gt;4895-4901&lt;/pages&gt;&lt;volume&gt;55&lt;/volume&gt;&lt;number&gt;12&lt;/number&gt;&lt;dates&gt;&lt;year&gt;2007&lt;/year&gt;&lt;pub-dates&gt;&lt;date&gt;2007/06/01&lt;/date&gt;&lt;/pub-dates&gt;&lt;/dates&gt;&lt;publisher&gt;American Chemical Society&lt;/publisher&gt;&lt;isbn&gt;0021-8561&lt;/isbn&gt;&lt;urls&gt;&lt;related-urls&gt;&lt;url&gt;http://dx.doi.org/10.1021/jf0704108&lt;/url&gt;&lt;/related-urls&gt;&lt;/urls&gt;&lt;electronic-resource-num&gt;10.1021/jf0704108&lt;/electronic-resource-num&gt;&lt;access-date&gt;2014/10/07&lt;/access-date&gt;&lt;/record&gt;&lt;/Cite&gt;&lt;/EndNote&gt;</w:instrText>
        </w:r>
        <w:r w:rsidR="00512D09" w:rsidRPr="00AD1BB2">
          <w:rPr>
            <w:bCs/>
          </w:rPr>
          <w:fldChar w:fldCharType="separate"/>
        </w:r>
        <w:r w:rsidR="00512D09" w:rsidRPr="00F80CAD">
          <w:rPr>
            <w:bCs/>
            <w:noProof/>
            <w:vertAlign w:val="superscript"/>
          </w:rPr>
          <w:t>147</w:t>
        </w:r>
        <w:r w:rsidR="00512D09" w:rsidRPr="00AD1BB2">
          <w:rPr>
            <w:bCs/>
          </w:rPr>
          <w:fldChar w:fldCharType="end"/>
        </w:r>
      </w:hyperlink>
      <w:r w:rsidRPr="000724D2">
        <w:rPr>
          <w:bCs/>
          <w:vertAlign w:val="superscript"/>
        </w:rPr>
        <w:t>,</w:t>
      </w:r>
      <w:hyperlink w:anchor="_ENREF_226" w:tooltip="Deaville, 2007 #435" w:history="1">
        <w:r w:rsidR="00512D09" w:rsidRPr="00AD1BB2">
          <w:rPr>
            <w:bCs/>
          </w:rPr>
          <w:fldChar w:fldCharType="begin"/>
        </w:r>
        <w:r w:rsidR="00512D09">
          <w:rPr>
            <w:bCs/>
          </w:rPr>
          <w:instrText xml:space="preserve"> ADDIN EN.CITE &lt;EndNote&gt;&lt;Cite&gt;&lt;Author&gt;Deaville&lt;/Author&gt;&lt;Year&gt;2007&lt;/Year&gt;&lt;RecNum&gt;435&lt;/RecNum&gt;&lt;DisplayText&gt;&lt;style face="superscript"&gt;226&lt;/style&gt;&lt;/DisplayText&gt;&lt;record&gt;&lt;rec-number&gt;435&lt;/rec-number&gt;&lt;foreign-keys&gt;&lt;key app="EN" db-id="5trrespwzsdr07efd5tx2w96x22re9s0fsdt"&gt;435&lt;/key&gt;&lt;/foreign-keys&gt;&lt;ref-type name="Journal Article"&gt;17&lt;/ref-type&gt;&lt;contributors&gt;&lt;authors&gt;&lt;author&gt;Deaville, Eddie R.&lt;/author&gt;&lt;author&gt;Green, Rebecca J.&lt;/author&gt;&lt;author&gt;Mueller-Harvey, Irene&lt;/author&gt;&lt;author&gt;Willoughby, Ian&lt;/author&gt;&lt;author&gt;Frazier, Richard A.&lt;/author&gt;&lt;/authors&gt;&lt;/contributors&gt;&lt;titles&gt;&lt;title&gt;Hydrolyzable Tannin Structures Influence Relative Globular and Random Coil Protein Binding Strengths&lt;/title&gt;&lt;secondary-title&gt;Journal of Agricultural and Food Chemistry&lt;/secondary-title&gt;&lt;/titles&gt;&lt;periodical&gt;&lt;full-title&gt;Journal of Agricultural and Food Chemistry&lt;/full-title&gt;&lt;/periodical&gt;&lt;pages&gt;4554-4561&lt;/pages&gt;&lt;volume&gt;55&lt;/volume&gt;&lt;number&gt;11&lt;/number&gt;&lt;dates&gt;&lt;year&gt;2007&lt;/year&gt;&lt;pub-dates&gt;&lt;date&gt;2007/05/01&lt;/date&gt;&lt;/pub-dates&gt;&lt;/dates&gt;&lt;publisher&gt;American Chemical Society&lt;/publisher&gt;&lt;isbn&gt;0021-8561&lt;/isbn&gt;&lt;urls&gt;&lt;related-urls&gt;&lt;url&gt;http://dx.doi.org/10.1021/jf063770o&lt;/url&gt;&lt;/related-urls&gt;&lt;/urls&gt;&lt;electronic-resource-num&gt;10.1021/jf063770o&lt;/electronic-resource-num&gt;&lt;access-date&gt;2014/10/20&lt;/access-date&gt;&lt;/record&gt;&lt;/Cite&gt;&lt;/EndNote&gt;</w:instrText>
        </w:r>
        <w:r w:rsidR="00512D09" w:rsidRPr="00AD1BB2">
          <w:rPr>
            <w:bCs/>
          </w:rPr>
          <w:fldChar w:fldCharType="separate"/>
        </w:r>
        <w:r w:rsidR="00512D09" w:rsidRPr="006421D1">
          <w:rPr>
            <w:bCs/>
            <w:noProof/>
            <w:vertAlign w:val="superscript"/>
          </w:rPr>
          <w:t>226</w:t>
        </w:r>
        <w:r w:rsidR="00512D09" w:rsidRPr="00AD1BB2">
          <w:rPr>
            <w:bCs/>
          </w:rPr>
          <w:fldChar w:fldCharType="end"/>
        </w:r>
      </w:hyperlink>
      <w:r w:rsidR="000574FF" w:rsidRPr="00AD1BB2">
        <w:rPr>
          <w:bCs/>
        </w:rPr>
        <w:t xml:space="preserve"> If protein conformational restriction occurs upon tannin binding then presumably this would induce negative cooperativity as binding would become increasingly less favourable. </w:t>
      </w:r>
    </w:p>
    <w:p w:rsidR="00033347" w:rsidRDefault="00033347" w:rsidP="000574FF">
      <w:pPr>
        <w:spacing w:line="480" w:lineRule="auto"/>
        <w:jc w:val="both"/>
        <w:rPr>
          <w:bCs/>
        </w:rPr>
      </w:pPr>
      <w:r>
        <w:rPr>
          <w:bCs/>
        </w:rPr>
        <w:t xml:space="preserve">As previously suggested, the change in binding stoichiometry may be due to the temperature change increasing the flexibility of the tannin. This would lead to a different binding configuration with changed binding thermodynamics. </w:t>
      </w:r>
      <w:r w:rsidR="00936026">
        <w:rPr>
          <w:bCs/>
        </w:rPr>
        <w:t xml:space="preserve">This could be responsible for the biphasic binding isotherm. </w:t>
      </w:r>
    </w:p>
    <w:p w:rsidR="007A3E13" w:rsidRPr="007A3E13" w:rsidRDefault="000D44BC" w:rsidP="007A3E13">
      <w:pPr>
        <w:pStyle w:val="Heading3"/>
        <w:spacing w:line="480" w:lineRule="auto"/>
      </w:pPr>
      <w:bookmarkStart w:id="110" w:name="_Toc459130705"/>
      <w:r>
        <w:t>Possible Mechanisms for the Change in the T</w:t>
      </w:r>
      <w:r w:rsidR="000574FF" w:rsidRPr="004000AF">
        <w:t xml:space="preserve">hermodynamic </w:t>
      </w:r>
      <w:r>
        <w:t>P</w:t>
      </w:r>
      <w:r w:rsidR="000574FF">
        <w:t>arameters at 10 and 25</w:t>
      </w:r>
      <w:r w:rsidR="006F2757">
        <w:t xml:space="preserve"> </w:t>
      </w:r>
      <w:r w:rsidR="000574FF">
        <w:t>°C</w:t>
      </w:r>
      <w:bookmarkEnd w:id="110"/>
    </w:p>
    <w:p w:rsidR="000574FF" w:rsidRDefault="000574FF" w:rsidP="000574FF">
      <w:pPr>
        <w:spacing w:line="480" w:lineRule="auto"/>
        <w:jc w:val="both"/>
        <w:rPr>
          <w:bCs/>
        </w:rPr>
      </w:pPr>
      <w:r w:rsidRPr="00F05DC9">
        <w:rPr>
          <w:bCs/>
        </w:rPr>
        <w:t>It is difficult to attribute a definitive mechanism as to why decreasing the temperature increases the exothermicity at low protein-tannin molar ratios. CD spectroscopy was used to measure any temperature dependent secondary structural changes between 10 and 25°C</w:t>
      </w:r>
      <w:r>
        <w:rPr>
          <w:bCs/>
        </w:rPr>
        <w:t xml:space="preserve"> (</w:t>
      </w:r>
      <w:r w:rsidR="0075172E">
        <w:rPr>
          <w:bCs/>
        </w:rPr>
        <w:fldChar w:fldCharType="begin"/>
      </w:r>
      <w:r w:rsidR="00D753A0">
        <w:rPr>
          <w:bCs/>
        </w:rPr>
        <w:instrText xml:space="preserve"> REF _Ref456876144 \h </w:instrText>
      </w:r>
      <w:r w:rsidR="0075172E">
        <w:rPr>
          <w:bCs/>
        </w:rPr>
      </w:r>
      <w:r w:rsidR="0075172E">
        <w:rPr>
          <w:bCs/>
        </w:rPr>
        <w:fldChar w:fldCharType="separate"/>
      </w:r>
      <w:r w:rsidR="00D753A0">
        <w:t xml:space="preserve">Figure </w:t>
      </w:r>
      <w:r w:rsidR="00D753A0">
        <w:rPr>
          <w:noProof/>
        </w:rPr>
        <w:t>3</w:t>
      </w:r>
      <w:r w:rsidR="00D753A0">
        <w:t>.</w:t>
      </w:r>
      <w:r w:rsidR="00D753A0">
        <w:rPr>
          <w:noProof/>
        </w:rPr>
        <w:t>17</w:t>
      </w:r>
      <w:r w:rsidR="0075172E">
        <w:rPr>
          <w:bCs/>
        </w:rPr>
        <w:fldChar w:fldCharType="end"/>
      </w:r>
      <w:r>
        <w:rPr>
          <w:bCs/>
        </w:rPr>
        <w:t>)</w:t>
      </w:r>
      <w:r w:rsidRPr="00F05DC9">
        <w:rPr>
          <w:bCs/>
        </w:rPr>
        <w:t xml:space="preserve">. There was a </w:t>
      </w:r>
      <w:r>
        <w:rPr>
          <w:bCs/>
        </w:rPr>
        <w:t xml:space="preserve">minor </w:t>
      </w:r>
      <w:r w:rsidRPr="00F05DC9">
        <w:rPr>
          <w:bCs/>
        </w:rPr>
        <w:t xml:space="preserve">shift in absorbance but no drastic change in the overall shape of the spectra indicating a small change in the α-helical portion of BSA. In keeping with the findings presented here, Takeda </w:t>
      </w:r>
      <w:r w:rsidRPr="002D4FF8">
        <w:rPr>
          <w:bCs/>
          <w:i/>
        </w:rPr>
        <w:t>et al</w:t>
      </w:r>
      <w:r w:rsidR="002D4FF8">
        <w:rPr>
          <w:bCs/>
        </w:rPr>
        <w:t>.</w:t>
      </w:r>
      <w:r w:rsidRPr="00F05DC9">
        <w:rPr>
          <w:bCs/>
        </w:rPr>
        <w:t xml:space="preserve"> reported very little structural change in the </w:t>
      </w:r>
      <w:r w:rsidRPr="00E00CC1">
        <w:rPr>
          <w:bCs/>
        </w:rPr>
        <w:t>α-</w:t>
      </w:r>
      <w:r w:rsidRPr="00F05DC9">
        <w:rPr>
          <w:bCs/>
        </w:rPr>
        <w:t>helical proportion between 10 and 25</w:t>
      </w:r>
      <w:r w:rsidR="006F2757">
        <w:rPr>
          <w:bCs/>
        </w:rPr>
        <w:t xml:space="preserve"> </w:t>
      </w:r>
      <w:r w:rsidRPr="00F05DC9">
        <w:rPr>
          <w:bCs/>
        </w:rPr>
        <w:t xml:space="preserve">°C and no change in the </w:t>
      </w:r>
      <w:r>
        <w:rPr>
          <w:bCs/>
        </w:rPr>
        <w:t>β</w:t>
      </w:r>
      <w:r w:rsidRPr="00F05DC9">
        <w:rPr>
          <w:bCs/>
        </w:rPr>
        <w:t>-sheet proportion</w:t>
      </w:r>
      <w:r>
        <w:rPr>
          <w:bCs/>
        </w:rPr>
        <w:t>.</w:t>
      </w:r>
      <w:hyperlink w:anchor="_ENREF_227" w:tooltip="Takeda, 1989 #322" w:history="1">
        <w:r w:rsidR="00512D09" w:rsidRPr="00F05DC9">
          <w:rPr>
            <w:bCs/>
          </w:rPr>
          <w:fldChar w:fldCharType="begin"/>
        </w:r>
        <w:r w:rsidR="00512D09">
          <w:rPr>
            <w:bCs/>
          </w:rPr>
          <w:instrText xml:space="preserve"> ADDIN EN.CITE &lt;EndNote&gt;&lt;Cite&gt;&lt;Author&gt;Takeda&lt;/Author&gt;&lt;Year&gt;1989&lt;/Year&gt;&lt;RecNum&gt;322&lt;/RecNum&gt;&lt;DisplayText&gt;&lt;style face="superscript"&gt;227&lt;/style&gt;&lt;/DisplayText&gt;&lt;record&gt;&lt;rec-number&gt;322&lt;/rec-number&gt;&lt;foreign-keys&gt;&lt;key app="EN" db-id="5trrespwzsdr07efd5tx2w96x22re9s0fsdt"&gt;322&lt;/key&gt;&lt;/foreign-keys&gt;&lt;ref-type name="Journal Article"&gt;17&lt;/ref-type&gt;&lt;contributors&gt;&lt;authors&gt;&lt;author&gt;Takeda, Kunio&lt;/author&gt;&lt;author&gt;Wada, Akira&lt;/author&gt;&lt;author&gt;Yamamoto, Kazuo&lt;/author&gt;&lt;author&gt;Moriyama, Yoshiko&lt;/author&gt;&lt;author&gt;Aoki, Koichiro&lt;/author&gt;&lt;/authors&gt;&lt;/contributors&gt;&lt;titles&gt;&lt;title&gt;Conformational change of bovine serum albumin by heat treatment&lt;/title&gt;&lt;secondary-title&gt;Journal of Protein Chemistry&lt;/secondary-title&gt;&lt;alt-title&gt;Journal of Protein Chemistry&lt;/alt-title&gt;&lt;/titles&gt;&lt;periodical&gt;&lt;full-title&gt;Journal of Protein Chemistry&lt;/full-title&gt;&lt;abbr-1&gt;Journal of Protein Chemistry&lt;/abbr-1&gt;&lt;/periodical&gt;&lt;alt-periodical&gt;&lt;full-title&gt;Journal of Protein Chemistry&lt;/full-title&gt;&lt;abbr-1&gt;Journal of Protein Chemistry&lt;/abbr-1&gt;&lt;/alt-periodical&gt;&lt;pages&gt;653-659&lt;/pages&gt;&lt;volume&gt;8&lt;/volume&gt;&lt;number&gt;5&lt;/number&gt;&lt;keywords&gt;&lt;keyword&gt;bovine serum albumin&lt;/keyword&gt;&lt;keyword&gt;thermal denaturation&lt;/keyword&gt;&lt;keyword&gt;secondary structure&lt;/keyword&gt;&lt;keyword&gt;CD&lt;/keyword&gt;&lt;/keywords&gt;&lt;dates&gt;&lt;year&gt;1989&lt;/year&gt;&lt;pub-dates&gt;&lt;date&gt;1989/10/01&lt;/date&gt;&lt;/pub-dates&gt;&lt;/dates&gt;&lt;publisher&gt;Kluwer Academic Publishers-Plenum Publishers&lt;/publisher&gt;&lt;isbn&gt;0277-8033&lt;/isbn&gt;&lt;urls&gt;&lt;related-urls&gt;&lt;url&gt;http://dx.doi.org/10.1007/BF01025605&lt;/url&gt;&lt;/related-urls&gt;&lt;/urls&gt;&lt;electronic-resource-num&gt;10.1007/bf01025605&lt;/electronic-resource-num&gt;&lt;language&gt;English&lt;/language&gt;&lt;/record&gt;&lt;/Cite&gt;&lt;/EndNote&gt;</w:instrText>
        </w:r>
        <w:r w:rsidR="00512D09" w:rsidRPr="00F05DC9">
          <w:rPr>
            <w:bCs/>
          </w:rPr>
          <w:fldChar w:fldCharType="separate"/>
        </w:r>
        <w:r w:rsidR="00512D09" w:rsidRPr="006421D1">
          <w:rPr>
            <w:bCs/>
            <w:noProof/>
            <w:vertAlign w:val="superscript"/>
          </w:rPr>
          <w:t>227</w:t>
        </w:r>
        <w:r w:rsidR="00512D09" w:rsidRPr="00F05DC9">
          <w:rPr>
            <w:bCs/>
          </w:rPr>
          <w:fldChar w:fldCharType="end"/>
        </w:r>
      </w:hyperlink>
      <w:r w:rsidRPr="00F05DC9">
        <w:rPr>
          <w:bCs/>
        </w:rPr>
        <w:t xml:space="preserve"> The slight change in secondary structure is most likely just correlation and not the cause of the change in binding thermodynamics at the two different temperatures. As stated previously, tannins have higher affinity for more flexible macromolecules. Both β-pleated sheets and α-helices are </w:t>
      </w:r>
      <w:r w:rsidR="00D753A0" w:rsidRPr="00F05DC9">
        <w:rPr>
          <w:bCs/>
        </w:rPr>
        <w:t>rigid</w:t>
      </w:r>
      <w:r w:rsidRPr="00F05DC9">
        <w:rPr>
          <w:bCs/>
        </w:rPr>
        <w:t xml:space="preserve"> and so minor conversion between the two would unlikely be a cause of the change in binding thermodynamics at the two different temperatures. Lastly,</w:t>
      </w:r>
      <w:r w:rsidRPr="00F05DC9">
        <w:rPr>
          <w:bCs/>
          <w:i/>
        </w:rPr>
        <w:t xml:space="preserve"> </w:t>
      </w:r>
      <w:r w:rsidRPr="002764A1">
        <w:rPr>
          <w:bCs/>
        </w:rPr>
        <w:t>Δ</w:t>
      </w:r>
      <w:r w:rsidRPr="00F05DC9">
        <w:rPr>
          <w:bCs/>
          <w:i/>
        </w:rPr>
        <w:t>C</w:t>
      </w:r>
      <w:r w:rsidRPr="00F05DC9">
        <w:rPr>
          <w:bCs/>
          <w:i/>
          <w:vertAlign w:val="subscript"/>
        </w:rPr>
        <w:t>p</w:t>
      </w:r>
      <w:r w:rsidRPr="00F05DC9">
        <w:rPr>
          <w:bCs/>
          <w:vertAlign w:val="subscript"/>
        </w:rPr>
        <w:t xml:space="preserve"> </w:t>
      </w:r>
      <w:r w:rsidRPr="00F05DC9">
        <w:rPr>
          <w:bCs/>
        </w:rPr>
        <w:t xml:space="preserve">has to be done at multiple temperatures by its very definition. Conformational changes of binding partners are never normally invoked to explain the </w:t>
      </w:r>
      <w:r w:rsidRPr="002764A1">
        <w:rPr>
          <w:bCs/>
        </w:rPr>
        <w:t>Δ</w:t>
      </w:r>
      <w:r w:rsidRPr="00F05DC9">
        <w:rPr>
          <w:bCs/>
          <w:i/>
        </w:rPr>
        <w:t>C</w:t>
      </w:r>
      <w:r w:rsidRPr="00F05DC9">
        <w:rPr>
          <w:bCs/>
          <w:i/>
          <w:vertAlign w:val="subscript"/>
        </w:rPr>
        <w:t>p</w:t>
      </w:r>
      <w:r w:rsidRPr="00F05DC9">
        <w:rPr>
          <w:bCs/>
          <w:i/>
        </w:rPr>
        <w:t>.</w:t>
      </w:r>
      <w:r w:rsidRPr="00F05DC9">
        <w:rPr>
          <w:bCs/>
        </w:rPr>
        <w:t xml:space="preserve"> </w:t>
      </w:r>
      <w:r w:rsidRPr="00F05DC9">
        <w:rPr>
          <w:bCs/>
        </w:rPr>
        <w:lastRenderedPageBreak/>
        <w:t>It is the general c</w:t>
      </w:r>
      <w:r>
        <w:rPr>
          <w:bCs/>
        </w:rPr>
        <w:t xml:space="preserve">onsensus </w:t>
      </w:r>
      <w:r w:rsidRPr="002764A1">
        <w:rPr>
          <w:bCs/>
        </w:rPr>
        <w:t>Δ</w:t>
      </w:r>
      <w:r w:rsidRPr="00F05DC9">
        <w:rPr>
          <w:bCs/>
          <w:i/>
        </w:rPr>
        <w:t>C</w:t>
      </w:r>
      <w:r w:rsidRPr="00F05DC9">
        <w:rPr>
          <w:bCs/>
          <w:i/>
          <w:vertAlign w:val="subscript"/>
        </w:rPr>
        <w:t>p</w:t>
      </w:r>
      <w:r w:rsidRPr="00F05DC9">
        <w:rPr>
          <w:bCs/>
        </w:rPr>
        <w:t xml:space="preserve"> is due to the water network around the bindin</w:t>
      </w:r>
      <w:r>
        <w:rPr>
          <w:bCs/>
        </w:rPr>
        <w:t>g partners changing.</w:t>
      </w:r>
      <w:hyperlink w:anchor="_ENREF_228" w:tooltip="Prabhu, 2005 #730" w:history="1">
        <w:r w:rsidR="00512D09">
          <w:rPr>
            <w:bCs/>
          </w:rPr>
          <w:fldChar w:fldCharType="begin"/>
        </w:r>
        <w:r w:rsidR="00512D09">
          <w:rPr>
            <w:bCs/>
          </w:rPr>
          <w:instrText xml:space="preserve"> ADDIN EN.CITE &lt;EndNote&gt;&lt;Cite&gt;&lt;Author&gt;Prabhu&lt;/Author&gt;&lt;Year&gt;2005&lt;/Year&gt;&lt;RecNum&gt;730&lt;/RecNum&gt;&lt;DisplayText&gt;&lt;style face="superscript"&gt;228&lt;/style&gt;&lt;/DisplayText&gt;&lt;record&gt;&lt;rec-number&gt;730&lt;/rec-number&gt;&lt;foreign-keys&gt;&lt;key app="EN" db-id="5trrespwzsdr07efd5tx2w96x22re9s0fsdt"&gt;730&lt;/key&gt;&lt;/foreign-keys&gt;&lt;ref-type name="Journal Article"&gt;17&lt;/ref-type&gt;&lt;contributors&gt;&lt;authors&gt;&lt;author&gt;Ninad V. Prabhu&lt;/author&gt;&lt;author&gt;Kim A. Sharp&lt;/author&gt;&lt;/authors&gt;&lt;/contributors&gt;&lt;titles&gt;&lt;title&gt;Heat Capacity In Proteins&lt;/title&gt;&lt;secondary-title&gt;Annual Review of Physical Chemistry&lt;/secondary-title&gt;&lt;/titles&gt;&lt;periodical&gt;&lt;full-title&gt;Annual Review of Physical Chemistry&lt;/full-title&gt;&lt;/periodical&gt;&lt;pages&gt;521-548&lt;/pages&gt;&lt;volume&gt;56&lt;/volume&gt;&lt;number&gt;1&lt;/number&gt;&lt;keywords&gt;&lt;keyword&gt;hydrophobic effect,entropy-enthalpy compensation,protein stability,protein hydration&lt;/keyword&gt;&lt;/keywords&gt;&lt;dates&gt;&lt;year&gt;2005&lt;/year&gt;&lt;/dates&gt;&lt;accession-num&gt;15796710&lt;/accession-num&gt;&lt;urls&gt;&lt;related-urls&gt;&lt;url&gt;http://www.annualreviews.org/doi/abs/10.1146/annurev.physchem.56.092503.141202&lt;/url&gt;&lt;/related-urls&gt;&lt;/urls&gt;&lt;electronic-resource-num&gt;doi:10.1146/annurev.physchem.56.092503.141202&lt;/electronic-resource-num&gt;&lt;/record&gt;&lt;/Cite&gt;&lt;/EndNote&gt;</w:instrText>
        </w:r>
        <w:r w:rsidR="00512D09">
          <w:rPr>
            <w:bCs/>
          </w:rPr>
          <w:fldChar w:fldCharType="separate"/>
        </w:r>
        <w:r w:rsidR="00512D09" w:rsidRPr="006421D1">
          <w:rPr>
            <w:bCs/>
            <w:noProof/>
            <w:vertAlign w:val="superscript"/>
          </w:rPr>
          <w:t>228</w:t>
        </w:r>
        <w:r w:rsidR="00512D09">
          <w:rPr>
            <w:bCs/>
          </w:rPr>
          <w:fldChar w:fldCharType="end"/>
        </w:r>
      </w:hyperlink>
    </w:p>
    <w:p w:rsidR="000574FF" w:rsidRDefault="000574FF" w:rsidP="000574FF">
      <w:pPr>
        <w:keepNext/>
        <w:spacing w:line="480" w:lineRule="auto"/>
        <w:jc w:val="center"/>
      </w:pPr>
      <w:r w:rsidRPr="00160653">
        <w:rPr>
          <w:noProof/>
          <w:lang w:eastAsia="en-GB"/>
        </w:rPr>
        <w:drawing>
          <wp:inline distT="0" distB="0" distL="0" distR="0" wp14:anchorId="3CCF4605" wp14:editId="76BDFA77">
            <wp:extent cx="4492487" cy="2902226"/>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574FF" w:rsidRPr="00B91AF6" w:rsidRDefault="000574FF" w:rsidP="0064057C">
      <w:pPr>
        <w:pStyle w:val="Caption"/>
        <w:jc w:val="center"/>
        <w:rPr>
          <w:b w:val="0"/>
          <w:bCs w:val="0"/>
        </w:rPr>
      </w:pPr>
      <w:bookmarkStart w:id="111" w:name="_Ref442877262"/>
      <w:bookmarkStart w:id="112" w:name="_Ref456876144"/>
      <w:r>
        <w:t>Figure</w:t>
      </w:r>
      <w:bookmarkEnd w:id="111"/>
      <w:r w:rsidR="00DF4ABC">
        <w:t xml:space="preserv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17</w:t>
      </w:r>
      <w:r w:rsidR="0075172E">
        <w:fldChar w:fldCharType="end"/>
      </w:r>
      <w:bookmarkEnd w:id="112"/>
      <w:r>
        <w:t xml:space="preserve">: </w:t>
      </w:r>
      <w:r w:rsidRPr="003C57FD">
        <w:t xml:space="preserve">CD spectra of </w:t>
      </w:r>
      <w:r>
        <w:t>BSA</w:t>
      </w:r>
      <w:r w:rsidRPr="003C57FD">
        <w:t xml:space="preserve"> in 10 mM acetate 10% ethanol pH 4 at 10 (</w:t>
      </w:r>
      <w:r>
        <w:t>blue</w:t>
      </w:r>
      <w:r w:rsidRPr="003C57FD">
        <w:t>)</w:t>
      </w:r>
      <w:r>
        <w:t xml:space="preserve"> and </w:t>
      </w:r>
      <w:r w:rsidRPr="003C57FD">
        <w:t>25</w:t>
      </w:r>
      <w:r w:rsidR="006F2757">
        <w:t xml:space="preserve"> </w:t>
      </w:r>
      <w:r w:rsidRPr="003C57FD">
        <w:t>°C (</w:t>
      </w:r>
      <w:r>
        <w:t>red</w:t>
      </w:r>
      <w:r w:rsidRPr="003C57FD">
        <w:t>)</w:t>
      </w:r>
      <w:r>
        <w:t>.</w:t>
      </w:r>
    </w:p>
    <w:p w:rsidR="000574FF" w:rsidRDefault="000574FF" w:rsidP="000574FF">
      <w:pPr>
        <w:spacing w:line="480" w:lineRule="auto"/>
        <w:jc w:val="both"/>
        <w:rPr>
          <w:bCs/>
        </w:rPr>
      </w:pPr>
      <w:r>
        <w:rPr>
          <w:bCs/>
        </w:rPr>
        <w:t xml:space="preserve">To determine if the positive </w:t>
      </w:r>
      <w:r w:rsidRPr="002764A1">
        <w:rPr>
          <w:bCs/>
        </w:rPr>
        <w:t>Δ</w:t>
      </w:r>
      <w:r w:rsidRPr="00FC1F8B">
        <w:rPr>
          <w:bCs/>
          <w:i/>
        </w:rPr>
        <w:t>C</w:t>
      </w:r>
      <w:r w:rsidRPr="00FC1F8B">
        <w:rPr>
          <w:bCs/>
          <w:i/>
          <w:vertAlign w:val="subscript"/>
        </w:rPr>
        <w:t>p</w:t>
      </w:r>
      <w:r>
        <w:rPr>
          <w:bCs/>
          <w:i/>
        </w:rPr>
        <w:t xml:space="preserve"> </w:t>
      </w:r>
      <w:r>
        <w:rPr>
          <w:bCs/>
        </w:rPr>
        <w:t xml:space="preserve">was due to protein unfolding at higher tannic acid concentrations a titration of tannic acid into BSA was done at </w:t>
      </w:r>
      <w:r w:rsidRPr="00FC1F8B">
        <w:rPr>
          <w:bCs/>
        </w:rPr>
        <w:t>40</w:t>
      </w:r>
      <w:r w:rsidR="006F2757">
        <w:rPr>
          <w:bCs/>
        </w:rPr>
        <w:t xml:space="preserve"> </w:t>
      </w:r>
      <w:r w:rsidRPr="00FC1F8B">
        <w:rPr>
          <w:bCs/>
        </w:rPr>
        <w:t>°C</w:t>
      </w:r>
      <w:r>
        <w:rPr>
          <w:bCs/>
        </w:rPr>
        <w:t xml:space="preserve"> since this is where fatty acid free BSA begins to unfold (</w:t>
      </w:r>
      <w:r w:rsidR="0075172E">
        <w:rPr>
          <w:bCs/>
        </w:rPr>
        <w:fldChar w:fldCharType="begin"/>
      </w:r>
      <w:r w:rsidR="00186340">
        <w:rPr>
          <w:bCs/>
        </w:rPr>
        <w:instrText xml:space="preserve"> REF _Ref443641153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18</w:t>
      </w:r>
      <w:r w:rsidR="0075172E">
        <w:rPr>
          <w:bCs/>
        </w:rPr>
        <w:fldChar w:fldCharType="end"/>
      </w:r>
      <w:r>
        <w:rPr>
          <w:bCs/>
        </w:rPr>
        <w:t>).</w:t>
      </w:r>
      <w:hyperlink w:anchor="_ENREF_179" w:tooltip="Michnik, 2003 #452" w:history="1">
        <w:r w:rsidR="00512D09">
          <w:rPr>
            <w:bCs/>
          </w:rPr>
          <w:fldChar w:fldCharType="begin"/>
        </w:r>
        <w:r w:rsidR="00512D09">
          <w:rPr>
            <w:bCs/>
          </w:rPr>
          <w:instrText xml:space="preserve"> ADDIN EN.CITE &lt;EndNote&gt;&lt;Cite&gt;&lt;Author&gt;Michnik&lt;/Author&gt;&lt;Year&gt;2003&lt;/Year&gt;&lt;RecNum&gt;452&lt;/RecNum&gt;&lt;DisplayText&gt;&lt;style face="superscript"&gt;179&lt;/style&gt;&lt;/DisplayText&gt;&lt;record&gt;&lt;rec-number&gt;452&lt;/rec-number&gt;&lt;foreign-keys&gt;&lt;key app="EN" db-id="5trrespwzsdr07efd5tx2w96x22re9s0fsdt"&gt;452&lt;/key&gt;&lt;/foreign-keys&gt;&lt;ref-type name="Journal Article"&gt;17&lt;/ref-type&gt;&lt;contributors&gt;&lt;authors&gt;&lt;author&gt;Michnik, A&lt;/author&gt;&lt;/authors&gt;&lt;/contributors&gt;&lt;titles&gt;&lt;title&gt;Thermal stability of bovine serum albumin DSC study&lt;/title&gt;&lt;secondary-title&gt;Journal of Thermal Analysis and Calorimetry&lt;/secondary-title&gt;&lt;/titles&gt;&lt;periodical&gt;&lt;full-title&gt;Journal of Thermal Analysis and Calorimetry&lt;/full-title&gt;&lt;/periodical&gt;&lt;pages&gt;509-519&lt;/pages&gt;&lt;volume&gt;71&lt;/volume&gt;&lt;number&gt;2&lt;/number&gt;&lt;dates&gt;&lt;year&gt;2003&lt;/year&gt;&lt;/dates&gt;&lt;isbn&gt;1388-6150&lt;/isbn&gt;&lt;urls&gt;&lt;/urls&gt;&lt;/record&gt;&lt;/Cite&gt;&lt;/EndNote&gt;</w:instrText>
        </w:r>
        <w:r w:rsidR="00512D09">
          <w:rPr>
            <w:bCs/>
          </w:rPr>
          <w:fldChar w:fldCharType="separate"/>
        </w:r>
        <w:r w:rsidR="00512D09" w:rsidRPr="006421D1">
          <w:rPr>
            <w:bCs/>
            <w:noProof/>
            <w:vertAlign w:val="superscript"/>
          </w:rPr>
          <w:t>179</w:t>
        </w:r>
        <w:r w:rsidR="00512D09">
          <w:rPr>
            <w:bCs/>
          </w:rPr>
          <w:fldChar w:fldCharType="end"/>
        </w:r>
      </w:hyperlink>
      <w:r>
        <w:rPr>
          <w:bCs/>
        </w:rPr>
        <w:t xml:space="preserve"> </w:t>
      </w:r>
      <w:r w:rsidRPr="00FC1F8B">
        <w:rPr>
          <w:bCs/>
        </w:rPr>
        <w:t>The baseline of the titration sloped upwards which could be indicative of protein unfolding. A similar sloping is not seen in the thermogram at 25</w:t>
      </w:r>
      <w:r w:rsidR="006F2757">
        <w:rPr>
          <w:bCs/>
        </w:rPr>
        <w:t xml:space="preserve"> </w:t>
      </w:r>
      <w:r w:rsidRPr="00FC1F8B">
        <w:rPr>
          <w:bCs/>
        </w:rPr>
        <w:t xml:space="preserve">°C. </w:t>
      </w:r>
      <w:r w:rsidR="00D753A0" w:rsidRPr="00FC1F8B">
        <w:rPr>
          <w:bCs/>
        </w:rPr>
        <w:t>Instead,</w:t>
      </w:r>
      <w:r w:rsidRPr="00FC1F8B">
        <w:rPr>
          <w:bCs/>
        </w:rPr>
        <w:t xml:space="preserve"> there is a slight increase and then a plateau after a protein-tan</w:t>
      </w:r>
      <w:r>
        <w:rPr>
          <w:bCs/>
        </w:rPr>
        <w:t>nin molar ratio of 14 (</w:t>
      </w:r>
      <w:r w:rsidR="0075172E">
        <w:rPr>
          <w:bCs/>
        </w:rPr>
        <w:fldChar w:fldCharType="begin"/>
      </w:r>
      <w:r w:rsidR="00E64AEC">
        <w:rPr>
          <w:bCs/>
        </w:rPr>
        <w:instrText xml:space="preserve"> REF _Ref442870268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7</w:t>
      </w:r>
      <w:r w:rsidR="0075172E">
        <w:rPr>
          <w:bCs/>
        </w:rPr>
        <w:fldChar w:fldCharType="end"/>
      </w:r>
      <w:r w:rsidRPr="00FC1F8B">
        <w:rPr>
          <w:bCs/>
        </w:rPr>
        <w:t>). Taken together, this could mean that protein unfolding is minimal at 25</w:t>
      </w:r>
      <w:r w:rsidR="006F2757">
        <w:rPr>
          <w:bCs/>
        </w:rPr>
        <w:t xml:space="preserve"> </w:t>
      </w:r>
      <w:r w:rsidRPr="00FC1F8B">
        <w:rPr>
          <w:bCs/>
        </w:rPr>
        <w:t>°C producing what seems to be baseline noise</w:t>
      </w:r>
      <w:r>
        <w:rPr>
          <w:bCs/>
        </w:rPr>
        <w:t xml:space="preserve"> or it has little effect on the binding thermodynamics</w:t>
      </w:r>
      <w:r w:rsidRPr="00FC1F8B">
        <w:rPr>
          <w:bCs/>
        </w:rPr>
        <w:t xml:space="preserve">.  </w:t>
      </w:r>
      <w:r w:rsidRPr="00133D4F">
        <w:rPr>
          <w:bCs/>
        </w:rPr>
        <w:t xml:space="preserve">It is possible had BSA unfolding not been an issue, titration of tannic acid into the BSA solution would have also become more exothermic </w:t>
      </w:r>
      <w:r>
        <w:rPr>
          <w:bCs/>
        </w:rPr>
        <w:t>from 25 to 40 °C.</w:t>
      </w:r>
    </w:p>
    <w:p w:rsidR="000574FF" w:rsidRDefault="00040F10" w:rsidP="000574FF">
      <w:pPr>
        <w:keepNext/>
        <w:spacing w:line="480" w:lineRule="auto"/>
        <w:jc w:val="center"/>
      </w:pPr>
      <w:r>
        <w:rPr>
          <w:noProof/>
          <w:lang w:eastAsia="en-GB"/>
        </w:rPr>
        <w:lastRenderedPageBreak/>
        <w:pict>
          <v:shape id="_x0000_s1177" type="#_x0000_t202" style="position:absolute;left:0;text-align:left;margin-left:-12.05pt;margin-top:1in;width:28.4pt;height:100.45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" strokecolor="white [3212]">
            <v:textbox style="layout-flow:vertical;mso-layout-flow-alt:bottom-to-top;mso-next-textbox:#_x0000_s1177">
              <w:txbxContent>
                <w:p w:rsidR="003A5686" w:rsidRPr="0016048C" w:rsidRDefault="003A5686" w:rsidP="00F8280C">
                  <w:pPr>
                    <w:rPr>
                      <w:rFonts w:ascii="Arial" w:hAnsi="Arial" w:cs="Arial"/>
                      <w:b/>
                      <w:color w:val="262626" w:themeColor="text1" w:themeTint="D9"/>
                      <w:sz w:val="18"/>
                      <w:szCs w:val="18"/>
                    </w:rPr>
                  </w:pPr>
                  <w:r w:rsidRPr="0016048C">
                    <w:rPr>
                      <w:rFonts w:ascii="Arial" w:hAnsi="Arial" w:cs="Arial"/>
                      <w:b/>
                      <w:color w:val="262626" w:themeColor="text1" w:themeTint="D9"/>
                      <w:sz w:val="18"/>
                      <w:szCs w:val="18"/>
                    </w:rPr>
                    <w:t>Raw Heat Rate (µJ/s)</w:t>
                  </w:r>
                </w:p>
              </w:txbxContent>
            </v:textbox>
          </v:shape>
        </w:pict>
      </w:r>
      <w:r>
        <w:rPr>
          <w:noProof/>
          <w:lang w:eastAsia="en-GB"/>
        </w:rPr>
        <w:pict>
          <v:shape id="_x0000_s1204" type="#_x0000_t202" style="position:absolute;left:0;text-align:left;margin-left:169.8pt;margin-top:256.1pt;width:87.05pt;height:17.65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8376A0">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0A21A8">
        <w:rPr>
          <w:noProof/>
          <w:lang w:eastAsia="en-GB"/>
        </w:rPr>
        <w:drawing>
          <wp:inline distT="0" distB="0" distL="0" distR="0" wp14:anchorId="713EA076" wp14:editId="0A9ECB2D">
            <wp:extent cx="5097384" cy="3420000"/>
            <wp:effectExtent l="19050" t="0" r="8016" b="0"/>
            <wp:docPr id="5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 cstate="print"/>
                    <a:srcRect/>
                    <a:stretch>
                      <a:fillRect/>
                    </a:stretch>
                  </pic:blipFill>
                  <pic:spPr bwMode="auto">
                    <a:xfrm>
                      <a:off x="0" y="0"/>
                      <a:ext cx="5097384" cy="3420000"/>
                    </a:xfrm>
                    <a:prstGeom prst="rect">
                      <a:avLst/>
                    </a:prstGeom>
                    <a:noFill/>
                    <a:ln w="9525">
                      <a:noFill/>
                      <a:miter lim="800000"/>
                      <a:headEnd/>
                      <a:tailEnd/>
                    </a:ln>
                  </pic:spPr>
                </pic:pic>
              </a:graphicData>
            </a:graphic>
          </wp:inline>
        </w:drawing>
      </w:r>
    </w:p>
    <w:p w:rsidR="000574FF" w:rsidRPr="00174F91" w:rsidRDefault="000574FF" w:rsidP="00DF4ABC">
      <w:pPr>
        <w:pStyle w:val="Caption"/>
        <w:keepNext/>
        <w:spacing w:line="480" w:lineRule="auto"/>
        <w:jc w:val="center"/>
      </w:pPr>
      <w:bookmarkStart w:id="113" w:name="_Ref443500487"/>
      <w:bookmarkStart w:id="114" w:name="_Ref443641153"/>
      <w:r>
        <w:t xml:space="preserve">Figure </w:t>
      </w:r>
      <w:bookmarkEnd w:id="113"/>
      <w:r w:rsidR="0075172E">
        <w:fldChar w:fldCharType="begin"/>
      </w:r>
      <w:r w:rsidR="00EB1DC7">
        <w:instrText xml:space="preserve"> STYLEREF 1 \s </w:instrText>
      </w:r>
      <w:r w:rsidR="0075172E">
        <w:fldChar w:fldCharType="separate"/>
      </w:r>
      <w:r w:rsidR="00CB4EDC">
        <w:rPr>
          <w:noProof/>
        </w:rPr>
        <w:t>3</w:t>
      </w:r>
      <w:r w:rsidR="0075172E">
        <w:fldChar w:fldCharType="end"/>
      </w:r>
      <w:r w:rsidR="00EB1DC7">
        <w:t>.</w:t>
      </w:r>
      <w:r w:rsidR="0075172E">
        <w:fldChar w:fldCharType="begin"/>
      </w:r>
      <w:r w:rsidR="008628F5">
        <w:instrText xml:space="preserve"> SEQ Figure \* ARABIC \s 1 </w:instrText>
      </w:r>
      <w:r w:rsidR="0075172E">
        <w:fldChar w:fldCharType="separate"/>
      </w:r>
      <w:r w:rsidR="00CB4EDC">
        <w:rPr>
          <w:noProof/>
        </w:rPr>
        <w:t>18</w:t>
      </w:r>
      <w:r w:rsidR="0075172E">
        <w:fldChar w:fldCharType="end"/>
      </w:r>
      <w:bookmarkEnd w:id="114"/>
      <w:r>
        <w:t xml:space="preserve">: </w:t>
      </w:r>
      <w:r w:rsidRPr="00174F91">
        <w:t>Thermogram for the interaction of 5 µM BSA with 1 mM tannic acid at 40</w:t>
      </w:r>
      <w:r w:rsidR="006F2757">
        <w:t xml:space="preserve"> </w:t>
      </w:r>
      <w:r w:rsidRPr="00174F91">
        <w:t>°C.</w:t>
      </w:r>
    </w:p>
    <w:p w:rsidR="000574FF" w:rsidRDefault="000574FF" w:rsidP="000574FF">
      <w:pPr>
        <w:spacing w:line="480" w:lineRule="auto"/>
        <w:jc w:val="both"/>
        <w:rPr>
          <w:bCs/>
        </w:rPr>
      </w:pPr>
      <w:r>
        <w:rPr>
          <w:bCs/>
        </w:rPr>
        <w:t xml:space="preserve">BSA has approximately a total surface accessible area of </w:t>
      </w:r>
      <w:r w:rsidRPr="00300C3C">
        <w:rPr>
          <w:bCs/>
        </w:rPr>
        <w:t>63227.54 </w:t>
      </w:r>
      <w:r w:rsidRPr="005C447F">
        <w:rPr>
          <w:bCs/>
        </w:rPr>
        <w:t>Å²</w:t>
      </w:r>
      <w:r>
        <w:rPr>
          <w:bCs/>
        </w:rPr>
        <w:t xml:space="preserve"> which can be decomposed into a hydrophilic surface area of 28962.80 </w:t>
      </w:r>
      <w:r w:rsidRPr="005C447F">
        <w:rPr>
          <w:bCs/>
        </w:rPr>
        <w:t>Å²</w:t>
      </w:r>
      <w:r>
        <w:rPr>
          <w:bCs/>
        </w:rPr>
        <w:t xml:space="preserve"> and a hydrophobic surface area of 34264.74 </w:t>
      </w:r>
      <w:r w:rsidRPr="005C447F">
        <w:rPr>
          <w:bCs/>
        </w:rPr>
        <w:t>Å²</w:t>
      </w:r>
      <w:r>
        <w:rPr>
          <w:bCs/>
        </w:rPr>
        <w:t xml:space="preserve"> .</w:t>
      </w:r>
      <w:r w:rsidR="0075172E">
        <w:rPr>
          <w:bCs/>
        </w:rPr>
        <w:fldChar w:fldCharType="begin"/>
      </w:r>
      <w:r w:rsidR="006421D1">
        <w:rPr>
          <w:bCs/>
        </w:rPr>
        <w:instrText xml:space="preserve"> ADDIN EN.CITE &lt;EndNote&gt;&lt;Cite&gt;&lt;Author&gt;Cavallo&lt;/Author&gt;&lt;Year&gt;2003&lt;/Year&gt;&lt;RecNum&gt;495&lt;/RecNum&gt;&lt;DisplayText&gt;&lt;style face="superscript"&gt;183,229&lt;/style&gt;&lt;/DisplayText&gt;&lt;record&gt;&lt;rec-number&gt;495&lt;/rec-number&gt;&lt;foreign-keys&gt;&lt;key app="EN" db-id="5trrespwzsdr07efd5tx2w96x22re9s0fsdt"&gt;495&lt;/key&gt;&lt;/foreign-keys&gt;&lt;ref-type name="Journal Article"&gt;17&lt;/ref-type&gt;&lt;contributors&gt;&lt;authors&gt;&lt;author&gt;Cavallo, Luigi&lt;/author&gt;&lt;author&gt;Kleinjung, Jens&lt;/author&gt;&lt;author&gt;Fraternali, Franca&lt;/author&gt;&lt;/authors&gt;&lt;/contributors&gt;&lt;titles&gt;&lt;title&gt;POPS: a fast algorithm for solvent accessible surface areas at atomic and residue level&lt;/title&gt;&lt;secondary-title&gt;Nucleic Acids Research&lt;/secondary-title&gt;&lt;/titles&gt;&lt;periodical&gt;&lt;full-title&gt;Nucleic Acids Research&lt;/full-title&gt;&lt;/periodical&gt;&lt;pages&gt;3364-3366&lt;/pages&gt;&lt;volume&gt;31&lt;/volume&gt;&lt;number&gt;13&lt;/number&gt;&lt;dates&gt;&lt;year&gt;2003&lt;/year&gt;&lt;pub-dates&gt;&lt;date&gt;July 1, 2003&lt;/date&gt;&lt;/pub-dates&gt;&lt;/dates&gt;&lt;urls&gt;&lt;related-urls&gt;&lt;url&gt;http://nar.oxfordjournals.org/content/31/13/3364.abstract&lt;/url&gt;&lt;/related-urls&gt;&lt;/urls&gt;&lt;electronic-resource-num&gt;10.1093/nar/gkg601&lt;/electronic-resource-num&gt;&lt;/record&gt;&lt;/Cite&gt;&lt;Cite&gt;&lt;Author&gt;Bujacz&lt;/Author&gt;&lt;Year&gt;2012&lt;/Year&gt;&lt;RecNum&gt;494&lt;/RecNum&gt;&lt;record&gt;&lt;rec-number&gt;494&lt;/rec-number&gt;&lt;foreign-keys&gt;&lt;key app="EN" db-id="5trrespwzsdr07efd5tx2w96x22re9s0fsdt"&gt;494&lt;/key&gt;&lt;/foreign-keys&gt;&lt;ref-type name="Journal Article"&gt;17&lt;/ref-type&gt;&lt;contributors&gt;&lt;authors&gt;&lt;author&gt;Bujacz, Anna&lt;/author&gt;&lt;/authors&gt;&lt;/contributors&gt;&lt;titles&gt;&lt;title&gt;Structures of bovine, equine and leporine serum albumin&lt;/title&gt;&lt;secondary-title&gt;Acta Crystallographica Section D: Biological Crystallography&lt;/secondary-title&gt;&lt;/titles&gt;&lt;periodical&gt;&lt;full-title&gt;Acta Crystallographica Section D: Biological Crystallography&lt;/full-title&gt;&lt;/periodical&gt;&lt;pages&gt;1278-1289&lt;/pages&gt;&lt;volume&gt;68&lt;/volume&gt;&lt;number&gt;10&lt;/number&gt;&lt;dates&gt;&lt;year&gt;2012&lt;/year&gt;&lt;/dates&gt;&lt;isbn&gt;0907-4449&lt;/isbn&gt;&lt;urls&gt;&lt;/urls&gt;&lt;/record&gt;&lt;/Cite&gt;&lt;/EndNote&gt;</w:instrText>
      </w:r>
      <w:r w:rsidR="0075172E">
        <w:rPr>
          <w:bCs/>
        </w:rPr>
        <w:fldChar w:fldCharType="separate"/>
      </w:r>
      <w:hyperlink w:anchor="_ENREF_183" w:tooltip="Bujacz, 2012 #494" w:history="1">
        <w:r w:rsidR="00512D09" w:rsidRPr="006421D1">
          <w:rPr>
            <w:bCs/>
            <w:noProof/>
            <w:vertAlign w:val="superscript"/>
          </w:rPr>
          <w:t>183</w:t>
        </w:r>
      </w:hyperlink>
      <w:r w:rsidR="006421D1" w:rsidRPr="006421D1">
        <w:rPr>
          <w:bCs/>
          <w:noProof/>
          <w:vertAlign w:val="superscript"/>
        </w:rPr>
        <w:t>,</w:t>
      </w:r>
      <w:hyperlink w:anchor="_ENREF_229" w:tooltip="Cavallo, 2003 #495" w:history="1">
        <w:r w:rsidR="00512D09" w:rsidRPr="006421D1">
          <w:rPr>
            <w:bCs/>
            <w:noProof/>
            <w:vertAlign w:val="superscript"/>
          </w:rPr>
          <w:t>229</w:t>
        </w:r>
      </w:hyperlink>
      <w:r w:rsidR="0075172E">
        <w:rPr>
          <w:bCs/>
        </w:rPr>
        <w:fldChar w:fldCharType="end"/>
      </w:r>
      <w:r>
        <w:rPr>
          <w:bCs/>
        </w:rPr>
        <w:t xml:space="preserve"> Inspection of the crystal structure reveals that these hydrophobic and hydrophilic regions are dotted around the protein surface.</w:t>
      </w:r>
      <w:hyperlink w:anchor="_ENREF_183" w:tooltip="Bujacz, 2012 #494" w:history="1">
        <w:r w:rsidR="00512D09">
          <w:rPr>
            <w:bCs/>
          </w:rPr>
          <w:fldChar w:fldCharType="begin"/>
        </w:r>
        <w:r w:rsidR="00512D09">
          <w:rPr>
            <w:bCs/>
          </w:rPr>
          <w:instrText xml:space="preserve"> ADDIN EN.CITE &lt;EndNote&gt;&lt;Cite&gt;&lt;Author&gt;Bujacz&lt;/Author&gt;&lt;Year&gt;2012&lt;/Year&gt;&lt;RecNum&gt;494&lt;/RecNum&gt;&lt;DisplayText&gt;&lt;style face="superscript"&gt;183&lt;/style&gt;&lt;/DisplayText&gt;&lt;record&gt;&lt;rec-number&gt;494&lt;/rec-number&gt;&lt;foreign-keys&gt;&lt;key app="EN" db-id="5trrespwzsdr07efd5tx2w96x22re9s0fsdt"&gt;494&lt;/key&gt;&lt;/foreign-keys&gt;&lt;ref-type name="Journal Article"&gt;17&lt;/ref-type&gt;&lt;contributors&gt;&lt;authors&gt;&lt;author&gt;Bujacz, Anna&lt;/author&gt;&lt;/authors&gt;&lt;/contributors&gt;&lt;titles&gt;&lt;title&gt;Structures of bovine, equine and leporine serum albumin&lt;/title&gt;&lt;secondary-title&gt;Acta Crystallographica Section D: Biological Crystallography&lt;/secondary-title&gt;&lt;/titles&gt;&lt;periodical&gt;&lt;full-title&gt;Acta Crystallographica Section D: Biological Crystallography&lt;/full-title&gt;&lt;/periodical&gt;&lt;pages&gt;1278-1289&lt;/pages&gt;&lt;volume&gt;68&lt;/volume&gt;&lt;number&gt;10&lt;/number&gt;&lt;dates&gt;&lt;year&gt;2012&lt;/year&gt;&lt;/dates&gt;&lt;isbn&gt;0907-4449&lt;/isbn&gt;&lt;urls&gt;&lt;/urls&gt;&lt;/record&gt;&lt;/Cite&gt;&lt;/EndNote&gt;</w:instrText>
        </w:r>
        <w:r w:rsidR="00512D09">
          <w:rPr>
            <w:bCs/>
          </w:rPr>
          <w:fldChar w:fldCharType="separate"/>
        </w:r>
        <w:r w:rsidR="00512D09" w:rsidRPr="006421D1">
          <w:rPr>
            <w:bCs/>
            <w:noProof/>
            <w:vertAlign w:val="superscript"/>
          </w:rPr>
          <w:t>183</w:t>
        </w:r>
        <w:r w:rsidR="00512D09">
          <w:rPr>
            <w:bCs/>
          </w:rPr>
          <w:fldChar w:fldCharType="end"/>
        </w:r>
      </w:hyperlink>
      <w:r>
        <w:rPr>
          <w:bCs/>
        </w:rPr>
        <w:t xml:space="preserve"> Tannin binding to BSA is not site specific as it does not involve a particular recognition motif. Tannins are capable of hydrophobic interaction and hydrogen bonding. The positive </w:t>
      </w:r>
      <w:r w:rsidRPr="002764A1">
        <w:rPr>
          <w:bCs/>
        </w:rPr>
        <w:t>Δ</w:t>
      </w:r>
      <w:r w:rsidRPr="00FC1F8B">
        <w:rPr>
          <w:bCs/>
          <w:i/>
        </w:rPr>
        <w:t>C</w:t>
      </w:r>
      <w:r w:rsidRPr="00FC1F8B">
        <w:rPr>
          <w:bCs/>
          <w:i/>
          <w:vertAlign w:val="subscript"/>
        </w:rPr>
        <w:t>p</w:t>
      </w:r>
      <w:r>
        <w:rPr>
          <w:bCs/>
          <w:i/>
        </w:rPr>
        <w:t xml:space="preserve"> </w:t>
      </w:r>
      <w:r>
        <w:rPr>
          <w:bCs/>
        </w:rPr>
        <w:t xml:space="preserve">suggests tannins initially interact with hydrophilic areas of the protein, but given the large </w:t>
      </w:r>
      <w:r w:rsidR="00BA7E7A">
        <w:rPr>
          <w:bCs/>
        </w:rPr>
        <w:t>apolar</w:t>
      </w:r>
      <w:r>
        <w:rPr>
          <w:bCs/>
        </w:rPr>
        <w:t xml:space="preserve"> surface area of the protein binding most likely occurs there too. A </w:t>
      </w:r>
      <w:r w:rsidRPr="002764A1">
        <w:rPr>
          <w:bCs/>
        </w:rPr>
        <w:t>Δ</w:t>
      </w:r>
      <w:r w:rsidRPr="00FC1F8B">
        <w:rPr>
          <w:bCs/>
          <w:i/>
        </w:rPr>
        <w:t>C</w:t>
      </w:r>
      <w:r w:rsidRPr="00FC1F8B">
        <w:rPr>
          <w:bCs/>
          <w:i/>
          <w:vertAlign w:val="subscript"/>
        </w:rPr>
        <w:t>p</w:t>
      </w:r>
      <w:r>
        <w:rPr>
          <w:bCs/>
          <w:i/>
          <w:vertAlign w:val="subscript"/>
        </w:rPr>
        <w:t xml:space="preserve"> </w:t>
      </w:r>
      <w:r>
        <w:rPr>
          <w:bCs/>
        </w:rPr>
        <w:t xml:space="preserve">is a net contribution and therefore could be interpreted as much larger contribution from polar interactions in </w:t>
      </w:r>
      <w:r w:rsidR="001A3C37">
        <w:rPr>
          <w:bCs/>
        </w:rPr>
        <w:t>comparison</w:t>
      </w:r>
      <w:r>
        <w:rPr>
          <w:bCs/>
        </w:rPr>
        <w:t xml:space="preserve"> to </w:t>
      </w:r>
      <w:r w:rsidR="00BA7E7A">
        <w:rPr>
          <w:bCs/>
        </w:rPr>
        <w:t>apolar</w:t>
      </w:r>
      <w:r>
        <w:rPr>
          <w:bCs/>
        </w:rPr>
        <w:t xml:space="preserve">. At higher molar ratios, the enthalpic temperature dependence diminishes. This could mean that at higher tannic acid concentrations, interactions occur at less hydrophilic areas of the protein. This would be less temperature dependent because the increase in endothermicity with increasing temperature would change less. </w:t>
      </w:r>
    </w:p>
    <w:p w:rsidR="000574FF" w:rsidRDefault="000574FF" w:rsidP="000574FF">
      <w:pPr>
        <w:spacing w:line="480" w:lineRule="auto"/>
        <w:jc w:val="both"/>
        <w:rPr>
          <w:bCs/>
        </w:rPr>
      </w:pPr>
      <w:r>
        <w:rPr>
          <w:bCs/>
        </w:rPr>
        <w:lastRenderedPageBreak/>
        <w:t xml:space="preserve">Polyproline has a uniform distribution of binding sites unlike BSA. </w:t>
      </w:r>
      <w:r w:rsidR="000E5A5A">
        <w:rPr>
          <w:bCs/>
        </w:rPr>
        <w:t xml:space="preserve">This means in the case of polyproline-tannic acid interactions that tannin binding only occurs at proline residues. </w:t>
      </w:r>
      <w:r>
        <w:rPr>
          <w:bCs/>
        </w:rPr>
        <w:t xml:space="preserve">Over the temperature range studied there is no change in the </w:t>
      </w:r>
      <w:r w:rsidR="005A06A3">
        <w:rPr>
          <w:bCs/>
        </w:rPr>
        <w:t xml:space="preserve">shape of the </w:t>
      </w:r>
      <w:r>
        <w:rPr>
          <w:bCs/>
        </w:rPr>
        <w:t>binding isotherm</w:t>
      </w:r>
      <w:r w:rsidR="00B95AD7">
        <w:rPr>
          <w:bCs/>
        </w:rPr>
        <w:t>, but there is a change in the stoichiometry suggestin</w:t>
      </w:r>
      <w:r w:rsidR="00C766A3">
        <w:rPr>
          <w:bCs/>
        </w:rPr>
        <w:t>g a possible crosslinking event</w:t>
      </w:r>
      <w:r>
        <w:rPr>
          <w:bCs/>
        </w:rPr>
        <w:t xml:space="preserve"> (</w:t>
      </w:r>
      <w:r w:rsidR="0075172E">
        <w:rPr>
          <w:bCs/>
        </w:rPr>
        <w:fldChar w:fldCharType="begin"/>
      </w:r>
      <w:r w:rsidR="00481561">
        <w:rPr>
          <w:bCs/>
        </w:rPr>
        <w:instrText xml:space="preserve"> REF _Ref442877952 \h </w:instrText>
      </w:r>
      <w:r w:rsidR="0075172E">
        <w:rPr>
          <w:bCs/>
        </w:rPr>
      </w:r>
      <w:r w:rsidR="0075172E">
        <w:rPr>
          <w:bCs/>
        </w:rPr>
        <w:fldChar w:fldCharType="separate"/>
      </w:r>
      <w:r w:rsidR="00D753A0">
        <w:t xml:space="preserve">Figure </w:t>
      </w:r>
      <w:r w:rsidR="00D753A0">
        <w:rPr>
          <w:noProof/>
        </w:rPr>
        <w:t>3</w:t>
      </w:r>
      <w:r w:rsidR="00D753A0">
        <w:t>.</w:t>
      </w:r>
      <w:r w:rsidR="00D753A0">
        <w:rPr>
          <w:noProof/>
        </w:rPr>
        <w:t>14</w:t>
      </w:r>
      <w:r w:rsidR="0075172E">
        <w:rPr>
          <w:bCs/>
        </w:rPr>
        <w:fldChar w:fldCharType="end"/>
      </w:r>
      <w:r>
        <w:rPr>
          <w:bCs/>
        </w:rPr>
        <w:t xml:space="preserve">). This supports the idea that, in the case with tannic acid binding to BSA, the upward curvature </w:t>
      </w:r>
      <w:r w:rsidR="000E5A5A">
        <w:rPr>
          <w:bCs/>
        </w:rPr>
        <w:t>only becomes apparent when the binding sites are heterogeneous</w:t>
      </w:r>
      <w:r w:rsidR="00B95AD7">
        <w:rPr>
          <w:bCs/>
        </w:rPr>
        <w:t xml:space="preserve">. </w:t>
      </w:r>
      <w:r w:rsidR="000E5A5A">
        <w:rPr>
          <w:bCs/>
        </w:rPr>
        <w:t xml:space="preserve">The polyproline-tannic acid interaction would not give a biphasic binding isotherm as binding only occurs at proline residues. Whereas with BSA, tannin binding would occur at different amino acids each with a different </w:t>
      </w:r>
      <w:r w:rsidR="000E5A5A" w:rsidRPr="00536BC2">
        <w:rPr>
          <w:bCs/>
        </w:rPr>
        <w:t>Δ</w:t>
      </w:r>
      <w:r w:rsidR="000E5A5A" w:rsidRPr="00536BC2">
        <w:rPr>
          <w:bCs/>
          <w:i/>
          <w:iCs/>
        </w:rPr>
        <w:t>H</w:t>
      </w:r>
      <w:r w:rsidR="000E5A5A">
        <w:rPr>
          <w:bCs/>
        </w:rPr>
        <w:t xml:space="preserve">. </w:t>
      </w:r>
      <w:r>
        <w:rPr>
          <w:bCs/>
        </w:rPr>
        <w:t xml:space="preserve">It is possible that tannin binding to polyproline does not yield a biphasic binding isotherm as tannic acid crosslinks identical </w:t>
      </w:r>
      <w:r w:rsidR="000E5A5A">
        <w:rPr>
          <w:bCs/>
        </w:rPr>
        <w:t>polyproline monomers</w:t>
      </w:r>
      <w:r>
        <w:rPr>
          <w:bCs/>
        </w:rPr>
        <w:t xml:space="preserve">. BSA does not have a uniform surface. It is possible that tannic acid binds separate BSA monomers at different amino acids yielding biphasicity in the binding isotherm. </w:t>
      </w:r>
    </w:p>
    <w:p w:rsidR="000574FF" w:rsidRDefault="000574FF" w:rsidP="000574FF">
      <w:pPr>
        <w:spacing w:line="480" w:lineRule="auto"/>
        <w:jc w:val="both"/>
        <w:rPr>
          <w:bCs/>
        </w:rPr>
      </w:pPr>
      <w:r>
        <w:rPr>
          <w:bCs/>
        </w:rPr>
        <w:t>However</w:t>
      </w:r>
      <w:r w:rsidR="00D84EDE">
        <w:rPr>
          <w:bCs/>
        </w:rPr>
        <w:t>,</w:t>
      </w:r>
      <w:r>
        <w:rPr>
          <w:bCs/>
        </w:rPr>
        <w:t xml:space="preserve"> Poncet-Legrand </w:t>
      </w:r>
      <w:r w:rsidR="00174959" w:rsidRPr="00174959">
        <w:rPr>
          <w:bCs/>
          <w:i/>
        </w:rPr>
        <w:t>et al.</w:t>
      </w:r>
      <w:r w:rsidR="00174959">
        <w:rPr>
          <w:bCs/>
        </w:rPr>
        <w:t xml:space="preserve"> </w:t>
      </w:r>
      <w:r>
        <w:rPr>
          <w:bCs/>
        </w:rPr>
        <w:t xml:space="preserve">observed an increase in </w:t>
      </w:r>
      <w:r w:rsidR="00E45BE4" w:rsidRPr="00536BC2">
        <w:rPr>
          <w:bCs/>
        </w:rPr>
        <w:t>Δ</w:t>
      </w:r>
      <w:r w:rsidR="00E45BE4" w:rsidRPr="00536BC2">
        <w:rPr>
          <w:bCs/>
          <w:i/>
          <w:iCs/>
        </w:rPr>
        <w:t>H</w:t>
      </w:r>
      <w:r w:rsidR="00E45BE4">
        <w:rPr>
          <w:bCs/>
        </w:rPr>
        <w:t xml:space="preserve"> </w:t>
      </w:r>
      <w:r>
        <w:rPr>
          <w:bCs/>
        </w:rPr>
        <w:t xml:space="preserve">at the early stages of titration of a tannin fraction into polyproline. </w:t>
      </w:r>
      <w:hyperlink w:anchor="_ENREF_144" w:tooltip="Poncet-Legrand, 2007 #425" w:history="1">
        <w:r w:rsidR="00512D09">
          <w:rPr>
            <w:bCs/>
          </w:rPr>
          <w:fldChar w:fldCharType="begin"/>
        </w:r>
        <w:r w:rsidR="00512D09">
          <w:rPr>
            <w:bCs/>
          </w:rPr>
          <w:instrText xml:space="preserve"> ADDIN EN.CITE &lt;EndNote&gt;&lt;Cite&gt;&lt;Author&gt;Poncet-Legrand&lt;/Author&gt;&lt;Year&gt;2007&lt;/Year&gt;&lt;RecNum&gt;425&lt;/RecNum&gt;&lt;DisplayText&gt;&lt;style face="superscript"&gt;144&lt;/style&gt;&lt;/DisplayText&gt;&lt;record&gt;&lt;rec-number&gt;425&lt;/rec-number&gt;&lt;foreign-keys&gt;&lt;key app="EN" db-id="5trrespwzsdr07efd5tx2w96x22re9s0fsdt"&gt;425&lt;/key&gt;&lt;/foreign-keys&gt;&lt;ref-type name="Journal Article"&gt;17&lt;/ref-type&gt;&lt;contributors&gt;&lt;authors&gt;&lt;author&gt;Poncet-Legrand, Céline&lt;/author&gt;&lt;author&gt;Gautier, Catherine&lt;/author&gt;&lt;author&gt;Cheynier, Véronique&lt;/author&gt;&lt;author&gt;Imberty, Anne&lt;/author&gt;&lt;/authors&gt;&lt;/contributors&gt;&lt;titles&gt;&lt;title&gt;Interactions between flavan-3-ols and poly (L-proline) studied by isothermal titration calorimetry: effect of the tannin structure&lt;/title&gt;&lt;secondary-title&gt;Journal of Agricultural and Food Chemistry&lt;/secondary-title&gt;&lt;/titles&gt;&lt;periodical&gt;&lt;full-title&gt;Journal of Agricultural and Food Chemistry&lt;/full-title&gt;&lt;/periodical&gt;&lt;pages&gt;9235-9240&lt;/pages&gt;&lt;volume&gt;55&lt;/volume&gt;&lt;number&gt;22&lt;/number&gt;&lt;dates&gt;&lt;year&gt;2007&lt;/year&gt;&lt;/dates&gt;&lt;isbn&gt;0021-8561&lt;/isbn&gt;&lt;urls&gt;&lt;/urls&gt;&lt;/record&gt;&lt;/Cite&gt;&lt;/EndNote&gt;</w:instrText>
        </w:r>
        <w:r w:rsidR="00512D09">
          <w:rPr>
            <w:bCs/>
          </w:rPr>
          <w:fldChar w:fldCharType="separate"/>
        </w:r>
        <w:r w:rsidR="00512D09" w:rsidRPr="00F80CAD">
          <w:rPr>
            <w:bCs/>
            <w:noProof/>
            <w:vertAlign w:val="superscript"/>
          </w:rPr>
          <w:t>144</w:t>
        </w:r>
        <w:r w:rsidR="00512D09">
          <w:rPr>
            <w:bCs/>
          </w:rPr>
          <w:fldChar w:fldCharType="end"/>
        </w:r>
      </w:hyperlink>
      <w:r>
        <w:rPr>
          <w:bCs/>
        </w:rPr>
        <w:t xml:space="preserve"> This opens up other possible reasons as to the biphasicity. Interactions between EGCG and IB-5 were studied by DLS, ITC and CD. ITC along with DLS showed a three s</w:t>
      </w:r>
      <w:r w:rsidR="000132F8">
        <w:rPr>
          <w:bCs/>
        </w:rPr>
        <w:t>tage mechanism. The first stage</w:t>
      </w:r>
      <w:r>
        <w:rPr>
          <w:bCs/>
        </w:rPr>
        <w:t xml:space="preserve"> seemed to correspond to simple binding as this gave a simple binding isotherm with no detectable aggregates. The ITC isotherm was followed by a stable but negative change in </w:t>
      </w:r>
      <w:r w:rsidR="000E5A5A">
        <w:rPr>
          <w:bCs/>
        </w:rPr>
        <w:t>enthalpy, which corresponded,</w:t>
      </w:r>
      <w:r>
        <w:rPr>
          <w:bCs/>
        </w:rPr>
        <w:t xml:space="preserve"> to </w:t>
      </w:r>
      <w:r w:rsidR="004E6FB4">
        <w:rPr>
          <w:bCs/>
        </w:rPr>
        <w:t>tannins binding to tannin coated peptides</w:t>
      </w:r>
      <w:r>
        <w:rPr>
          <w:bCs/>
        </w:rPr>
        <w:t>. This was then followed by extensive aggregation and gave a “bell shaped” binding isotherm comparable to the tannic acid-BSA interactions.</w:t>
      </w:r>
      <w:hyperlink w:anchor="_ENREF_147" w:tooltip="Pascal, 2007 #411" w:history="1">
        <w:r w:rsidR="00512D09">
          <w:rPr>
            <w:bCs/>
          </w:rPr>
          <w:fldChar w:fldCharType="begin"/>
        </w:r>
        <w:r w:rsidR="00512D09">
          <w:rPr>
            <w:bCs/>
          </w:rPr>
          <w:instrText xml:space="preserve"> ADDIN EN.CITE &lt;EndNote&gt;&lt;Cite&gt;&lt;Author&gt;Pascal&lt;/Author&gt;&lt;Year&gt;2007&lt;/Year&gt;&lt;RecNum&gt;411&lt;/RecNum&gt;&lt;DisplayText&gt;&lt;style face="superscript"&gt;147&lt;/style&gt;&lt;/DisplayText&gt;&lt;record&gt;&lt;rec-number&gt;411&lt;/rec-number&gt;&lt;foreign-keys&gt;&lt;key app="EN" db-id="5trrespwzsdr07efd5tx2w96x22re9s0fsdt"&gt;411&lt;/key&gt;&lt;/foreign-keys&gt;&lt;ref-type name="Journal Article"&gt;17&lt;/ref-type&gt;&lt;contributors&gt;&lt;authors&gt;&lt;author&gt;Pascal, Christine&lt;/author&gt;&lt;author&gt;Poncet-Legrand, Céline&lt;/author&gt;&lt;author&gt;Imberty, Anne&lt;/author&gt;&lt;author&gt;Gautier, Catherine&lt;/author&gt;&lt;author&gt;Sarni-Manchado, Pascale&lt;/author&gt;&lt;author&gt;Cheynier, Véronique&lt;/author&gt;&lt;author&gt;Vernhet, Aude&lt;/author&gt;&lt;/authors&gt;&lt;/contributors&gt;&lt;titles&gt;&lt;title&gt;Interactions between a Non Glycosylated Human Proline-Rich Protein and Flavan-3-ols Are Affected by Protein Concentration and Polyphenol/Protein Ratio&lt;/title&gt;&lt;secondary-title&gt;Journal of Agricultural and Food Chemistry&lt;/secondary-title&gt;&lt;/titles&gt;&lt;periodical&gt;&lt;full-title&gt;Journal of Agricultural and Food Chemistry&lt;/full-title&gt;&lt;/periodical&gt;&lt;pages&gt;4895-4901&lt;/pages&gt;&lt;volume&gt;55&lt;/volume&gt;&lt;number&gt;12&lt;/number&gt;&lt;dates&gt;&lt;year&gt;2007&lt;/year&gt;&lt;pub-dates&gt;&lt;date&gt;2007/06/01&lt;/date&gt;&lt;/pub-dates&gt;&lt;/dates&gt;&lt;publisher&gt;American Chemical Society&lt;/publisher&gt;&lt;isbn&gt;0021-8561&lt;/isbn&gt;&lt;urls&gt;&lt;related-urls&gt;&lt;url&gt;http://dx.doi.org/10.1021/jf0704108&lt;/url&gt;&lt;/related-urls&gt;&lt;/urls&gt;&lt;electronic-resource-num&gt;10.1021/jf0704108&lt;/electronic-resource-num&gt;&lt;access-date&gt;2014/10/07&lt;/access-date&gt;&lt;/record&gt;&lt;/Cite&gt;&lt;/EndNote&gt;</w:instrText>
        </w:r>
        <w:r w:rsidR="00512D09">
          <w:rPr>
            <w:bCs/>
          </w:rPr>
          <w:fldChar w:fldCharType="separate"/>
        </w:r>
        <w:r w:rsidR="00512D09" w:rsidRPr="00F80CAD">
          <w:rPr>
            <w:bCs/>
            <w:noProof/>
            <w:vertAlign w:val="superscript"/>
          </w:rPr>
          <w:t>147</w:t>
        </w:r>
        <w:r w:rsidR="00512D09">
          <w:rPr>
            <w:bCs/>
          </w:rPr>
          <w:fldChar w:fldCharType="end"/>
        </w:r>
      </w:hyperlink>
      <w:r>
        <w:rPr>
          <w:bCs/>
        </w:rPr>
        <w:t xml:space="preserve"> However, NTA showed particles upon the addition of tannic acid to polyproline, yet the binding isotherm did not show the upward curvature. </w:t>
      </w:r>
      <w:r w:rsidR="00A612AE">
        <w:rPr>
          <w:bCs/>
        </w:rPr>
        <w:t xml:space="preserve">Consequently, </w:t>
      </w:r>
      <w:r>
        <w:rPr>
          <w:bCs/>
        </w:rPr>
        <w:t>this would mean extensive aggregation does not occur at 10</w:t>
      </w:r>
      <w:r w:rsidR="006F2757">
        <w:rPr>
          <w:bCs/>
        </w:rPr>
        <w:t xml:space="preserve"> </w:t>
      </w:r>
      <w:r>
        <w:rPr>
          <w:bCs/>
        </w:rPr>
        <w:t xml:space="preserve">°C for the BSA-tannic acid binding isotherm. </w:t>
      </w:r>
    </w:p>
    <w:p w:rsidR="00174959" w:rsidRPr="001F3A4E" w:rsidRDefault="00174959" w:rsidP="000574FF">
      <w:pPr>
        <w:spacing w:line="480" w:lineRule="auto"/>
        <w:jc w:val="both"/>
        <w:rPr>
          <w:bCs/>
        </w:rPr>
      </w:pPr>
      <w:r>
        <w:rPr>
          <w:bCs/>
        </w:rPr>
        <w:lastRenderedPageBreak/>
        <w:t xml:space="preserve">Ethanol was not present in the study conducted by Poncet-Legrand </w:t>
      </w:r>
      <w:r w:rsidRPr="00174959">
        <w:rPr>
          <w:bCs/>
          <w:i/>
        </w:rPr>
        <w:t>et al</w:t>
      </w:r>
      <w:r>
        <w:rPr>
          <w:bCs/>
          <w:i/>
        </w:rPr>
        <w:t>.,</w:t>
      </w:r>
      <w:r>
        <w:rPr>
          <w:bCs/>
        </w:rPr>
        <w:t xml:space="preserve"> but it was present in this study. Another possibility is that ethanol reduces the crosslinking or aggregation meaning there is no biphasicity in the binding isotherm.   </w:t>
      </w:r>
      <w:r w:rsidR="001F3A4E">
        <w:rPr>
          <w:bCs/>
        </w:rPr>
        <w:t xml:space="preserve">Ethanol is known to reduce tannin-induced aggregation. Pascal </w:t>
      </w:r>
      <w:r w:rsidR="001F3A4E" w:rsidRPr="001F3A4E">
        <w:rPr>
          <w:bCs/>
          <w:i/>
        </w:rPr>
        <w:t>et al.</w:t>
      </w:r>
      <w:r w:rsidR="001F3A4E">
        <w:rPr>
          <w:bCs/>
        </w:rPr>
        <w:t xml:space="preserve"> </w:t>
      </w:r>
      <w:r w:rsidR="001F3A4E" w:rsidRPr="001F3A4E">
        <w:t>showed that in the presence of 12% ethanol, the aggregates formed between epigallocatechin gallate and a</w:t>
      </w:r>
      <w:r w:rsidR="001F3A4E">
        <w:t xml:space="preserve"> </w:t>
      </w:r>
      <w:r w:rsidR="001F3A4E" w:rsidRPr="001F3A4E">
        <w:t xml:space="preserve">glycosylated proline rich peptide </w:t>
      </w:r>
      <w:r w:rsidR="001F3A4E">
        <w:t>were</w:t>
      </w:r>
      <w:r w:rsidR="001F3A4E" w:rsidRPr="001F3A4E">
        <w:t xml:space="preserve"> reduced.</w:t>
      </w:r>
      <w:hyperlink w:anchor="_ENREF_230" w:tooltip="Pascal, 2008 #780" w:history="1">
        <w:r w:rsidR="00512D09">
          <w:fldChar w:fldCharType="begin"/>
        </w:r>
        <w:r w:rsidR="00512D09">
          <w:instrText xml:space="preserve"> ADDIN EN.CITE &lt;EndNote&gt;&lt;Cite&gt;&lt;Author&gt;Pascal&lt;/Author&gt;&lt;Year&gt;2008&lt;/Year&gt;&lt;RecNum&gt;780&lt;/RecNum&gt;&lt;DisplayText&gt;&lt;style face="superscript"&gt;230&lt;/style&gt;&lt;/DisplayText&gt;&lt;record&gt;&lt;rec-number&gt;780&lt;/rec-number&gt;&lt;foreign-keys&gt;&lt;key app="EN" db-id="5trrespwzsdr07efd5tx2w96x22re9s0fsdt"&gt;780&lt;/key&gt;&lt;/foreign-keys&gt;&lt;ref-type name="Journal Article"&gt;17&lt;/ref-type&gt;&lt;contributors&gt;&lt;authors&gt;&lt;author&gt;Pascal, Christine&lt;/author&gt;&lt;author&gt;Poncet-Legrand, Céline&lt;/author&gt;&lt;author&gt;Cabane, Bernard&lt;/author&gt;&lt;author&gt;Vernhet, Aude&lt;/author&gt;&lt;/authors&gt;&lt;/contributors&gt;&lt;titles&gt;&lt;title&gt;Aggregation of a Proline-Rich Protein Induced by Epigallocatechin Gallate and Condensed Tannins: Effect of Protein Glycosylation&lt;/title&gt;&lt;secondary-title&gt;Journal of Agricultural and Food Chemistry&lt;/secondary-title&gt;&lt;/titles&gt;&lt;periodical&gt;&lt;full-title&gt;Journal of Agricultural and Food Chemistry&lt;/full-title&gt;&lt;/periodical&gt;&lt;pages&gt;6724-6732&lt;/pages&gt;&lt;volume&gt;56&lt;/volume&gt;&lt;number&gt;15&lt;/number&gt;&lt;dates&gt;&lt;year&gt;2008&lt;/year&gt;&lt;pub-dates&gt;&lt;date&gt;2008/08/01&lt;/date&gt;&lt;/pub-dates&gt;&lt;/dates&gt;&lt;publisher&gt;American Chemical Society&lt;/publisher&gt;&lt;isbn&gt;0021-8561&lt;/isbn&gt;&lt;urls&gt;&lt;related-urls&gt;&lt;url&gt;http://dx.doi.org/10.1021/jf800790d&lt;/url&gt;&lt;/related-urls&gt;&lt;/urls&gt;&lt;electronic-resource-num&gt;10.1021/jf800790d&lt;/electronic-resource-num&gt;&lt;/record&gt;&lt;/Cite&gt;&lt;/EndNote&gt;</w:instrText>
        </w:r>
        <w:r w:rsidR="00512D09">
          <w:fldChar w:fldCharType="separate"/>
        </w:r>
        <w:r w:rsidR="00512D09" w:rsidRPr="006421D1">
          <w:rPr>
            <w:noProof/>
            <w:vertAlign w:val="superscript"/>
          </w:rPr>
          <w:t>230</w:t>
        </w:r>
        <w:r w:rsidR="00512D09">
          <w:fldChar w:fldCharType="end"/>
        </w:r>
      </w:hyperlink>
      <w:r w:rsidR="001F3A4E" w:rsidRPr="001F3A4E">
        <w:rPr>
          <w:color w:val="000000"/>
          <w:shd w:val="clear" w:color="auto" w:fill="F4F9FD"/>
        </w:rPr>
        <w:t xml:space="preserve"> In addition</w:t>
      </w:r>
      <w:r w:rsidR="001F3A4E">
        <w:rPr>
          <w:color w:val="000000"/>
          <w:shd w:val="clear" w:color="auto" w:fill="F4F9FD"/>
        </w:rPr>
        <w:t xml:space="preserve"> to this, no </w:t>
      </w:r>
      <w:r w:rsidR="005937CD">
        <w:rPr>
          <w:color w:val="000000"/>
          <w:shd w:val="clear" w:color="auto" w:fill="F4F9FD"/>
        </w:rPr>
        <w:t>stable dispersions of large insoluble aggregates were</w:t>
      </w:r>
      <w:r w:rsidR="001F3A4E">
        <w:rPr>
          <w:color w:val="000000"/>
          <w:shd w:val="clear" w:color="auto" w:fill="F4F9FD"/>
        </w:rPr>
        <w:t xml:space="preserve"> reported</w:t>
      </w:r>
      <w:r w:rsidR="008376A0">
        <w:rPr>
          <w:color w:val="000000"/>
          <w:shd w:val="clear" w:color="auto" w:fill="F4F9FD"/>
        </w:rPr>
        <w:t>,</w:t>
      </w:r>
      <w:r w:rsidR="001F3A4E">
        <w:rPr>
          <w:color w:val="000000"/>
          <w:shd w:val="clear" w:color="auto" w:fill="F4F9FD"/>
        </w:rPr>
        <w:t xml:space="preserve"> even at high tannin/macromolecule molar ratios. </w:t>
      </w:r>
      <w:r w:rsidR="005937CD">
        <w:rPr>
          <w:color w:val="000000"/>
          <w:shd w:val="clear" w:color="auto" w:fill="F4F9FD"/>
        </w:rPr>
        <w:t xml:space="preserve">It is therefore entirely possible, that in the study presented here, the ethanol has reduced tannic acid-polyproline aggregation leading to no </w:t>
      </w:r>
      <w:r w:rsidR="005937CD">
        <w:rPr>
          <w:bCs/>
        </w:rPr>
        <w:t>biphasicity</w:t>
      </w:r>
      <w:r w:rsidR="005937CD">
        <w:rPr>
          <w:color w:val="000000"/>
          <w:shd w:val="clear" w:color="auto" w:fill="F4F9FD"/>
        </w:rPr>
        <w:t xml:space="preserve"> in the binding isotherm. </w:t>
      </w:r>
    </w:p>
    <w:p w:rsidR="00097947" w:rsidRPr="00D22CD7" w:rsidRDefault="00097947" w:rsidP="00097947">
      <w:pPr>
        <w:pStyle w:val="Heading3"/>
        <w:spacing w:line="480" w:lineRule="auto"/>
      </w:pPr>
      <w:bookmarkStart w:id="115" w:name="_Toc459130706"/>
      <w:r w:rsidRPr="00097947">
        <w:rPr>
          <w:bCs w:val="0"/>
        </w:rPr>
        <w:t xml:space="preserve">Tetrameric Proanthocyanidin </w:t>
      </w:r>
      <w:r w:rsidRPr="00097947">
        <w:t>Interactions</w:t>
      </w:r>
      <w:r>
        <w:t xml:space="preserve"> with Polyproline</w:t>
      </w:r>
      <w:bookmarkEnd w:id="115"/>
    </w:p>
    <w:p w:rsidR="000574FF" w:rsidRDefault="000574FF" w:rsidP="000574FF">
      <w:pPr>
        <w:spacing w:line="480" w:lineRule="auto"/>
        <w:jc w:val="both"/>
        <w:rPr>
          <w:bCs/>
        </w:rPr>
      </w:pPr>
      <w:r>
        <w:rPr>
          <w:b/>
          <w:bCs/>
        </w:rPr>
        <w:t xml:space="preserve"> </w:t>
      </w:r>
      <w:r>
        <w:rPr>
          <w:bCs/>
        </w:rPr>
        <w:t xml:space="preserve">Proanthocyanidins being condensed tannins are much more polar than the hydrolysable tannins. </w:t>
      </w:r>
      <w:r w:rsidRPr="00263894">
        <w:rPr>
          <w:bCs/>
        </w:rPr>
        <w:t xml:space="preserve">The proanthocyanidins utilised in this study are more than 95% pure unlike the tannic acid which is a mixed system. </w:t>
      </w:r>
      <w:r>
        <w:rPr>
          <w:bCs/>
        </w:rPr>
        <w:t xml:space="preserve">This allows for a better estimation of the thermodynamic values as the concentration of the ligand is accurately known. </w:t>
      </w:r>
      <w:r w:rsidRPr="00AE1F4A">
        <w:rPr>
          <w:bCs/>
          <w:color w:val="000000" w:themeColor="text1"/>
        </w:rPr>
        <w:t>Titration of tetrameric proanthocyanidin into polyproline at revealed binding that was exothermic at all temperatures (</w:t>
      </w:r>
      <w:r w:rsidR="0075172E">
        <w:rPr>
          <w:bCs/>
          <w:color w:val="000000" w:themeColor="text1"/>
        </w:rPr>
        <w:fldChar w:fldCharType="begin"/>
      </w:r>
      <w:r w:rsidR="000104A6">
        <w:rPr>
          <w:bCs/>
          <w:color w:val="000000" w:themeColor="text1"/>
        </w:rPr>
        <w:instrText xml:space="preserve"> REF _Ref443582225 \h </w:instrText>
      </w:r>
      <w:r w:rsidR="0075172E">
        <w:rPr>
          <w:bCs/>
          <w:color w:val="000000" w:themeColor="text1"/>
        </w:rPr>
      </w:r>
      <w:r w:rsidR="0075172E">
        <w:rPr>
          <w:bCs/>
          <w:color w:val="000000" w:themeColor="text1"/>
        </w:rPr>
        <w:fldChar w:fldCharType="separate"/>
      </w:r>
      <w:r w:rsidR="00CB4EDC">
        <w:t xml:space="preserve">Figure </w:t>
      </w:r>
      <w:r w:rsidR="00CB4EDC">
        <w:rPr>
          <w:noProof/>
        </w:rPr>
        <w:t>3</w:t>
      </w:r>
      <w:r w:rsidR="00CB4EDC">
        <w:t>.</w:t>
      </w:r>
      <w:r w:rsidR="00CB4EDC">
        <w:rPr>
          <w:noProof/>
        </w:rPr>
        <w:t>19</w:t>
      </w:r>
      <w:r w:rsidR="0075172E">
        <w:rPr>
          <w:bCs/>
          <w:color w:val="000000" w:themeColor="text1"/>
        </w:rPr>
        <w:fldChar w:fldCharType="end"/>
      </w:r>
      <w:r w:rsidR="000104A6">
        <w:rPr>
          <w:bCs/>
          <w:color w:val="000000" w:themeColor="text1"/>
        </w:rPr>
        <w:t xml:space="preserve"> to </w:t>
      </w:r>
      <w:r w:rsidR="0075172E">
        <w:rPr>
          <w:bCs/>
          <w:color w:val="000000" w:themeColor="text1"/>
        </w:rPr>
        <w:fldChar w:fldCharType="begin"/>
      </w:r>
      <w:r w:rsidR="00E45BE4">
        <w:rPr>
          <w:bCs/>
          <w:color w:val="000000" w:themeColor="text1"/>
        </w:rPr>
        <w:instrText xml:space="preserve"> REF _Ref456876395 \h </w:instrText>
      </w:r>
      <w:r w:rsidR="0075172E">
        <w:rPr>
          <w:bCs/>
          <w:color w:val="000000" w:themeColor="text1"/>
        </w:rPr>
      </w:r>
      <w:r w:rsidR="0075172E">
        <w:rPr>
          <w:bCs/>
          <w:color w:val="000000" w:themeColor="text1"/>
        </w:rPr>
        <w:fldChar w:fldCharType="separate"/>
      </w:r>
      <w:r w:rsidR="00E45BE4">
        <w:t xml:space="preserve">Figure </w:t>
      </w:r>
      <w:r w:rsidR="00E45BE4">
        <w:rPr>
          <w:noProof/>
        </w:rPr>
        <w:t>3</w:t>
      </w:r>
      <w:r w:rsidR="00E45BE4">
        <w:t>.</w:t>
      </w:r>
      <w:r w:rsidR="00E45BE4">
        <w:rPr>
          <w:noProof/>
        </w:rPr>
        <w:t>20</w:t>
      </w:r>
      <w:r w:rsidR="0075172E">
        <w:rPr>
          <w:bCs/>
          <w:color w:val="000000" w:themeColor="text1"/>
        </w:rPr>
        <w:fldChar w:fldCharType="end"/>
      </w:r>
      <w:r w:rsidRPr="00AE1F4A">
        <w:rPr>
          <w:bCs/>
          <w:color w:val="000000" w:themeColor="text1"/>
        </w:rPr>
        <w:t>).</w:t>
      </w:r>
      <w:r w:rsidRPr="000D6A35">
        <w:rPr>
          <w:bCs/>
          <w:color w:val="FF0000"/>
        </w:rPr>
        <w:t xml:space="preserve"> </w:t>
      </w:r>
      <w:r>
        <w:rPr>
          <w:bCs/>
        </w:rPr>
        <w:t xml:space="preserve">The source of the favourable exothermicity is again most likely due to hydrogen bonding between the two binding partners and London dispersion forces.  </w:t>
      </w:r>
    </w:p>
    <w:p w:rsidR="000574FF" w:rsidRDefault="00040F10" w:rsidP="000574FF">
      <w:pPr>
        <w:keepNext/>
        <w:spacing w:line="480" w:lineRule="auto"/>
        <w:jc w:val="center"/>
      </w:pPr>
      <w:r>
        <w:rPr>
          <w:bCs/>
          <w:noProof/>
          <w:lang w:eastAsia="en-GB"/>
        </w:rPr>
        <w:lastRenderedPageBreak/>
        <w:pict>
          <v:shape id="_x0000_s1178" type="#_x0000_t202" style="position:absolute;left:0;text-align:left;margin-left:5.5pt;margin-top:13.4pt;width:24.05pt;height:232.4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" strokecolor="white [3212]">
            <v:textbox style="layout-flow:vertical;mso-layout-flow-alt:bottom-to-top;mso-next-textbox:#_x0000_s1178">
              <w:txbxContent>
                <w:p w:rsidR="003A5686" w:rsidRPr="0016048C" w:rsidRDefault="003A5686" w:rsidP="00F8280C">
                  <w:pPr>
                    <w:rPr>
                      <w:rFonts w:ascii="Arial" w:hAnsi="Arial" w:cs="Arial"/>
                      <w:b/>
                      <w:color w:val="262626" w:themeColor="text1" w:themeTint="D9"/>
                      <w:sz w:val="18"/>
                      <w:szCs w:val="18"/>
                    </w:rPr>
                  </w:pPr>
                  <w:r>
                    <w:rPr>
                      <w:rFonts w:ascii="Arial" w:hAnsi="Arial" w:cs="Arial"/>
                      <w:b/>
                      <w:sz w:val="18"/>
                      <w:szCs w:val="18"/>
                    </w:rPr>
                    <w:t xml:space="preserve"> </w:t>
                  </w:r>
                  <w:r w:rsidRPr="0016048C">
                    <w:rPr>
                      <w:rFonts w:ascii="Arial" w:hAnsi="Arial" w:cs="Arial"/>
                      <w:b/>
                      <w:color w:val="262626" w:themeColor="text1" w:themeTint="D9"/>
                      <w:sz w:val="18"/>
                      <w:szCs w:val="18"/>
                    </w:rPr>
                    <w:t>Normalised Fit (kJ/mol)        Raw Heat Rate (µJ/s)</w:t>
                  </w:r>
                </w:p>
              </w:txbxContent>
            </v:textbox>
          </v:shape>
        </w:pict>
      </w:r>
      <w:r>
        <w:rPr>
          <w:bCs/>
          <w:noProof/>
          <w:lang w:eastAsia="en-GB"/>
        </w:rPr>
        <w:pict>
          <v:shape id="_x0000_s1093" type="#_x0000_t202" style="position:absolute;left:0;text-align:left;margin-left:182.7pt;margin-top:255pt;width:87.05pt;height:25.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Pr>
          <w:bCs/>
          <w:noProof/>
          <w:lang w:eastAsia="en-GB"/>
        </w:rPr>
        <w:pict>
          <v:shape id="_x0000_s1092" type="#_x0000_t202" style="position:absolute;left:0;text-align:left;margin-left:176.8pt;margin-top:-11.7pt;width:87.05pt;height:25.1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840672">
        <w:rPr>
          <w:noProof/>
          <w:lang w:eastAsia="en-GB"/>
        </w:rPr>
        <w:drawing>
          <wp:inline distT="0" distB="0" distL="0" distR="0" wp14:anchorId="08E53E04" wp14:editId="5D88C990">
            <wp:extent cx="5205730" cy="3459712"/>
            <wp:effectExtent l="19050" t="0" r="0" b="0"/>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srcRect/>
                    <a:stretch>
                      <a:fillRect/>
                    </a:stretch>
                  </pic:blipFill>
                  <pic:spPr bwMode="auto">
                    <a:xfrm>
                      <a:off x="0" y="0"/>
                      <a:ext cx="5205730" cy="3459712"/>
                    </a:xfrm>
                    <a:prstGeom prst="rect">
                      <a:avLst/>
                    </a:prstGeom>
                    <a:noFill/>
                    <a:ln w="9525">
                      <a:noFill/>
                      <a:miter lim="800000"/>
                      <a:headEnd/>
                      <a:tailEnd/>
                    </a:ln>
                  </pic:spPr>
                </pic:pic>
              </a:graphicData>
            </a:graphic>
          </wp:inline>
        </w:drawing>
      </w:r>
    </w:p>
    <w:p w:rsidR="000574FF" w:rsidRDefault="000574FF" w:rsidP="00DF4ABC">
      <w:pPr>
        <w:pStyle w:val="Caption"/>
        <w:keepNext/>
        <w:spacing w:line="480" w:lineRule="auto"/>
        <w:jc w:val="center"/>
      </w:pPr>
      <w:bookmarkStart w:id="116" w:name="_Ref442878311"/>
      <w:bookmarkStart w:id="117" w:name="_Ref443582225"/>
      <w:r>
        <w:t>Figure</w:t>
      </w:r>
      <w:bookmarkEnd w:id="116"/>
      <w:r w:rsidR="00DF4ABC">
        <w:t xml:space="preserv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19</w:t>
      </w:r>
      <w:r w:rsidR="0075172E">
        <w:fldChar w:fldCharType="end"/>
      </w:r>
      <w:bookmarkEnd w:id="117"/>
      <w:r>
        <w:t xml:space="preserve">: Upper: </w:t>
      </w:r>
      <w:r w:rsidRPr="00B8359D">
        <w:t xml:space="preserve">Thermogram for the interaction of </w:t>
      </w:r>
      <w:r>
        <w:t>0.025 mM polyproline</w:t>
      </w:r>
      <w:r w:rsidRPr="00B8359D">
        <w:t xml:space="preserve"> with </w:t>
      </w:r>
      <w:r>
        <w:t xml:space="preserve">2 mM tetrameric proanthocyanidin at 25 °C. Lower: ITC binding isotherm for the same interaction (closed circles). Sodium acetate into a solution of polyproline (open circles) and tetrameric proanthocyanidin dilution into sodium acetate (open squares). Solid line represents single site independent binding model fit.  </w:t>
      </w:r>
    </w:p>
    <w:p w:rsidR="00DF4ABC" w:rsidRDefault="00DF4ABC" w:rsidP="00DF4ABC"/>
    <w:p w:rsidR="00E64AEC" w:rsidRDefault="00E64AEC" w:rsidP="00DF4ABC"/>
    <w:p w:rsidR="00E64AEC" w:rsidRDefault="00E64AEC" w:rsidP="00DF4ABC"/>
    <w:p w:rsidR="00E64AEC" w:rsidRDefault="00E64AEC" w:rsidP="00DF4ABC"/>
    <w:p w:rsidR="00E64AEC" w:rsidRDefault="00E64AEC" w:rsidP="00DF4ABC"/>
    <w:p w:rsidR="00E64AEC" w:rsidRDefault="00E64AEC" w:rsidP="00DF4ABC"/>
    <w:p w:rsidR="00E64AEC" w:rsidRDefault="00E64AEC" w:rsidP="00DF4ABC"/>
    <w:p w:rsidR="00A23F6C" w:rsidRDefault="00A23F6C" w:rsidP="00DF4ABC"/>
    <w:p w:rsidR="00E64AEC" w:rsidRDefault="00E64AEC" w:rsidP="00DF4ABC"/>
    <w:p w:rsidR="00E64AEC" w:rsidRPr="00DF4ABC" w:rsidRDefault="00E64AEC" w:rsidP="00DF4ABC"/>
    <w:p w:rsidR="00F670D1" w:rsidRPr="00F670D1" w:rsidRDefault="00040F10" w:rsidP="006D046F">
      <w:pPr>
        <w:pStyle w:val="Caption"/>
        <w:keepNext/>
        <w:jc w:val="center"/>
      </w:pPr>
      <w:r>
        <w:rPr>
          <w:bCs w:val="0"/>
          <w:noProof/>
          <w:lang w:eastAsia="en-GB"/>
        </w:rPr>
        <w:lastRenderedPageBreak/>
        <w:pict>
          <v:shape id="_x0000_s1091" type="#_x0000_t202" style="position:absolute;left:0;text-align:left;margin-left:168.15pt;margin-top:0;width:87.05pt;height:17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 w:val="0"/>
          <w:bCs w:val="0"/>
          <w:noProof/>
          <w:lang w:eastAsia="en-GB"/>
        </w:rPr>
        <w:pict>
          <v:shape id="_x0000_s1179" type="#_x0000_t202" style="position:absolute;left:0;text-align:left;margin-left:-5.5pt;margin-top:27.05pt;width:24.05pt;height:232.4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" strokecolor="white [3212]">
            <v:textbox style="layout-flow:vertical;mso-layout-flow-alt:bottom-to-top;mso-next-textbox:#_x0000_s1179">
              <w:txbxContent>
                <w:p w:rsidR="003A5686" w:rsidRPr="0016048C" w:rsidRDefault="003A5686" w:rsidP="00F8280C">
                  <w:pPr>
                    <w:rPr>
                      <w:rFonts w:ascii="Arial" w:hAnsi="Arial" w:cs="Arial"/>
                      <w:b/>
                      <w:color w:val="262626" w:themeColor="text1" w:themeTint="D9"/>
                      <w:sz w:val="18"/>
                      <w:szCs w:val="18"/>
                    </w:rPr>
                  </w:pPr>
                  <w:r>
                    <w:rPr>
                      <w:rFonts w:ascii="Arial" w:hAnsi="Arial" w:cs="Arial"/>
                      <w:b/>
                      <w:sz w:val="18"/>
                      <w:szCs w:val="18"/>
                    </w:rPr>
                    <w:t xml:space="preserve"> </w:t>
                  </w:r>
                  <w:r w:rsidRPr="0016048C">
                    <w:rPr>
                      <w:rFonts w:ascii="Arial" w:hAnsi="Arial" w:cs="Arial"/>
                      <w:b/>
                      <w:color w:val="262626" w:themeColor="text1" w:themeTint="D9"/>
                      <w:sz w:val="18"/>
                      <w:szCs w:val="18"/>
                    </w:rPr>
                    <w:t>Normalised Fit (kJ/mol)        Raw Heat Rate (µJ/s)</w:t>
                  </w:r>
                </w:p>
              </w:txbxContent>
            </v:textbox>
          </v:shape>
        </w:pict>
      </w:r>
      <w:r>
        <w:rPr>
          <w:b w:val="0"/>
          <w:bCs w:val="0"/>
          <w:noProof/>
          <w:lang w:eastAsia="en-GB"/>
        </w:rPr>
        <w:pict>
          <v:shape id="_x0000_s1089" type="#_x0000_t202" style="position:absolute;left:0;text-align:left;margin-left:171.55pt;margin-top:259.5pt;width:87.05pt;height:20.5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sidR="00840672">
        <w:rPr>
          <w:b w:val="0"/>
          <w:bCs w:val="0"/>
          <w:noProof/>
          <w:lang w:eastAsia="en-GB"/>
        </w:rPr>
        <w:drawing>
          <wp:inline distT="0" distB="0" distL="0" distR="0" wp14:anchorId="63A9764C" wp14:editId="772C2B68">
            <wp:extent cx="5205730" cy="3436205"/>
            <wp:effectExtent l="19050" t="0" r="0" b="0"/>
            <wp:docPr id="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srcRect/>
                    <a:stretch>
                      <a:fillRect/>
                    </a:stretch>
                  </pic:blipFill>
                  <pic:spPr bwMode="auto">
                    <a:xfrm>
                      <a:off x="0" y="0"/>
                      <a:ext cx="5205730" cy="3436205"/>
                    </a:xfrm>
                    <a:prstGeom prst="rect">
                      <a:avLst/>
                    </a:prstGeom>
                    <a:noFill/>
                    <a:ln w="9525">
                      <a:noFill/>
                      <a:miter lim="800000"/>
                      <a:headEnd/>
                      <a:tailEnd/>
                    </a:ln>
                  </pic:spPr>
                </pic:pic>
              </a:graphicData>
            </a:graphic>
          </wp:inline>
        </w:drawing>
      </w:r>
    </w:p>
    <w:p w:rsidR="000574FF" w:rsidRDefault="000574FF" w:rsidP="006D046F">
      <w:pPr>
        <w:pStyle w:val="Caption"/>
        <w:spacing w:line="480" w:lineRule="auto"/>
        <w:jc w:val="center"/>
        <w:rPr>
          <w:bCs w:val="0"/>
        </w:rPr>
      </w:pPr>
      <w:bookmarkStart w:id="118" w:name="_Ref442878372"/>
      <w:bookmarkStart w:id="119" w:name="_Ref456876395"/>
      <w:r>
        <w:t>Figure</w:t>
      </w:r>
      <w:bookmarkEnd w:id="118"/>
      <w:r w:rsidR="00DF4ABC">
        <w:t xml:space="preserv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20</w:t>
      </w:r>
      <w:r w:rsidR="0075172E">
        <w:fldChar w:fldCharType="end"/>
      </w:r>
      <w:bookmarkEnd w:id="119"/>
      <w:r>
        <w:t xml:space="preserve">: Upper: </w:t>
      </w:r>
      <w:r w:rsidRPr="00B8359D">
        <w:t xml:space="preserve">Thermogram for the interaction of </w:t>
      </w:r>
      <w:r>
        <w:t>0.025 mM polyproline</w:t>
      </w:r>
      <w:r w:rsidRPr="00B8359D">
        <w:t xml:space="preserve"> with </w:t>
      </w:r>
      <w:r>
        <w:t xml:space="preserve">2 mM tetrameric proanthocyanidin at </w:t>
      </w:r>
      <w:r w:rsidR="00F670D1">
        <w:t xml:space="preserve">40 </w:t>
      </w:r>
      <w:r>
        <w:t>°C. Lower: ITC binding isotherm for the same interaction (closed circles). 10 mM sodium acetate into a solution of polyproline (open circles) and tetrameric proanthocyanidin dilution into sodium acetate (open squares).</w:t>
      </w:r>
      <w:r w:rsidRPr="00C70DEE">
        <w:t xml:space="preserve"> </w:t>
      </w:r>
      <w:r>
        <w:t>Solid line represents single site independent binding model fit.</w:t>
      </w:r>
    </w:p>
    <w:p w:rsidR="000574FF" w:rsidRDefault="00040F10" w:rsidP="000574FF">
      <w:pPr>
        <w:keepNext/>
        <w:spacing w:line="480" w:lineRule="auto"/>
        <w:jc w:val="center"/>
      </w:pPr>
      <w:r>
        <w:rPr>
          <w:bCs/>
          <w:noProof/>
          <w:lang w:eastAsia="en-GB"/>
        </w:rPr>
        <w:lastRenderedPageBreak/>
        <w:pict>
          <v:shape id="_x0000_s1165" type="#_x0000_t202" style="position:absolute;left:0;text-align:left;margin-left:182.7pt;margin-top:261.75pt;width:87.05pt;height:20.25pt;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04D06">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sidR="00840672">
        <w:rPr>
          <w:noProof/>
          <w:lang w:eastAsia="en-GB"/>
        </w:rPr>
        <w:drawing>
          <wp:inline distT="0" distB="0" distL="0" distR="0" wp14:anchorId="748A20E6" wp14:editId="721D1BF3">
            <wp:extent cx="5205730" cy="3488196"/>
            <wp:effectExtent l="19050" t="0" r="0" b="0"/>
            <wp:docPr id="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srcRect/>
                    <a:stretch>
                      <a:fillRect/>
                    </a:stretch>
                  </pic:blipFill>
                  <pic:spPr bwMode="auto">
                    <a:xfrm>
                      <a:off x="0" y="0"/>
                      <a:ext cx="5205730" cy="3488196"/>
                    </a:xfrm>
                    <a:prstGeom prst="rect">
                      <a:avLst/>
                    </a:prstGeom>
                    <a:noFill/>
                    <a:ln w="9525">
                      <a:noFill/>
                      <a:miter lim="800000"/>
                      <a:headEnd/>
                      <a:tailEnd/>
                    </a:ln>
                  </pic:spPr>
                </pic:pic>
              </a:graphicData>
            </a:graphic>
          </wp:inline>
        </w:drawing>
      </w:r>
    </w:p>
    <w:p w:rsidR="000574FF" w:rsidRDefault="000574FF" w:rsidP="00DF4ABC">
      <w:pPr>
        <w:pStyle w:val="Caption"/>
        <w:keepNext/>
        <w:spacing w:line="480" w:lineRule="auto"/>
        <w:jc w:val="center"/>
      </w:pPr>
      <w:bookmarkStart w:id="120" w:name="_Ref442878379"/>
      <w:r>
        <w:t>Figure</w:t>
      </w:r>
      <w:bookmarkEnd w:id="120"/>
      <w:r w:rsidR="00DF4ABC">
        <w:t xml:space="preserv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21</w:t>
      </w:r>
      <w:r w:rsidR="0075172E">
        <w:fldChar w:fldCharType="end"/>
      </w:r>
      <w:r w:rsidR="00DF4ABC">
        <w:t xml:space="preserve"> </w:t>
      </w:r>
      <w:r>
        <w:t xml:space="preserve">: ITC binding isotherm of the interaction between tetrameric proanthocyanidin into 25 µM polyproline in 10 mM acetate buffer with 10% ethanol pH 4 at </w:t>
      </w:r>
      <w:r w:rsidRPr="00B24F5C">
        <w:t>25 (</w:t>
      </w:r>
      <w:r>
        <w:t>closed circles) and 40</w:t>
      </w:r>
      <w:r w:rsidR="006F2757">
        <w:t xml:space="preserve"> </w:t>
      </w:r>
      <w:r>
        <w:t>°C (crosses</w:t>
      </w:r>
      <w:r w:rsidRPr="00B24F5C">
        <w:t xml:space="preserve">).  </w:t>
      </w:r>
    </w:p>
    <w:p w:rsidR="000574FF" w:rsidRDefault="000574FF" w:rsidP="00EB0025">
      <w:pPr>
        <w:spacing w:line="480" w:lineRule="auto"/>
        <w:jc w:val="both"/>
        <w:rPr>
          <w:bCs/>
        </w:rPr>
      </w:pPr>
      <w:r>
        <w:rPr>
          <w:bCs/>
        </w:rPr>
        <w:t>Performing the titrations at different temperatures suggested that the interaction was becoming increasingly exothermic as the temperature was increased from 25 to 40</w:t>
      </w:r>
      <w:r w:rsidR="006F2757">
        <w:rPr>
          <w:bCs/>
        </w:rPr>
        <w:t xml:space="preserve"> </w:t>
      </w:r>
      <w:r>
        <w:rPr>
          <w:bCs/>
        </w:rPr>
        <w:t xml:space="preserve">°C. The </w:t>
      </w:r>
      <w:r w:rsidR="001D171F">
        <w:rPr>
          <w:bCs/>
        </w:rPr>
        <w:t>T</w:t>
      </w:r>
      <w:r w:rsidR="001D171F" w:rsidRPr="001D171F">
        <w:rPr>
          <w:rFonts w:eastAsiaTheme="minorEastAsia"/>
        </w:rPr>
        <w:t>Δ</w:t>
      </w:r>
      <w:r w:rsidR="001D171F">
        <w:rPr>
          <w:rFonts w:eastAsiaTheme="minorEastAsia"/>
          <w:i/>
        </w:rPr>
        <w:t>S</w:t>
      </w:r>
      <w:r w:rsidR="001D171F">
        <w:rPr>
          <w:bCs/>
        </w:rPr>
        <w:t xml:space="preserve"> </w:t>
      </w:r>
      <w:r>
        <w:rPr>
          <w:bCs/>
        </w:rPr>
        <w:t xml:space="preserve">becomes less favourable with increasing temperature leading to a less favourable </w:t>
      </w:r>
      <w:r w:rsidR="001D171F" w:rsidRPr="001D171F">
        <w:rPr>
          <w:rFonts w:eastAsiaTheme="minorEastAsia"/>
        </w:rPr>
        <w:t>Δ</w:t>
      </w:r>
      <w:r w:rsidR="001D171F">
        <w:rPr>
          <w:rFonts w:eastAsiaTheme="minorEastAsia"/>
          <w:i/>
        </w:rPr>
        <w:t>G</w:t>
      </w:r>
      <w:r>
        <w:rPr>
          <w:bCs/>
        </w:rPr>
        <w:t xml:space="preserve">. The stoichiometry remains invariant to temperature. The favourable change in </w:t>
      </w:r>
      <w:r w:rsidR="00E45BE4" w:rsidRPr="001D171F">
        <w:rPr>
          <w:rFonts w:eastAsiaTheme="minorEastAsia"/>
        </w:rPr>
        <w:t>Δ</w:t>
      </w:r>
      <w:r w:rsidR="00E45BE4">
        <w:rPr>
          <w:rFonts w:eastAsiaTheme="minorEastAsia"/>
          <w:i/>
        </w:rPr>
        <w:t>H</w:t>
      </w:r>
      <w:r w:rsidR="00E45BE4">
        <w:rPr>
          <w:bCs/>
        </w:rPr>
        <w:t xml:space="preserve"> </w:t>
      </w:r>
      <w:r>
        <w:rPr>
          <w:bCs/>
        </w:rPr>
        <w:t xml:space="preserve">is in accordance to with the exothermicity of hydrophobic interaction increasing with increasing temperature.  </w:t>
      </w:r>
      <w:r w:rsidRPr="00184672">
        <w:rPr>
          <w:bCs/>
        </w:rPr>
        <w:t>The partition constant, </w:t>
      </w:r>
      <w:r w:rsidRPr="00184672">
        <w:rPr>
          <w:bCs/>
          <w:i/>
          <w:iCs/>
        </w:rPr>
        <w:t>P</w:t>
      </w:r>
      <w:r w:rsidRPr="00184672">
        <w:rPr>
          <w:bCs/>
        </w:rPr>
        <w:t xml:space="preserve">, is a measure of the tendency of a neutral molecule to differentially dissolve in two immiscible phases, </w:t>
      </w:r>
      <w:r>
        <w:rPr>
          <w:bCs/>
        </w:rPr>
        <w:t xml:space="preserve">water and </w:t>
      </w:r>
      <w:r w:rsidRPr="00184672">
        <w:rPr>
          <w:bCs/>
        </w:rPr>
        <w:t>octanol</w:t>
      </w:r>
      <w:r>
        <w:rPr>
          <w:bCs/>
        </w:rPr>
        <w:t>,</w:t>
      </w:r>
      <w:r w:rsidRPr="00184672">
        <w:rPr>
          <w:bCs/>
        </w:rPr>
        <w:t xml:space="preserve"> </w:t>
      </w:r>
      <w:r>
        <w:rPr>
          <w:bCs/>
        </w:rPr>
        <w:t xml:space="preserve">giving a measure of how hydrophobic a molecule is. </w:t>
      </w:r>
      <w:r w:rsidRPr="00184672">
        <w:rPr>
          <w:bCs/>
        </w:rPr>
        <w:t>The logarithm of the ratio of the concentrations of the solut</w:t>
      </w:r>
      <w:r w:rsidR="00E64AEC">
        <w:rPr>
          <w:bCs/>
        </w:rPr>
        <w:t>e in the solvents is called log</w:t>
      </w:r>
      <w:r w:rsidRPr="00DF2004">
        <w:rPr>
          <w:bCs/>
          <w:iCs/>
        </w:rPr>
        <w:t>P</w:t>
      </w:r>
      <w:r>
        <w:rPr>
          <w:bCs/>
          <w:i/>
          <w:iCs/>
        </w:rPr>
        <w:t xml:space="preserve">. </w:t>
      </w:r>
      <w:r>
        <w:rPr>
          <w:bCs/>
          <w:iCs/>
        </w:rPr>
        <w:t xml:space="preserve">Substances with a logP lower than 0 are hydrophilic whilst those with a positive number are hydrophobic, heptane for example has a logP of 4.6 whilst arabinose has a log p of -3. </w:t>
      </w:r>
      <w:r w:rsidR="00DF2004">
        <w:rPr>
          <w:bCs/>
          <w:iCs/>
        </w:rPr>
        <w:t xml:space="preserve">Normally, it is not practical to calculate the LogP of every compound. Subsequently, chemists use software tools to estimate LogP. This is called ClogP – the calculated LogP. Using the ClogP function on </w:t>
      </w:r>
      <w:r w:rsidR="00DF2004" w:rsidRPr="00E45BE4">
        <w:t>ACD/ChemSketch</w:t>
      </w:r>
      <w:r w:rsidR="00DF2004">
        <w:rPr>
          <w:bCs/>
          <w:iCs/>
        </w:rPr>
        <w:t xml:space="preserve"> estimated a value of </w:t>
      </w:r>
      <w:r w:rsidR="00DF2004" w:rsidRPr="0094130C">
        <w:rPr>
          <w:bCs/>
        </w:rPr>
        <w:lastRenderedPageBreak/>
        <w:t>13.51</w:t>
      </w:r>
      <w:r w:rsidR="00DF2004">
        <w:rPr>
          <w:bCs/>
        </w:rPr>
        <w:t xml:space="preserve"> for tannic acid. W</w:t>
      </w:r>
      <w:r>
        <w:rPr>
          <w:bCs/>
        </w:rPr>
        <w:t xml:space="preserve">hilst tetrameric proanthocyanidin has a logP of </w:t>
      </w:r>
      <w:r w:rsidRPr="005E2C58">
        <w:rPr>
          <w:bCs/>
        </w:rPr>
        <w:t>-</w:t>
      </w:r>
      <w:r>
        <w:rPr>
          <w:bCs/>
        </w:rPr>
        <w:t>1.5.</w:t>
      </w:r>
      <w:hyperlink w:anchor="_ENREF_231" w:tooltip="Yanagida, 2007 #671" w:history="1">
        <w:r w:rsidR="00512D09">
          <w:rPr>
            <w:bCs/>
          </w:rPr>
          <w:fldChar w:fldCharType="begin"/>
        </w:r>
        <w:r w:rsidR="00512D09">
          <w:rPr>
            <w:bCs/>
          </w:rPr>
          <w:instrText xml:space="preserve"> ADDIN EN.CITE &lt;EndNote&gt;&lt;Cite&gt;&lt;Author&gt;Yanagida&lt;/Author&gt;&lt;Year&gt;2007&lt;/Year&gt;&lt;RecNum&gt;671&lt;/RecNum&gt;&lt;DisplayText&gt;&lt;style face="superscript"&gt;231&lt;/style&gt;&lt;/DisplayText&gt;&lt;record&gt;&lt;rec-number&gt;671&lt;/rec-number&gt;&lt;foreign-keys&gt;&lt;key app="EN" db-id="5trrespwzsdr07efd5tx2w96x22re9s0fsdt"&gt;671&lt;/key&gt;&lt;/foreign-keys&gt;&lt;ref-type name="Journal Article"&gt;17&lt;/ref-type&gt;&lt;contributors&gt;&lt;authors&gt;&lt;author&gt;Yanagida, Akio&lt;/author&gt;&lt;author&gt;Murao, Hirokazu&lt;/author&gt;&lt;author&gt;Ohnishi-Kameyama, Mayumi&lt;/author&gt;&lt;author&gt;Yamakawa, Yutaka&lt;/author&gt;&lt;author&gt;Shoji, Atsushi&lt;/author&gt;&lt;author&gt;Tagashira, Motoyuki&lt;/author&gt;&lt;author&gt;Kanda, Tomomasa&lt;/author&gt;&lt;author&gt;Shindo, Heisaburo&lt;/author&gt;&lt;author&gt;Shibusawa, Yoichi&lt;/author&gt;&lt;/authors&gt;&lt;/contributors&gt;&lt;titles&gt;&lt;title&gt;Retention behavior of oligomeric proanthocyanidins in hydrophilic interaction chromatography&lt;/title&gt;&lt;secondary-title&gt;Journal of Chromatography A&lt;/secondary-title&gt;&lt;/titles&gt;&lt;periodical&gt;&lt;full-title&gt;Journal of Chromatography A&lt;/full-title&gt;&lt;/periodical&gt;&lt;pages&gt;153-161&lt;/pages&gt;&lt;volume&gt;1143&lt;/volume&gt;&lt;number&gt;1–2&lt;/number&gt;&lt;keywords&gt;&lt;keyword&gt;Proanthocyanidin&lt;/keyword&gt;&lt;keyword&gt;Hydrophilic interaction chromatography&lt;/keyword&gt;&lt;keyword&gt;Amide-80&lt;/keyword&gt;&lt;keyword&gt;Hydrogen bonding&lt;/keyword&gt;&lt;keyword&gt;Normal-phase HPLC&lt;/keyword&gt;&lt;keyword&gt;log P&lt;/keyword&gt;&lt;/keywords&gt;&lt;dates&gt;&lt;year&gt;2007&lt;/year&gt;&lt;/dates&gt;&lt;isbn&gt;0021-9673&lt;/isbn&gt;&lt;urls&gt;&lt;related-urls&gt;&lt;url&gt;http://www.sciencedirect.com/science/article/pii/S0021967307000301&lt;/url&gt;&lt;/related-urls&gt;&lt;/urls&gt;&lt;electronic-resource-num&gt;http://dx.doi.org/10.1016/j.chroma.2007.01.004&lt;/electronic-resource-num&gt;&lt;/record&gt;&lt;/Cite&gt;&lt;/EndNote&gt;</w:instrText>
        </w:r>
        <w:r w:rsidR="00512D09">
          <w:rPr>
            <w:bCs/>
          </w:rPr>
          <w:fldChar w:fldCharType="separate"/>
        </w:r>
        <w:r w:rsidR="00512D09" w:rsidRPr="006421D1">
          <w:rPr>
            <w:bCs/>
            <w:noProof/>
            <w:vertAlign w:val="superscript"/>
          </w:rPr>
          <w:t>231</w:t>
        </w:r>
        <w:r w:rsidR="00512D09">
          <w:rPr>
            <w:bCs/>
          </w:rPr>
          <w:fldChar w:fldCharType="end"/>
        </w:r>
      </w:hyperlink>
      <w:r>
        <w:rPr>
          <w:bCs/>
        </w:rPr>
        <w:t xml:space="preserve">  The smaller </w:t>
      </w:r>
      <w:r w:rsidRPr="00D54F9B">
        <w:rPr>
          <w:bCs/>
        </w:rPr>
        <w:t>Δ</w:t>
      </w:r>
      <w:r w:rsidRPr="00FC1F8B">
        <w:rPr>
          <w:bCs/>
          <w:i/>
        </w:rPr>
        <w:t>C</w:t>
      </w:r>
      <w:r w:rsidRPr="00FC1F8B">
        <w:rPr>
          <w:bCs/>
          <w:i/>
          <w:vertAlign w:val="subscript"/>
        </w:rPr>
        <w:t>p</w:t>
      </w:r>
      <w:r>
        <w:rPr>
          <w:bCs/>
          <w:i/>
          <w:vertAlign w:val="subscript"/>
        </w:rPr>
        <w:t xml:space="preserve"> </w:t>
      </w:r>
      <w:r>
        <w:rPr>
          <w:bCs/>
        </w:rPr>
        <w:t xml:space="preserve">in comparison to the tannic acid polyproline system may be due to the differences in LogP (the ratio of a compound in an apolar and polar phases) between the two compounds. </w:t>
      </w:r>
      <w:r w:rsidR="00682A7A">
        <w:rPr>
          <w:bCs/>
        </w:rPr>
        <w:t xml:space="preserve"> Previous work has shown there are two stages of interaction between tetrameric proanthocyanidin and BSA, subsequently it was not repeated here</w:t>
      </w:r>
      <w:r w:rsidR="000360E4">
        <w:rPr>
          <w:bCs/>
        </w:rPr>
        <w:t>.</w:t>
      </w:r>
      <w:hyperlink w:anchor="_ENREF_215" w:tooltip="Kilmister, 2016 #594" w:history="1">
        <w:r w:rsidR="00512D09">
          <w:rPr>
            <w:bCs/>
          </w:rPr>
          <w:fldChar w:fldCharType="begin"/>
        </w:r>
        <w:r w:rsidR="00512D09">
          <w:rPr>
            <w:bCs/>
          </w:rPr>
          <w:instrText xml:space="preserve"> ADDIN EN.CITE &lt;EndNote&gt;&lt;Cite&gt;&lt;Author&gt;Kilmister&lt;/Author&gt;&lt;Year&gt;2016&lt;/Year&gt;&lt;RecNum&gt;594&lt;/RecNum&gt;&lt;DisplayText&gt;&lt;style face="superscript"&gt;215&lt;/style&gt;&lt;/DisplayText&gt;&lt;record&gt;&lt;rec-number&gt;594&lt;/rec-number&gt;&lt;foreign-keys&gt;&lt;key app="EN" db-id="5trrespwzsdr07efd5tx2w96x22re9s0fsdt"&gt;594&lt;/key&gt;&lt;/foreign-keys&gt;&lt;ref-type name="Journal Article"&gt;17&lt;/ref-type&gt;&lt;contributors&gt;&lt;authors&gt;&lt;author&gt;Kilmister, Rachel L.&lt;/author&gt;&lt;author&gt;Faulkner, Peta&lt;/author&gt;&lt;author&gt;Downey, Mark O.&lt;/author&gt;&lt;author&gt;Darby, Samuel J.&lt;/author&gt;&lt;author&gt;Falconer, Robert J.&lt;/author&gt;&lt;/authors&gt;&lt;/contributors&gt;&lt;titles&gt;&lt;title&gt;The complexity of condensed tannin binding to bovine serum albumin – An isothermal titration calorimetry study&lt;/title&gt;&lt;secondary-title&gt;Food Chemistry&lt;/secondary-title&gt;&lt;/titles&gt;&lt;periodical&gt;&lt;full-title&gt;Food Chemistry&lt;/full-title&gt;&lt;/periodical&gt;&lt;pages&gt;173-178&lt;/pages&gt;&lt;volume&gt;190&lt;/volume&gt;&lt;number&gt;0&lt;/number&gt;&lt;keywords&gt;&lt;keyword&gt;Proanthocyanidin&lt;/keyword&gt;&lt;keyword&gt;Oligomer&lt;/keyword&gt;&lt;keyword&gt;Thermodynamics&lt;/keyword&gt;&lt;keyword&gt;Hydrogen bonding&lt;/keyword&gt;&lt;keyword&gt;Hydrophobic interaction&lt;/keyword&gt;&lt;/keywords&gt;&lt;dates&gt;&lt;year&gt;2016&lt;/year&gt;&lt;/dates&gt;&lt;isbn&gt;0308-8146&lt;/isbn&gt;&lt;urls&gt;&lt;related-urls&gt;&lt;url&gt;http://www.sciencedirect.com/science/article/pii/S0308814615007323&lt;/url&gt;&lt;/related-urls&gt;&lt;/urls&gt;&lt;electronic-resource-num&gt;http://dx.doi.org/10.1016/j.foodchem.2015.04.144&lt;/electronic-resource-num&gt;&lt;/record&gt;&lt;/Cite&gt;&lt;/EndNote&gt;</w:instrText>
        </w:r>
        <w:r w:rsidR="00512D09">
          <w:rPr>
            <w:bCs/>
          </w:rPr>
          <w:fldChar w:fldCharType="separate"/>
        </w:r>
        <w:r w:rsidR="00512D09" w:rsidRPr="006421D1">
          <w:rPr>
            <w:bCs/>
            <w:noProof/>
            <w:vertAlign w:val="superscript"/>
          </w:rPr>
          <w:t>215</w:t>
        </w:r>
        <w:r w:rsidR="00512D09">
          <w:rPr>
            <w:bCs/>
          </w:rPr>
          <w:fldChar w:fldCharType="end"/>
        </w:r>
      </w:hyperlink>
    </w:p>
    <w:p w:rsidR="000574FF" w:rsidRPr="0029771A" w:rsidRDefault="000574FF" w:rsidP="000574FF">
      <w:pPr>
        <w:pStyle w:val="Caption"/>
        <w:spacing w:line="480" w:lineRule="auto"/>
        <w:jc w:val="center"/>
        <w:rPr>
          <w:bCs w:val="0"/>
        </w:rPr>
      </w:pPr>
      <w:r>
        <w:t xml:space="preserve">Table </w:t>
      </w:r>
      <w:r w:rsidR="0075172E">
        <w:fldChar w:fldCharType="begin"/>
      </w:r>
      <w:r w:rsidR="00AC2227">
        <w:instrText xml:space="preserve"> STYLEREF 1 \s </w:instrText>
      </w:r>
      <w:r w:rsidR="0075172E">
        <w:fldChar w:fldCharType="separate"/>
      </w:r>
      <w:r w:rsidR="00E71593">
        <w:rPr>
          <w:noProof/>
        </w:rPr>
        <w:t>3</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4</w:t>
      </w:r>
      <w:r w:rsidR="0075172E">
        <w:fldChar w:fldCharType="end"/>
      </w:r>
      <w:r>
        <w:t xml:space="preserve">: </w:t>
      </w:r>
      <w:r w:rsidRPr="008E5634">
        <w:t>The temperature, enthalpy Δ</w:t>
      </w:r>
      <w:r w:rsidRPr="008E5634">
        <w:rPr>
          <w:i/>
          <w:iCs/>
        </w:rPr>
        <w:t>H</w:t>
      </w:r>
      <w:r w:rsidRPr="008E5634">
        <w:rPr>
          <w:iCs/>
        </w:rPr>
        <w:t xml:space="preserve">, entropy </w:t>
      </w:r>
      <w:r w:rsidRPr="008E5634">
        <w:rPr>
          <w:i/>
          <w:iCs/>
        </w:rPr>
        <w:t>T</w:t>
      </w:r>
      <w:r w:rsidRPr="008E5634">
        <w:rPr>
          <w:iCs/>
        </w:rPr>
        <w:t>Δ</w:t>
      </w:r>
      <w:r w:rsidRPr="008E5634">
        <w:rPr>
          <w:i/>
          <w:iCs/>
        </w:rPr>
        <w:t>S</w:t>
      </w:r>
      <w:r w:rsidRPr="008E5634">
        <w:rPr>
          <w:iCs/>
        </w:rPr>
        <w:t>, Gibbs free energy Δ</w:t>
      </w:r>
      <w:r w:rsidRPr="008E5634">
        <w:rPr>
          <w:i/>
          <w:iCs/>
        </w:rPr>
        <w:t>G</w:t>
      </w:r>
      <w:r>
        <w:rPr>
          <w:iCs/>
        </w:rPr>
        <w:t xml:space="preserve"> </w:t>
      </w:r>
      <w:r w:rsidRPr="008E5634">
        <w:rPr>
          <w:iCs/>
        </w:rPr>
        <w:t xml:space="preserve">and stoichiometry for the </w:t>
      </w:r>
      <w:r>
        <w:rPr>
          <w:iCs/>
        </w:rPr>
        <w:t>proanthocyanidin tetramer</w:t>
      </w:r>
      <w:r w:rsidRPr="008E5634">
        <w:rPr>
          <w:iCs/>
        </w:rPr>
        <w:t>-</w:t>
      </w:r>
      <w:r>
        <w:rPr>
          <w:iCs/>
        </w:rPr>
        <w:t>polyproline</w:t>
      </w:r>
      <w:r w:rsidRPr="008E5634">
        <w:rPr>
          <w:iCs/>
        </w:rPr>
        <w:t xml:space="preserve"> interaction</w:t>
      </w:r>
      <w:r w:rsidR="00484D60">
        <w:rPr>
          <w:iCs/>
        </w:rPr>
        <w:t xml:space="preserve"> at 25 and 40 °C</w:t>
      </w:r>
      <w:r w:rsidRPr="008E5634">
        <w:rPr>
          <w:iCs/>
        </w:rPr>
        <w:t xml:space="preserve">. </w:t>
      </w:r>
      <w:r w:rsidR="000108E9">
        <w:rPr>
          <w:iCs/>
        </w:rPr>
        <w:t xml:space="preserve">The standard error (bold) and the </w:t>
      </w:r>
      <w:r w:rsidR="000B212F">
        <w:rPr>
          <w:iCs/>
        </w:rPr>
        <w:t>confidence intervals</w:t>
      </w:r>
      <w:r w:rsidR="000108E9">
        <w:rPr>
          <w:iCs/>
        </w:rPr>
        <w:t xml:space="preserve"> (italics) are in brackets. </w:t>
      </w:r>
    </w:p>
    <w:tbl>
      <w:tblPr>
        <w:tblW w:w="0" w:type="auto"/>
        <w:jc w:val="center"/>
        <w:tblLook w:val="04A0" w:firstRow="1" w:lastRow="0" w:firstColumn="1" w:lastColumn="0" w:noHBand="0" w:noVBand="1"/>
      </w:tblPr>
      <w:tblGrid>
        <w:gridCol w:w="1087"/>
        <w:gridCol w:w="770"/>
        <w:gridCol w:w="770"/>
        <w:gridCol w:w="770"/>
        <w:gridCol w:w="1150"/>
      </w:tblGrid>
      <w:tr w:rsidR="000574FF" w:rsidRPr="008E5634" w:rsidTr="00DA7437">
        <w:trPr>
          <w:trHeight w:val="1249"/>
          <w:jc w:val="center"/>
        </w:trPr>
        <w:tc>
          <w:tcPr>
            <w:tcW w:w="0" w:type="auto"/>
            <w:tcBorders>
              <w:top w:val="single" w:sz="4" w:space="0" w:color="auto"/>
              <w:bottom w:val="single" w:sz="4" w:space="0" w:color="auto"/>
            </w:tcBorders>
          </w:tcPr>
          <w:p w:rsidR="000574FF" w:rsidRPr="008E5634" w:rsidRDefault="000574FF" w:rsidP="000574FF">
            <w:pPr>
              <w:spacing w:line="480" w:lineRule="auto"/>
              <w:jc w:val="center"/>
              <w:rPr>
                <w:b/>
                <w:bCs/>
                <w:sz w:val="16"/>
                <w:szCs w:val="16"/>
              </w:rPr>
            </w:pPr>
            <w:r w:rsidRPr="008E5634">
              <w:rPr>
                <w:b/>
                <w:bCs/>
                <w:sz w:val="16"/>
                <w:szCs w:val="16"/>
              </w:rPr>
              <w:t>Temperature</w:t>
            </w:r>
          </w:p>
          <w:p w:rsidR="000574FF" w:rsidRPr="008E5634" w:rsidRDefault="000574FF" w:rsidP="000574FF">
            <w:pPr>
              <w:spacing w:line="480" w:lineRule="auto"/>
              <w:jc w:val="center"/>
              <w:rPr>
                <w:b/>
                <w:bCs/>
                <w:sz w:val="16"/>
                <w:szCs w:val="16"/>
              </w:rPr>
            </w:pPr>
            <w:r w:rsidRPr="008E5634">
              <w:rPr>
                <w:b/>
                <w:bCs/>
                <w:sz w:val="16"/>
                <w:szCs w:val="16"/>
              </w:rPr>
              <w:t>(°C)</w:t>
            </w:r>
          </w:p>
        </w:tc>
        <w:tc>
          <w:tcPr>
            <w:tcW w:w="0" w:type="auto"/>
            <w:tcBorders>
              <w:top w:val="single" w:sz="4" w:space="0" w:color="auto"/>
              <w:bottom w:val="single" w:sz="4" w:space="0" w:color="auto"/>
            </w:tcBorders>
          </w:tcPr>
          <w:p w:rsidR="000574FF" w:rsidRPr="008E5634" w:rsidRDefault="00DA7437" w:rsidP="000574FF">
            <w:pPr>
              <w:spacing w:line="480" w:lineRule="auto"/>
              <w:jc w:val="center"/>
              <w:rPr>
                <w:b/>
                <w:bCs/>
                <w:sz w:val="16"/>
                <w:szCs w:val="16"/>
              </w:rPr>
            </w:pPr>
            <w:r>
              <w:rPr>
                <w:b/>
                <w:bCs/>
                <w:sz w:val="16"/>
                <w:szCs w:val="16"/>
              </w:rPr>
              <w:t>-</w:t>
            </w:r>
            <w:r w:rsidR="000574FF" w:rsidRPr="008E5634">
              <w:rPr>
                <w:b/>
                <w:bCs/>
                <w:sz w:val="16"/>
                <w:szCs w:val="16"/>
              </w:rPr>
              <w:t>Δ</w:t>
            </w:r>
            <w:r w:rsidR="000574FF" w:rsidRPr="008E5634">
              <w:rPr>
                <w:b/>
                <w:bCs/>
                <w:i/>
                <w:iCs/>
                <w:sz w:val="16"/>
                <w:szCs w:val="16"/>
              </w:rPr>
              <w:t>H</w:t>
            </w:r>
          </w:p>
          <w:p w:rsidR="000574FF" w:rsidRPr="00DA7437" w:rsidRDefault="00DA7437" w:rsidP="00DA7437">
            <w:pPr>
              <w:spacing w:line="480" w:lineRule="auto"/>
              <w:jc w:val="center"/>
              <w:rPr>
                <w:b/>
                <w:bCs/>
                <w:i/>
                <w:iCs/>
                <w:sz w:val="16"/>
                <w:szCs w:val="16"/>
                <w:vertAlign w:val="superscript"/>
              </w:rPr>
            </w:pPr>
            <w:r>
              <w:rPr>
                <w:b/>
                <w:bCs/>
                <w:sz w:val="16"/>
                <w:szCs w:val="16"/>
              </w:rPr>
              <w:t>(kJ/mol)</w:t>
            </w:r>
          </w:p>
        </w:tc>
        <w:tc>
          <w:tcPr>
            <w:tcW w:w="0" w:type="auto"/>
            <w:tcBorders>
              <w:top w:val="single" w:sz="4" w:space="0" w:color="auto"/>
              <w:bottom w:val="single" w:sz="4" w:space="0" w:color="auto"/>
            </w:tcBorders>
          </w:tcPr>
          <w:p w:rsidR="000574FF" w:rsidRPr="008E5634" w:rsidRDefault="00DA7437" w:rsidP="000574FF">
            <w:pPr>
              <w:spacing w:line="480" w:lineRule="auto"/>
              <w:jc w:val="center"/>
              <w:rPr>
                <w:b/>
                <w:bCs/>
                <w:sz w:val="16"/>
                <w:szCs w:val="16"/>
              </w:rPr>
            </w:pPr>
            <w:r>
              <w:rPr>
                <w:b/>
                <w:bCs/>
                <w:i/>
                <w:iCs/>
                <w:sz w:val="16"/>
                <w:szCs w:val="16"/>
              </w:rPr>
              <w:t>-</w:t>
            </w:r>
            <w:r w:rsidR="000574FF" w:rsidRPr="008E5634">
              <w:rPr>
                <w:b/>
                <w:bCs/>
                <w:i/>
                <w:iCs/>
                <w:sz w:val="16"/>
                <w:szCs w:val="16"/>
              </w:rPr>
              <w:t>T</w:t>
            </w:r>
            <w:r w:rsidR="000574FF" w:rsidRPr="008E5634">
              <w:rPr>
                <w:b/>
                <w:bCs/>
                <w:sz w:val="16"/>
                <w:szCs w:val="16"/>
              </w:rPr>
              <w:t>Δ</w:t>
            </w:r>
            <w:r w:rsidR="000574FF" w:rsidRPr="008E5634">
              <w:rPr>
                <w:b/>
                <w:bCs/>
                <w:i/>
                <w:iCs/>
                <w:sz w:val="16"/>
                <w:szCs w:val="16"/>
              </w:rPr>
              <w:t>S</w:t>
            </w:r>
            <w:r w:rsidR="000574FF" w:rsidRPr="008E5634">
              <w:rPr>
                <w:b/>
                <w:bCs/>
                <w:sz w:val="16"/>
                <w:szCs w:val="16"/>
              </w:rPr>
              <w:t> </w:t>
            </w:r>
          </w:p>
          <w:p w:rsidR="000574FF" w:rsidRPr="008E5634" w:rsidRDefault="000574FF" w:rsidP="00DA7437">
            <w:pPr>
              <w:spacing w:line="480" w:lineRule="auto"/>
              <w:jc w:val="center"/>
              <w:rPr>
                <w:b/>
                <w:bCs/>
                <w:sz w:val="16"/>
                <w:szCs w:val="16"/>
              </w:rPr>
            </w:pPr>
            <w:r w:rsidRPr="008E5634">
              <w:rPr>
                <w:b/>
                <w:bCs/>
                <w:sz w:val="16"/>
                <w:szCs w:val="16"/>
              </w:rPr>
              <w:t>(kJ/mol)</w:t>
            </w:r>
          </w:p>
        </w:tc>
        <w:tc>
          <w:tcPr>
            <w:tcW w:w="0" w:type="auto"/>
            <w:tcBorders>
              <w:top w:val="single" w:sz="4" w:space="0" w:color="auto"/>
              <w:bottom w:val="single" w:sz="4" w:space="0" w:color="auto"/>
            </w:tcBorders>
          </w:tcPr>
          <w:p w:rsidR="000574FF" w:rsidRPr="008E5634" w:rsidRDefault="00DA7437" w:rsidP="000574FF">
            <w:pPr>
              <w:spacing w:line="480" w:lineRule="auto"/>
              <w:jc w:val="center"/>
              <w:rPr>
                <w:b/>
                <w:bCs/>
                <w:sz w:val="16"/>
                <w:szCs w:val="16"/>
              </w:rPr>
            </w:pPr>
            <w:r>
              <w:rPr>
                <w:b/>
                <w:bCs/>
                <w:sz w:val="16"/>
                <w:szCs w:val="16"/>
              </w:rPr>
              <w:t>-</w:t>
            </w:r>
            <w:r w:rsidR="000574FF" w:rsidRPr="008E5634">
              <w:rPr>
                <w:b/>
                <w:bCs/>
                <w:sz w:val="16"/>
                <w:szCs w:val="16"/>
              </w:rPr>
              <w:t>Δ</w:t>
            </w:r>
            <w:r w:rsidR="000574FF" w:rsidRPr="008E5634">
              <w:rPr>
                <w:b/>
                <w:bCs/>
                <w:i/>
                <w:iCs/>
                <w:sz w:val="16"/>
                <w:szCs w:val="16"/>
              </w:rPr>
              <w:t>G</w:t>
            </w:r>
          </w:p>
          <w:p w:rsidR="000574FF" w:rsidRPr="008E5634" w:rsidRDefault="000574FF" w:rsidP="00DA7437">
            <w:pPr>
              <w:spacing w:line="480" w:lineRule="auto"/>
              <w:jc w:val="center"/>
              <w:rPr>
                <w:b/>
                <w:bCs/>
                <w:sz w:val="16"/>
                <w:szCs w:val="16"/>
              </w:rPr>
            </w:pPr>
            <w:r w:rsidRPr="008E5634">
              <w:rPr>
                <w:b/>
                <w:bCs/>
                <w:sz w:val="16"/>
                <w:szCs w:val="16"/>
              </w:rPr>
              <w:t>(kJ/mol)</w:t>
            </w:r>
            <w:r w:rsidR="00DA7437" w:rsidRPr="008E5634">
              <w:rPr>
                <w:b/>
                <w:bCs/>
                <w:sz w:val="16"/>
                <w:szCs w:val="16"/>
              </w:rPr>
              <w:t xml:space="preserve"> </w:t>
            </w:r>
          </w:p>
        </w:tc>
        <w:tc>
          <w:tcPr>
            <w:tcW w:w="0" w:type="auto"/>
            <w:tcBorders>
              <w:top w:val="single" w:sz="4" w:space="0" w:color="auto"/>
              <w:bottom w:val="single" w:sz="4" w:space="0" w:color="auto"/>
            </w:tcBorders>
          </w:tcPr>
          <w:p w:rsidR="000574FF" w:rsidRDefault="000574FF" w:rsidP="000574FF">
            <w:pPr>
              <w:spacing w:line="480" w:lineRule="auto"/>
              <w:jc w:val="center"/>
              <w:rPr>
                <w:b/>
                <w:bCs/>
                <w:sz w:val="16"/>
                <w:szCs w:val="16"/>
              </w:rPr>
            </w:pPr>
            <w:r w:rsidRPr="008E5634">
              <w:rPr>
                <w:b/>
                <w:bCs/>
                <w:sz w:val="16"/>
                <w:szCs w:val="16"/>
              </w:rPr>
              <w:t>Stoichiometry</w:t>
            </w:r>
          </w:p>
          <w:p w:rsidR="00DA7437" w:rsidRPr="0050110E" w:rsidRDefault="00DA7437" w:rsidP="000574FF">
            <w:pPr>
              <w:spacing w:line="480" w:lineRule="auto"/>
              <w:jc w:val="center"/>
              <w:rPr>
                <w:b/>
                <w:bCs/>
                <w:i/>
                <w:sz w:val="16"/>
                <w:szCs w:val="16"/>
              </w:rPr>
            </w:pPr>
            <w:r w:rsidRPr="0050110E">
              <w:rPr>
                <w:b/>
                <w:bCs/>
                <w:i/>
                <w:sz w:val="16"/>
                <w:szCs w:val="16"/>
              </w:rPr>
              <w:t>n</w:t>
            </w:r>
          </w:p>
        </w:tc>
      </w:tr>
      <w:tr w:rsidR="000574FF" w:rsidRPr="008E5634" w:rsidTr="000574FF">
        <w:trPr>
          <w:jc w:val="center"/>
        </w:trPr>
        <w:tc>
          <w:tcPr>
            <w:tcW w:w="0" w:type="auto"/>
          </w:tcPr>
          <w:p w:rsidR="000574FF" w:rsidRPr="00C64A59" w:rsidRDefault="000574FF" w:rsidP="000574FF">
            <w:pPr>
              <w:spacing w:line="480" w:lineRule="auto"/>
              <w:jc w:val="center"/>
              <w:rPr>
                <w:bCs/>
                <w:color w:val="000000" w:themeColor="text1"/>
                <w:sz w:val="16"/>
                <w:szCs w:val="16"/>
              </w:rPr>
            </w:pPr>
            <w:r w:rsidRPr="00C64A59">
              <w:rPr>
                <w:bCs/>
                <w:color w:val="000000" w:themeColor="text1"/>
                <w:sz w:val="16"/>
                <w:szCs w:val="16"/>
              </w:rPr>
              <w:t>25</w:t>
            </w:r>
          </w:p>
        </w:tc>
        <w:tc>
          <w:tcPr>
            <w:tcW w:w="0" w:type="auto"/>
          </w:tcPr>
          <w:p w:rsidR="00D22277" w:rsidRDefault="000574FF" w:rsidP="000574FF">
            <w:pPr>
              <w:spacing w:line="480" w:lineRule="auto"/>
              <w:jc w:val="center"/>
              <w:rPr>
                <w:bCs/>
                <w:color w:val="000000" w:themeColor="text1"/>
                <w:sz w:val="16"/>
                <w:szCs w:val="16"/>
              </w:rPr>
            </w:pPr>
            <w:r w:rsidRPr="00C64A59">
              <w:rPr>
                <w:bCs/>
                <w:color w:val="000000" w:themeColor="text1"/>
                <w:sz w:val="16"/>
                <w:szCs w:val="16"/>
              </w:rPr>
              <w:t xml:space="preserve">20 </w:t>
            </w:r>
          </w:p>
          <w:p w:rsidR="000574FF" w:rsidRDefault="000574FF" w:rsidP="000574FF">
            <w:pPr>
              <w:spacing w:line="480" w:lineRule="auto"/>
              <w:jc w:val="center"/>
              <w:rPr>
                <w:b/>
                <w:bCs/>
                <w:color w:val="000000" w:themeColor="text1"/>
                <w:sz w:val="16"/>
                <w:szCs w:val="16"/>
              </w:rPr>
            </w:pPr>
            <w:r w:rsidRPr="00D22277">
              <w:rPr>
                <w:b/>
                <w:bCs/>
                <w:color w:val="000000" w:themeColor="text1"/>
                <w:sz w:val="16"/>
                <w:szCs w:val="16"/>
              </w:rPr>
              <w:t>(±</w:t>
            </w:r>
            <w:r w:rsidR="00BF1CE8">
              <w:rPr>
                <w:b/>
                <w:bCs/>
                <w:color w:val="000000" w:themeColor="text1"/>
                <w:sz w:val="16"/>
                <w:szCs w:val="16"/>
              </w:rPr>
              <w:t>2</w:t>
            </w:r>
            <w:r w:rsidRPr="00D22277">
              <w:rPr>
                <w:b/>
                <w:bCs/>
                <w:color w:val="000000" w:themeColor="text1"/>
                <w:sz w:val="16"/>
                <w:szCs w:val="16"/>
              </w:rPr>
              <w:t>)</w:t>
            </w:r>
          </w:p>
          <w:p w:rsidR="00D22277" w:rsidRPr="003D0033" w:rsidRDefault="003D0033" w:rsidP="00BF1CE8">
            <w:pPr>
              <w:spacing w:line="480" w:lineRule="auto"/>
              <w:jc w:val="center"/>
              <w:rPr>
                <w:bCs/>
                <w:i/>
                <w:color w:val="000000" w:themeColor="text1"/>
                <w:sz w:val="16"/>
                <w:szCs w:val="16"/>
              </w:rPr>
            </w:pPr>
            <w:r w:rsidRPr="003D0033">
              <w:rPr>
                <w:bCs/>
                <w:i/>
                <w:color w:val="000000" w:themeColor="text1"/>
                <w:sz w:val="16"/>
                <w:szCs w:val="16"/>
              </w:rPr>
              <w:t>(±</w:t>
            </w:r>
            <w:r>
              <w:rPr>
                <w:bCs/>
                <w:i/>
                <w:color w:val="000000" w:themeColor="text1"/>
                <w:sz w:val="16"/>
                <w:szCs w:val="16"/>
              </w:rPr>
              <w:t>0.</w:t>
            </w:r>
            <w:r w:rsidR="00BF1CE8">
              <w:rPr>
                <w:bCs/>
                <w:i/>
                <w:color w:val="000000" w:themeColor="text1"/>
                <w:sz w:val="16"/>
                <w:szCs w:val="16"/>
              </w:rPr>
              <w:t>7</w:t>
            </w:r>
            <w:r>
              <w:rPr>
                <w:bCs/>
                <w:i/>
                <w:color w:val="000000" w:themeColor="text1"/>
                <w:sz w:val="16"/>
                <w:szCs w:val="16"/>
              </w:rPr>
              <w:t>)</w:t>
            </w:r>
          </w:p>
        </w:tc>
        <w:tc>
          <w:tcPr>
            <w:tcW w:w="0" w:type="auto"/>
          </w:tcPr>
          <w:p w:rsidR="00D22277" w:rsidRDefault="000574FF" w:rsidP="000574FF">
            <w:pPr>
              <w:spacing w:line="480" w:lineRule="auto"/>
              <w:jc w:val="center"/>
              <w:rPr>
                <w:bCs/>
                <w:iCs/>
                <w:color w:val="000000" w:themeColor="text1"/>
                <w:sz w:val="16"/>
                <w:szCs w:val="16"/>
              </w:rPr>
            </w:pPr>
            <w:r w:rsidRPr="00C64A59">
              <w:rPr>
                <w:bCs/>
                <w:iCs/>
                <w:color w:val="000000" w:themeColor="text1"/>
                <w:sz w:val="16"/>
                <w:szCs w:val="16"/>
              </w:rPr>
              <w:t xml:space="preserve">-8.33 </w:t>
            </w:r>
          </w:p>
          <w:p w:rsidR="000574FF" w:rsidRPr="00D22277" w:rsidRDefault="000574FF" w:rsidP="00BF1CE8">
            <w:pPr>
              <w:spacing w:line="480" w:lineRule="auto"/>
              <w:jc w:val="center"/>
              <w:rPr>
                <w:b/>
                <w:bCs/>
                <w:iCs/>
                <w:color w:val="000000" w:themeColor="text1"/>
                <w:sz w:val="16"/>
                <w:szCs w:val="16"/>
              </w:rPr>
            </w:pPr>
            <w:r w:rsidRPr="00D22277">
              <w:rPr>
                <w:b/>
                <w:bCs/>
                <w:color w:val="000000" w:themeColor="text1"/>
                <w:sz w:val="16"/>
                <w:szCs w:val="16"/>
              </w:rPr>
              <w:t xml:space="preserve">(± </w:t>
            </w:r>
            <w:r w:rsidR="00BF1CE8">
              <w:rPr>
                <w:b/>
                <w:bCs/>
                <w:color w:val="000000" w:themeColor="text1"/>
                <w:sz w:val="16"/>
                <w:szCs w:val="16"/>
              </w:rPr>
              <w:t>2</w:t>
            </w:r>
            <w:r w:rsidRPr="00D22277">
              <w:rPr>
                <w:b/>
                <w:bCs/>
                <w:color w:val="000000" w:themeColor="text1"/>
                <w:sz w:val="16"/>
                <w:szCs w:val="16"/>
              </w:rPr>
              <w:t>)</w:t>
            </w:r>
          </w:p>
        </w:tc>
        <w:tc>
          <w:tcPr>
            <w:tcW w:w="0" w:type="auto"/>
          </w:tcPr>
          <w:p w:rsidR="00D22277" w:rsidRDefault="000574FF" w:rsidP="000574FF">
            <w:pPr>
              <w:spacing w:line="480" w:lineRule="auto"/>
              <w:jc w:val="center"/>
              <w:rPr>
                <w:bCs/>
                <w:color w:val="000000" w:themeColor="text1"/>
                <w:sz w:val="16"/>
                <w:szCs w:val="16"/>
              </w:rPr>
            </w:pPr>
            <w:r w:rsidRPr="00C64A59">
              <w:rPr>
                <w:bCs/>
                <w:color w:val="000000" w:themeColor="text1"/>
                <w:sz w:val="16"/>
                <w:szCs w:val="16"/>
              </w:rPr>
              <w:t xml:space="preserve">28.32 </w:t>
            </w:r>
          </w:p>
          <w:p w:rsidR="000574FF" w:rsidRDefault="000574FF" w:rsidP="000574FF">
            <w:pPr>
              <w:spacing w:line="480" w:lineRule="auto"/>
              <w:jc w:val="center"/>
              <w:rPr>
                <w:b/>
                <w:bCs/>
                <w:color w:val="000000" w:themeColor="text1"/>
                <w:sz w:val="16"/>
                <w:szCs w:val="16"/>
              </w:rPr>
            </w:pPr>
            <w:r w:rsidRPr="00D22277">
              <w:rPr>
                <w:b/>
                <w:bCs/>
                <w:color w:val="000000" w:themeColor="text1"/>
                <w:sz w:val="16"/>
                <w:szCs w:val="16"/>
              </w:rPr>
              <w:t>(± 0.</w:t>
            </w:r>
            <w:r w:rsidR="00BF1CE8">
              <w:rPr>
                <w:b/>
                <w:bCs/>
                <w:color w:val="000000" w:themeColor="text1"/>
                <w:sz w:val="16"/>
                <w:szCs w:val="16"/>
              </w:rPr>
              <w:t>4</w:t>
            </w:r>
            <w:r w:rsidRPr="00D22277">
              <w:rPr>
                <w:b/>
                <w:bCs/>
                <w:color w:val="000000" w:themeColor="text1"/>
                <w:sz w:val="16"/>
                <w:szCs w:val="16"/>
              </w:rPr>
              <w:t>)</w:t>
            </w:r>
          </w:p>
          <w:p w:rsidR="003D0033" w:rsidRPr="003D0033" w:rsidRDefault="003D0033" w:rsidP="003D0033">
            <w:pPr>
              <w:spacing w:line="480" w:lineRule="auto"/>
              <w:jc w:val="center"/>
              <w:rPr>
                <w:bCs/>
                <w:i/>
                <w:color w:val="000000" w:themeColor="text1"/>
                <w:sz w:val="16"/>
                <w:szCs w:val="16"/>
              </w:rPr>
            </w:pPr>
            <w:r w:rsidRPr="003D0033">
              <w:rPr>
                <w:bCs/>
                <w:i/>
                <w:color w:val="000000" w:themeColor="text1"/>
                <w:sz w:val="16"/>
                <w:szCs w:val="16"/>
              </w:rPr>
              <w:t>(± 2)</w:t>
            </w:r>
          </w:p>
          <w:p w:rsidR="003D0033" w:rsidRPr="00D22277" w:rsidRDefault="003D0033" w:rsidP="000574FF">
            <w:pPr>
              <w:spacing w:line="480" w:lineRule="auto"/>
              <w:jc w:val="center"/>
              <w:rPr>
                <w:b/>
                <w:bCs/>
                <w:color w:val="000000" w:themeColor="text1"/>
                <w:sz w:val="16"/>
                <w:szCs w:val="16"/>
              </w:rPr>
            </w:pPr>
          </w:p>
        </w:tc>
        <w:tc>
          <w:tcPr>
            <w:tcW w:w="0" w:type="auto"/>
          </w:tcPr>
          <w:p w:rsidR="00D22277" w:rsidRDefault="000574FF" w:rsidP="000574FF">
            <w:pPr>
              <w:spacing w:line="480" w:lineRule="auto"/>
              <w:jc w:val="center"/>
              <w:rPr>
                <w:bCs/>
                <w:color w:val="000000" w:themeColor="text1"/>
                <w:sz w:val="16"/>
                <w:szCs w:val="16"/>
              </w:rPr>
            </w:pPr>
            <w:r w:rsidRPr="00C64A59">
              <w:rPr>
                <w:bCs/>
                <w:color w:val="000000" w:themeColor="text1"/>
                <w:sz w:val="16"/>
                <w:szCs w:val="16"/>
              </w:rPr>
              <w:t xml:space="preserve">11.9 </w:t>
            </w:r>
          </w:p>
          <w:p w:rsidR="000574FF" w:rsidRDefault="000574FF" w:rsidP="000574FF">
            <w:pPr>
              <w:spacing w:line="480" w:lineRule="auto"/>
              <w:jc w:val="center"/>
              <w:rPr>
                <w:b/>
                <w:bCs/>
                <w:color w:val="000000" w:themeColor="text1"/>
                <w:sz w:val="16"/>
                <w:szCs w:val="16"/>
              </w:rPr>
            </w:pPr>
            <w:r w:rsidRPr="00D22277">
              <w:rPr>
                <w:b/>
                <w:bCs/>
                <w:color w:val="000000" w:themeColor="text1"/>
                <w:sz w:val="16"/>
                <w:szCs w:val="16"/>
              </w:rPr>
              <w:t>(±0.</w:t>
            </w:r>
            <w:r w:rsidR="00BF1CE8">
              <w:rPr>
                <w:b/>
                <w:bCs/>
                <w:color w:val="000000" w:themeColor="text1"/>
                <w:sz w:val="16"/>
                <w:szCs w:val="16"/>
              </w:rPr>
              <w:t>8</w:t>
            </w:r>
            <w:r w:rsidRPr="00D22277">
              <w:rPr>
                <w:b/>
                <w:bCs/>
                <w:color w:val="000000" w:themeColor="text1"/>
                <w:sz w:val="16"/>
                <w:szCs w:val="16"/>
              </w:rPr>
              <w:t>)</w:t>
            </w:r>
          </w:p>
          <w:p w:rsidR="003D0033" w:rsidRPr="003D0033" w:rsidRDefault="003D0033" w:rsidP="00BF1CE8">
            <w:pPr>
              <w:spacing w:line="480" w:lineRule="auto"/>
              <w:jc w:val="center"/>
              <w:rPr>
                <w:bCs/>
                <w:i/>
                <w:color w:val="000000" w:themeColor="text1"/>
                <w:sz w:val="16"/>
                <w:szCs w:val="16"/>
              </w:rPr>
            </w:pPr>
            <w:r w:rsidRPr="003D0033">
              <w:rPr>
                <w:bCs/>
                <w:i/>
                <w:color w:val="000000" w:themeColor="text1"/>
                <w:sz w:val="16"/>
                <w:szCs w:val="16"/>
              </w:rPr>
              <w:t>(±0.</w:t>
            </w:r>
            <w:r w:rsidR="00BF1CE8">
              <w:rPr>
                <w:bCs/>
                <w:i/>
                <w:color w:val="000000" w:themeColor="text1"/>
                <w:sz w:val="16"/>
                <w:szCs w:val="16"/>
              </w:rPr>
              <w:t>2</w:t>
            </w:r>
            <w:r w:rsidRPr="003D0033">
              <w:rPr>
                <w:bCs/>
                <w:i/>
                <w:color w:val="000000" w:themeColor="text1"/>
                <w:sz w:val="16"/>
                <w:szCs w:val="16"/>
              </w:rPr>
              <w:t>)</w:t>
            </w:r>
          </w:p>
        </w:tc>
      </w:tr>
      <w:tr w:rsidR="000574FF" w:rsidRPr="008E5634" w:rsidTr="000574FF">
        <w:trPr>
          <w:jc w:val="center"/>
        </w:trPr>
        <w:tc>
          <w:tcPr>
            <w:tcW w:w="0" w:type="auto"/>
            <w:tcBorders>
              <w:bottom w:val="single" w:sz="4" w:space="0" w:color="auto"/>
            </w:tcBorders>
          </w:tcPr>
          <w:p w:rsidR="000574FF" w:rsidRPr="00C64A59" w:rsidRDefault="000574FF" w:rsidP="000574FF">
            <w:pPr>
              <w:spacing w:line="480" w:lineRule="auto"/>
              <w:jc w:val="center"/>
              <w:rPr>
                <w:bCs/>
                <w:color w:val="000000" w:themeColor="text1"/>
                <w:sz w:val="16"/>
                <w:szCs w:val="16"/>
              </w:rPr>
            </w:pPr>
            <w:r w:rsidRPr="00C64A59">
              <w:rPr>
                <w:bCs/>
                <w:color w:val="000000" w:themeColor="text1"/>
                <w:sz w:val="16"/>
                <w:szCs w:val="16"/>
              </w:rPr>
              <w:t>40</w:t>
            </w:r>
          </w:p>
        </w:tc>
        <w:tc>
          <w:tcPr>
            <w:tcW w:w="0" w:type="auto"/>
            <w:tcBorders>
              <w:bottom w:val="single" w:sz="4" w:space="0" w:color="auto"/>
            </w:tcBorders>
          </w:tcPr>
          <w:p w:rsidR="00D22277" w:rsidRDefault="000574FF" w:rsidP="000574FF">
            <w:pPr>
              <w:spacing w:line="480" w:lineRule="auto"/>
              <w:jc w:val="center"/>
              <w:rPr>
                <w:bCs/>
                <w:color w:val="000000" w:themeColor="text1"/>
                <w:sz w:val="16"/>
                <w:szCs w:val="16"/>
              </w:rPr>
            </w:pPr>
            <w:r w:rsidRPr="00C64A59">
              <w:rPr>
                <w:bCs/>
                <w:color w:val="000000" w:themeColor="text1"/>
                <w:sz w:val="16"/>
                <w:szCs w:val="16"/>
              </w:rPr>
              <w:t xml:space="preserve">24.2 </w:t>
            </w:r>
          </w:p>
          <w:p w:rsidR="000574FF" w:rsidRDefault="00BF1CE8" w:rsidP="000574FF">
            <w:pPr>
              <w:spacing w:line="480" w:lineRule="auto"/>
              <w:jc w:val="center"/>
              <w:rPr>
                <w:b/>
                <w:bCs/>
                <w:color w:val="000000" w:themeColor="text1"/>
                <w:sz w:val="16"/>
                <w:szCs w:val="16"/>
              </w:rPr>
            </w:pPr>
            <w:r>
              <w:rPr>
                <w:b/>
                <w:bCs/>
                <w:color w:val="000000" w:themeColor="text1"/>
                <w:sz w:val="16"/>
                <w:szCs w:val="16"/>
              </w:rPr>
              <w:t>(± 1)</w:t>
            </w:r>
          </w:p>
          <w:p w:rsidR="003D0033" w:rsidRPr="003D0033" w:rsidRDefault="003D0033" w:rsidP="00BF1CE8">
            <w:pPr>
              <w:spacing w:line="480" w:lineRule="auto"/>
              <w:jc w:val="center"/>
              <w:rPr>
                <w:bCs/>
                <w:i/>
                <w:color w:val="000000" w:themeColor="text1"/>
                <w:sz w:val="16"/>
                <w:szCs w:val="16"/>
              </w:rPr>
            </w:pPr>
            <w:r w:rsidRPr="003D0033">
              <w:rPr>
                <w:bCs/>
                <w:i/>
                <w:color w:val="000000" w:themeColor="text1"/>
                <w:sz w:val="16"/>
                <w:szCs w:val="16"/>
              </w:rPr>
              <w:t>(±</w:t>
            </w:r>
            <w:r w:rsidR="00BF1CE8">
              <w:rPr>
                <w:bCs/>
                <w:i/>
                <w:color w:val="000000" w:themeColor="text1"/>
                <w:sz w:val="16"/>
                <w:szCs w:val="16"/>
              </w:rPr>
              <w:t>2</w:t>
            </w:r>
            <w:r w:rsidRPr="003D0033">
              <w:rPr>
                <w:bCs/>
                <w:i/>
                <w:color w:val="000000" w:themeColor="text1"/>
                <w:sz w:val="16"/>
                <w:szCs w:val="16"/>
              </w:rPr>
              <w:t>)</w:t>
            </w:r>
          </w:p>
        </w:tc>
        <w:tc>
          <w:tcPr>
            <w:tcW w:w="0" w:type="auto"/>
            <w:tcBorders>
              <w:bottom w:val="single" w:sz="4" w:space="0" w:color="auto"/>
            </w:tcBorders>
          </w:tcPr>
          <w:p w:rsidR="00D22277" w:rsidRDefault="000574FF" w:rsidP="000574FF">
            <w:pPr>
              <w:spacing w:line="480" w:lineRule="auto"/>
              <w:jc w:val="center"/>
              <w:rPr>
                <w:bCs/>
                <w:iCs/>
                <w:color w:val="000000" w:themeColor="text1"/>
                <w:sz w:val="16"/>
                <w:szCs w:val="16"/>
              </w:rPr>
            </w:pPr>
            <w:r w:rsidRPr="00C64A59">
              <w:rPr>
                <w:bCs/>
                <w:iCs/>
                <w:color w:val="000000" w:themeColor="text1"/>
                <w:sz w:val="16"/>
                <w:szCs w:val="16"/>
              </w:rPr>
              <w:t xml:space="preserve">-3.06 </w:t>
            </w:r>
          </w:p>
          <w:p w:rsidR="000574FF" w:rsidRPr="00D22277" w:rsidRDefault="000574FF" w:rsidP="00BF1CE8">
            <w:pPr>
              <w:spacing w:line="480" w:lineRule="auto"/>
              <w:jc w:val="center"/>
              <w:rPr>
                <w:b/>
                <w:bCs/>
                <w:iCs/>
                <w:color w:val="000000" w:themeColor="text1"/>
                <w:sz w:val="16"/>
                <w:szCs w:val="16"/>
              </w:rPr>
            </w:pPr>
            <w:r w:rsidRPr="00D22277">
              <w:rPr>
                <w:b/>
                <w:bCs/>
                <w:color w:val="000000" w:themeColor="text1"/>
                <w:sz w:val="16"/>
                <w:szCs w:val="16"/>
              </w:rPr>
              <w:t>(± 0.</w:t>
            </w:r>
            <w:r w:rsidR="00BF1CE8">
              <w:rPr>
                <w:b/>
                <w:bCs/>
                <w:color w:val="000000" w:themeColor="text1"/>
                <w:sz w:val="16"/>
                <w:szCs w:val="16"/>
              </w:rPr>
              <w:t>9</w:t>
            </w:r>
            <w:r w:rsidRPr="00D22277">
              <w:rPr>
                <w:b/>
                <w:bCs/>
                <w:color w:val="000000" w:themeColor="text1"/>
                <w:sz w:val="16"/>
                <w:szCs w:val="16"/>
              </w:rPr>
              <w:t>)</w:t>
            </w:r>
          </w:p>
        </w:tc>
        <w:tc>
          <w:tcPr>
            <w:tcW w:w="0" w:type="auto"/>
            <w:tcBorders>
              <w:bottom w:val="single" w:sz="4" w:space="0" w:color="auto"/>
            </w:tcBorders>
          </w:tcPr>
          <w:p w:rsidR="00D22277" w:rsidRDefault="000574FF" w:rsidP="000574FF">
            <w:pPr>
              <w:spacing w:line="480" w:lineRule="auto"/>
              <w:jc w:val="center"/>
              <w:rPr>
                <w:bCs/>
                <w:color w:val="000000" w:themeColor="text1"/>
                <w:sz w:val="16"/>
                <w:szCs w:val="16"/>
              </w:rPr>
            </w:pPr>
            <w:r w:rsidRPr="00C64A59">
              <w:rPr>
                <w:bCs/>
                <w:color w:val="000000" w:themeColor="text1"/>
                <w:sz w:val="16"/>
                <w:szCs w:val="16"/>
              </w:rPr>
              <w:t xml:space="preserve">27.3 </w:t>
            </w:r>
          </w:p>
          <w:p w:rsidR="003D0033" w:rsidRDefault="000574FF" w:rsidP="003D0033">
            <w:pPr>
              <w:spacing w:line="480" w:lineRule="auto"/>
              <w:jc w:val="center"/>
              <w:rPr>
                <w:b/>
                <w:bCs/>
                <w:color w:val="000000" w:themeColor="text1"/>
                <w:sz w:val="16"/>
                <w:szCs w:val="16"/>
              </w:rPr>
            </w:pPr>
            <w:r w:rsidRPr="00D22277">
              <w:rPr>
                <w:b/>
                <w:bCs/>
                <w:color w:val="000000" w:themeColor="text1"/>
                <w:sz w:val="16"/>
                <w:szCs w:val="16"/>
              </w:rPr>
              <w:t>(± 0.</w:t>
            </w:r>
            <w:r w:rsidR="00BF1CE8">
              <w:rPr>
                <w:b/>
                <w:bCs/>
                <w:color w:val="000000" w:themeColor="text1"/>
                <w:sz w:val="16"/>
                <w:szCs w:val="16"/>
              </w:rPr>
              <w:t>1</w:t>
            </w:r>
            <w:r w:rsidRPr="00D22277">
              <w:rPr>
                <w:b/>
                <w:bCs/>
                <w:color w:val="000000" w:themeColor="text1"/>
                <w:sz w:val="16"/>
                <w:szCs w:val="16"/>
              </w:rPr>
              <w:t>)</w:t>
            </w:r>
          </w:p>
          <w:p w:rsidR="003D0033" w:rsidRPr="003D0033" w:rsidRDefault="003D0033" w:rsidP="003D0033">
            <w:pPr>
              <w:spacing w:line="480" w:lineRule="auto"/>
              <w:jc w:val="center"/>
              <w:rPr>
                <w:bCs/>
                <w:i/>
                <w:color w:val="000000" w:themeColor="text1"/>
                <w:sz w:val="16"/>
                <w:szCs w:val="16"/>
              </w:rPr>
            </w:pPr>
            <w:r w:rsidRPr="003D0033">
              <w:rPr>
                <w:bCs/>
                <w:i/>
                <w:color w:val="000000" w:themeColor="text1"/>
                <w:sz w:val="16"/>
                <w:szCs w:val="16"/>
              </w:rPr>
              <w:t>(± 2)</w:t>
            </w:r>
          </w:p>
        </w:tc>
        <w:tc>
          <w:tcPr>
            <w:tcW w:w="0" w:type="auto"/>
            <w:tcBorders>
              <w:bottom w:val="single" w:sz="4" w:space="0" w:color="auto"/>
            </w:tcBorders>
          </w:tcPr>
          <w:p w:rsidR="00D22277" w:rsidRDefault="000574FF" w:rsidP="000574FF">
            <w:pPr>
              <w:spacing w:line="480" w:lineRule="auto"/>
              <w:jc w:val="center"/>
              <w:rPr>
                <w:bCs/>
                <w:color w:val="000000" w:themeColor="text1"/>
                <w:sz w:val="16"/>
                <w:szCs w:val="16"/>
              </w:rPr>
            </w:pPr>
            <w:r w:rsidRPr="00C64A59">
              <w:rPr>
                <w:bCs/>
                <w:color w:val="000000" w:themeColor="text1"/>
                <w:sz w:val="16"/>
                <w:szCs w:val="16"/>
              </w:rPr>
              <w:t xml:space="preserve">12.3 </w:t>
            </w:r>
          </w:p>
          <w:p w:rsidR="000574FF" w:rsidRDefault="000574FF" w:rsidP="000574FF">
            <w:pPr>
              <w:spacing w:line="480" w:lineRule="auto"/>
              <w:jc w:val="center"/>
              <w:rPr>
                <w:b/>
                <w:bCs/>
                <w:color w:val="000000" w:themeColor="text1"/>
                <w:sz w:val="16"/>
                <w:szCs w:val="16"/>
              </w:rPr>
            </w:pPr>
            <w:r w:rsidRPr="00D22277">
              <w:rPr>
                <w:b/>
                <w:bCs/>
                <w:color w:val="000000" w:themeColor="text1"/>
                <w:sz w:val="16"/>
                <w:szCs w:val="16"/>
              </w:rPr>
              <w:t>(± 0.</w:t>
            </w:r>
            <w:r w:rsidR="00BF1CE8">
              <w:rPr>
                <w:b/>
                <w:bCs/>
                <w:color w:val="000000" w:themeColor="text1"/>
                <w:sz w:val="16"/>
                <w:szCs w:val="16"/>
              </w:rPr>
              <w:t>4</w:t>
            </w:r>
            <w:r w:rsidRPr="00D22277">
              <w:rPr>
                <w:b/>
                <w:bCs/>
                <w:color w:val="000000" w:themeColor="text1"/>
                <w:sz w:val="16"/>
                <w:szCs w:val="16"/>
              </w:rPr>
              <w:t>)</w:t>
            </w:r>
          </w:p>
          <w:p w:rsidR="003D0033" w:rsidRPr="003D0033" w:rsidRDefault="003D0033" w:rsidP="00BF1CE8">
            <w:pPr>
              <w:spacing w:line="480" w:lineRule="auto"/>
              <w:jc w:val="center"/>
              <w:rPr>
                <w:bCs/>
                <w:i/>
                <w:color w:val="000000" w:themeColor="text1"/>
                <w:sz w:val="16"/>
                <w:szCs w:val="16"/>
              </w:rPr>
            </w:pPr>
            <w:r w:rsidRPr="003D0033">
              <w:rPr>
                <w:bCs/>
                <w:i/>
                <w:color w:val="000000" w:themeColor="text1"/>
                <w:sz w:val="16"/>
                <w:szCs w:val="16"/>
              </w:rPr>
              <w:t>(± 0.</w:t>
            </w:r>
            <w:r w:rsidR="00BF1CE8">
              <w:rPr>
                <w:bCs/>
                <w:i/>
                <w:color w:val="000000" w:themeColor="text1"/>
                <w:sz w:val="16"/>
                <w:szCs w:val="16"/>
              </w:rPr>
              <w:t>9</w:t>
            </w:r>
            <w:r w:rsidRPr="003D0033">
              <w:rPr>
                <w:bCs/>
                <w:i/>
                <w:color w:val="000000" w:themeColor="text1"/>
                <w:sz w:val="16"/>
                <w:szCs w:val="16"/>
              </w:rPr>
              <w:t>)</w:t>
            </w:r>
          </w:p>
        </w:tc>
      </w:tr>
    </w:tbl>
    <w:p w:rsidR="00097947" w:rsidRDefault="00097947" w:rsidP="00097947">
      <w:pPr>
        <w:pStyle w:val="Heading3"/>
        <w:spacing w:line="480" w:lineRule="auto"/>
      </w:pPr>
      <w:bookmarkStart w:id="121" w:name="_Toc459130707"/>
      <w:r>
        <w:rPr>
          <w:bCs w:val="0"/>
        </w:rPr>
        <w:lastRenderedPageBreak/>
        <w:t xml:space="preserve">Octomeric </w:t>
      </w:r>
      <w:r w:rsidRPr="00097947">
        <w:rPr>
          <w:bCs w:val="0"/>
        </w:rPr>
        <w:t xml:space="preserve">Proanthocyanidin </w:t>
      </w:r>
      <w:r w:rsidRPr="00097947">
        <w:t>Interactions</w:t>
      </w:r>
      <w:r>
        <w:t xml:space="preserve"> with </w:t>
      </w:r>
      <w:r w:rsidR="00AC34CA">
        <w:t>Bovine Serum Albumin</w:t>
      </w:r>
      <w:bookmarkEnd w:id="121"/>
    </w:p>
    <w:p w:rsidR="000574FF" w:rsidRDefault="00040F10" w:rsidP="000574FF">
      <w:pPr>
        <w:keepNext/>
        <w:spacing w:line="480" w:lineRule="auto"/>
        <w:rPr>
          <w:bCs/>
        </w:rPr>
      </w:pPr>
      <w:r>
        <w:rPr>
          <w:bCs/>
          <w:noProof/>
          <w:lang w:eastAsia="en-GB"/>
        </w:rPr>
        <w:pict>
          <v:shape id="_x0000_s1169" type="#_x0000_t202" style="position:absolute;margin-left:165.7pt;margin-top:113.45pt;width:87.05pt;height:16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040A42">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0574FF">
        <w:rPr>
          <w:bCs/>
        </w:rPr>
        <w:t xml:space="preserve">The binding isotherm between octameric </w:t>
      </w:r>
      <w:r w:rsidR="000574FF" w:rsidRPr="0095254C">
        <w:rPr>
          <w:bCs/>
        </w:rPr>
        <w:t>proanthocyanidin</w:t>
      </w:r>
      <w:r w:rsidR="000574FF">
        <w:rPr>
          <w:bCs/>
        </w:rPr>
        <w:t xml:space="preserve"> and BSA showed a more complex binding isotherm than the one for tetrameric proanthocyanidin and polyproline. </w:t>
      </w:r>
      <w:r w:rsidR="000574FF" w:rsidRPr="0095254C">
        <w:rPr>
          <w:bCs/>
        </w:rPr>
        <w:t xml:space="preserve"> </w:t>
      </w:r>
      <w:r w:rsidR="000574FF">
        <w:rPr>
          <w:bCs/>
        </w:rPr>
        <w:t>The interaction is monophasic at 10</w:t>
      </w:r>
      <w:r w:rsidR="006F2757">
        <w:rPr>
          <w:bCs/>
        </w:rPr>
        <w:t xml:space="preserve"> </w:t>
      </w:r>
      <w:r w:rsidR="000574FF">
        <w:rPr>
          <w:bCs/>
        </w:rPr>
        <w:t>°C (</w:t>
      </w:r>
      <w:r w:rsidR="0075172E">
        <w:rPr>
          <w:bCs/>
        </w:rPr>
        <w:fldChar w:fldCharType="begin"/>
      </w:r>
      <w:r w:rsidR="000104A6">
        <w:rPr>
          <w:bCs/>
        </w:rPr>
        <w:instrText xml:space="preserve"> REF _Ref443582311 \h </w:instrText>
      </w:r>
      <w:r w:rsidR="0075172E">
        <w:rPr>
          <w:bCs/>
        </w:rPr>
      </w:r>
      <w:r w:rsidR="0075172E">
        <w:rPr>
          <w:bCs/>
        </w:rPr>
        <w:fldChar w:fldCharType="separate"/>
      </w:r>
      <w:r w:rsidR="00CB4EDC">
        <w:t xml:space="preserve">Figure </w:t>
      </w:r>
      <w:r w:rsidR="00CB4EDC">
        <w:rPr>
          <w:noProof/>
        </w:rPr>
        <w:t>3</w:t>
      </w:r>
      <w:r w:rsidR="00CB4EDC">
        <w:t>.</w:t>
      </w:r>
      <w:r w:rsidR="00CB4EDC">
        <w:rPr>
          <w:noProof/>
        </w:rPr>
        <w:t>22</w:t>
      </w:r>
      <w:r w:rsidR="0075172E">
        <w:rPr>
          <w:bCs/>
        </w:rPr>
        <w:fldChar w:fldCharType="end"/>
      </w:r>
      <w:r w:rsidR="000574FF">
        <w:rPr>
          <w:bCs/>
        </w:rPr>
        <w:t>), but becomes biphasic at 25</w:t>
      </w:r>
      <w:r w:rsidR="006F2757">
        <w:rPr>
          <w:bCs/>
        </w:rPr>
        <w:t xml:space="preserve"> </w:t>
      </w:r>
      <w:r w:rsidR="000574FF">
        <w:rPr>
          <w:bCs/>
        </w:rPr>
        <w:t>°C (</w:t>
      </w:r>
      <w:r w:rsidR="0075172E">
        <w:rPr>
          <w:bCs/>
        </w:rPr>
        <w:fldChar w:fldCharType="begin"/>
      </w:r>
      <w:r w:rsidR="00E45BE4">
        <w:rPr>
          <w:bCs/>
        </w:rPr>
        <w:instrText xml:space="preserve"> REF _Ref456876537 \h </w:instrText>
      </w:r>
      <w:r w:rsidR="0075172E">
        <w:rPr>
          <w:bCs/>
        </w:rPr>
      </w:r>
      <w:r w:rsidR="0075172E">
        <w:rPr>
          <w:bCs/>
        </w:rPr>
        <w:fldChar w:fldCharType="separate"/>
      </w:r>
      <w:r w:rsidR="00E45BE4">
        <w:t xml:space="preserve">Figure </w:t>
      </w:r>
      <w:r w:rsidR="00E45BE4">
        <w:rPr>
          <w:noProof/>
        </w:rPr>
        <w:t>3</w:t>
      </w:r>
      <w:r w:rsidR="00E45BE4">
        <w:t>.</w:t>
      </w:r>
      <w:r w:rsidR="00E45BE4">
        <w:rPr>
          <w:noProof/>
        </w:rPr>
        <w:t>23</w:t>
      </w:r>
      <w:r w:rsidR="0075172E">
        <w:rPr>
          <w:bCs/>
        </w:rPr>
        <w:fldChar w:fldCharType="end"/>
      </w:r>
      <w:r w:rsidR="000574FF">
        <w:rPr>
          <w:bCs/>
        </w:rPr>
        <w:t xml:space="preserve">), which is similar to the tannic acid-BSA binding isotherms.  </w:t>
      </w:r>
    </w:p>
    <w:p w:rsidR="000574FF" w:rsidRDefault="00040F10" w:rsidP="000574FF">
      <w:pPr>
        <w:keepNext/>
        <w:spacing w:line="480" w:lineRule="auto"/>
        <w:jc w:val="center"/>
      </w:pPr>
      <w:r>
        <w:rPr>
          <w:bCs/>
          <w:noProof/>
          <w:lang w:eastAsia="en-GB"/>
        </w:rPr>
        <w:pict>
          <v:shape id="_x0000_s1168" type="#_x0000_t202" style="position:absolute;left:0;text-align:left;margin-left:170.8pt;margin-top:261.8pt;width:87.05pt;height:20.2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040A42">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Pr>
          <w:noProof/>
          <w:lang w:eastAsia="en-GB"/>
        </w:rPr>
        <w:pict>
          <v:shape id="Text Box 80" o:spid="_x0000_s1033" type="#_x0000_t202" style="position:absolute;left:0;text-align:left;margin-left:-12.6pt;margin-top:19.6pt;width:24.05pt;height:232.4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" strokecolor="white [3212]">
            <v:textbox style="layout-flow:vertical;mso-layout-flow-alt:bottom-to-top">
              <w:txbxContent>
                <w:p w:rsidR="003A5686" w:rsidRPr="00311B45" w:rsidRDefault="003A5686" w:rsidP="00800BC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sidR="00B606CB">
        <w:rPr>
          <w:noProof/>
          <w:lang w:eastAsia="en-GB"/>
        </w:rPr>
        <w:drawing>
          <wp:inline distT="0" distB="0" distL="0" distR="0" wp14:anchorId="61C637FB" wp14:editId="0C5E7805">
            <wp:extent cx="5205730" cy="3493237"/>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0574FF" w:rsidRPr="00BF5DF0" w:rsidRDefault="00EB0025" w:rsidP="00BF5DF0">
      <w:pPr>
        <w:pStyle w:val="Caption"/>
        <w:keepNext/>
        <w:spacing w:line="480" w:lineRule="auto"/>
        <w:jc w:val="center"/>
      </w:pPr>
      <w:bookmarkStart w:id="122" w:name="_Ref442878743"/>
      <w:bookmarkStart w:id="123" w:name="_Ref443582311"/>
      <w:r>
        <w:t>Figure</w:t>
      </w:r>
      <w:bookmarkEnd w:id="122"/>
      <w:r w:rsidR="00C54F08">
        <w:t xml:space="preserv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22</w:t>
      </w:r>
      <w:r w:rsidR="0075172E">
        <w:fldChar w:fldCharType="end"/>
      </w:r>
      <w:bookmarkEnd w:id="123"/>
      <w:r w:rsidR="000104A6">
        <w:t xml:space="preserve"> </w:t>
      </w:r>
      <w:r w:rsidR="000574FF">
        <w:t xml:space="preserve">: Upper: </w:t>
      </w:r>
      <w:r w:rsidR="000574FF" w:rsidRPr="003E3F8A">
        <w:t xml:space="preserve">Thermogram for the interaction of </w:t>
      </w:r>
      <w:r w:rsidR="00E143C5">
        <w:t>15</w:t>
      </w:r>
      <w:r w:rsidR="000574FF">
        <w:t xml:space="preserve"> </w:t>
      </w:r>
      <w:r w:rsidR="000574FF" w:rsidRPr="003E3F8A">
        <w:t xml:space="preserve">µM BSA with </w:t>
      </w:r>
      <w:r w:rsidR="000574FF">
        <w:t xml:space="preserve">4 </w:t>
      </w:r>
      <w:r w:rsidR="000574FF" w:rsidRPr="003E3F8A">
        <w:t>mM</w:t>
      </w:r>
      <w:r w:rsidR="000574FF">
        <w:t xml:space="preserve"> </w:t>
      </w:r>
      <w:r w:rsidR="000574FF" w:rsidRPr="00B91890">
        <w:t xml:space="preserve">proanthocyanidin </w:t>
      </w:r>
      <w:r w:rsidR="000574FF">
        <w:t>octamer in 10 mM ammonium acetate at 10</w:t>
      </w:r>
      <w:r w:rsidR="006F2757">
        <w:t xml:space="preserve"> </w:t>
      </w:r>
      <w:r w:rsidR="000574FF">
        <w:t xml:space="preserve">°C pH 4. Lower: </w:t>
      </w:r>
      <w:r w:rsidR="000574FF" w:rsidRPr="003E3F8A">
        <w:t xml:space="preserve"> ITC binding isotherm for the same interaction</w:t>
      </w:r>
      <w:r w:rsidR="000574FF">
        <w:t xml:space="preserve"> (closed circles)</w:t>
      </w:r>
      <w:r w:rsidR="000574FF" w:rsidRPr="003E3F8A">
        <w:t xml:space="preserve">.  </w:t>
      </w:r>
      <w:r w:rsidR="000574FF">
        <w:t xml:space="preserve">10 mM ammonium acetate into a solution of BSA (open circles) and </w:t>
      </w:r>
      <w:r w:rsidR="000574FF" w:rsidRPr="00B91890">
        <w:t xml:space="preserve">proanthocyanidin </w:t>
      </w:r>
      <w:r w:rsidR="000574FF">
        <w:t>octamer dilution into ammonium acetate (open squares).</w:t>
      </w:r>
      <w:r w:rsidR="004E0F1C">
        <w:t xml:space="preserve"> Solid line represents single site independent binding model. fit.</w:t>
      </w:r>
    </w:p>
    <w:p w:rsidR="000574FF" w:rsidRDefault="00040F10" w:rsidP="000574FF">
      <w:pPr>
        <w:keepNext/>
        <w:spacing w:line="480" w:lineRule="auto"/>
        <w:jc w:val="center"/>
      </w:pPr>
      <w:r>
        <w:rPr>
          <w:noProof/>
          <w:lang w:eastAsia="en-GB"/>
        </w:rPr>
        <w:lastRenderedPageBreak/>
        <w:pict>
          <v:shape id="_x0000_s1166" type="#_x0000_t202" style="position:absolute;left:0;text-align:left;margin-left:177.8pt;margin-top:261pt;width:87.05pt;height:20.25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040A42">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Pr>
          <w:noProof/>
          <w:lang w:eastAsia="en-GB"/>
        </w:rPr>
        <w:pict>
          <v:shape id="_x0000_s1167" type="#_x0000_t202" style="position:absolute;left:0;text-align:left;margin-left:169.95pt;margin-top:-6.75pt;width:87.05pt;height:20.25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040A42">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noProof/>
          <w:lang w:eastAsia="en-GB"/>
        </w:rPr>
        <w:pict>
          <v:shape id="Text Box 81" o:spid="_x0000_s1034" type="#_x0000_t202" style="position:absolute;left:0;text-align:left;margin-left:-11.15pt;margin-top:18.8pt;width:24.05pt;height:232.4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" strokecolor="white [3212]">
            <v:textbox style="layout-flow:vertical;mso-layout-flow-alt:bottom-to-top">
              <w:txbxContent>
                <w:p w:rsidR="003A5686" w:rsidRPr="00311B45" w:rsidRDefault="003A5686" w:rsidP="00800BC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sidR="00AA39DB">
        <w:rPr>
          <w:noProof/>
          <w:lang w:eastAsia="en-GB"/>
        </w:rPr>
        <w:drawing>
          <wp:inline distT="0" distB="0" distL="0" distR="0" wp14:anchorId="1F2F1782" wp14:editId="6CA598D6">
            <wp:extent cx="5205730" cy="3493237"/>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r>
        <w:rPr>
          <w:noProof/>
          <w:lang w:eastAsia="en-GB"/>
        </w:rPr>
        <w:pict>
          <v:shape id="Text Box 61" o:spid="_x0000_s1035" type="#_x0000_t202" style="position:absolute;left:0;text-align:left;margin-left:41.7pt;margin-top:138.75pt;width:12.15pt;height:24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" strokecolor="white [3212]">
            <v:textbox>
              <w:txbxContent>
                <w:p w:rsidR="003A5686" w:rsidRDefault="003A5686" w:rsidP="00C31DDF"/>
              </w:txbxContent>
            </v:textbox>
          </v:shape>
        </w:pict>
      </w:r>
    </w:p>
    <w:p w:rsidR="00FA00CC" w:rsidRPr="00FA00CC" w:rsidRDefault="000574FF" w:rsidP="00FA00CC">
      <w:pPr>
        <w:pStyle w:val="Caption"/>
        <w:keepNext/>
        <w:spacing w:line="480" w:lineRule="auto"/>
        <w:jc w:val="center"/>
      </w:pPr>
      <w:bookmarkStart w:id="124" w:name="_Ref442878772"/>
      <w:bookmarkStart w:id="125" w:name="_Ref456876537"/>
      <w:r>
        <w:t xml:space="preserve">Figure </w:t>
      </w:r>
      <w:bookmarkEnd w:id="124"/>
      <w:r w:rsidR="0075172E">
        <w:fldChar w:fldCharType="begin"/>
      </w:r>
      <w:r w:rsidR="00EB1DC7">
        <w:instrText xml:space="preserve"> STYLEREF 1 \s </w:instrText>
      </w:r>
      <w:r w:rsidR="0075172E">
        <w:fldChar w:fldCharType="separate"/>
      </w:r>
      <w:r w:rsidR="00CB4EDC">
        <w:rPr>
          <w:noProof/>
        </w:rPr>
        <w:t>3</w:t>
      </w:r>
      <w:r w:rsidR="0075172E">
        <w:fldChar w:fldCharType="end"/>
      </w:r>
      <w:r w:rsidR="00EB1DC7">
        <w:t>.</w:t>
      </w:r>
      <w:r w:rsidR="0075172E">
        <w:fldChar w:fldCharType="begin"/>
      </w:r>
      <w:r w:rsidR="008628F5">
        <w:instrText xml:space="preserve"> SEQ Figure \* ARABIC \s 1 </w:instrText>
      </w:r>
      <w:r w:rsidR="0075172E">
        <w:fldChar w:fldCharType="separate"/>
      </w:r>
      <w:r w:rsidR="00CB4EDC">
        <w:rPr>
          <w:noProof/>
        </w:rPr>
        <w:t>23</w:t>
      </w:r>
      <w:r w:rsidR="0075172E">
        <w:fldChar w:fldCharType="end"/>
      </w:r>
      <w:bookmarkEnd w:id="125"/>
      <w:r>
        <w:t xml:space="preserve">: Upper: </w:t>
      </w:r>
      <w:r w:rsidRPr="003E3F8A">
        <w:t xml:space="preserve">Thermogram for the interaction of </w:t>
      </w:r>
      <w:r>
        <w:t xml:space="preserve">30 </w:t>
      </w:r>
      <w:r w:rsidRPr="003E3F8A">
        <w:t xml:space="preserve">µM BSA with </w:t>
      </w:r>
      <w:r>
        <w:t xml:space="preserve">4 </w:t>
      </w:r>
      <w:r w:rsidRPr="003E3F8A">
        <w:t>mM</w:t>
      </w:r>
      <w:r>
        <w:t xml:space="preserve"> </w:t>
      </w:r>
      <w:r w:rsidRPr="00B91890">
        <w:t xml:space="preserve">proanthocyanidin </w:t>
      </w:r>
      <w:r>
        <w:t>octamer in 10 mM ammonium acetate at 25</w:t>
      </w:r>
      <w:r w:rsidR="006F2757">
        <w:t xml:space="preserve"> </w:t>
      </w:r>
      <w:r>
        <w:t xml:space="preserve">°C pH 4. Lower: </w:t>
      </w:r>
      <w:r w:rsidRPr="003E3F8A">
        <w:t xml:space="preserve"> ITC binding isotherm for the same interaction</w:t>
      </w:r>
      <w:r>
        <w:t xml:space="preserve"> (closed circles)</w:t>
      </w:r>
      <w:r w:rsidRPr="003E3F8A">
        <w:t xml:space="preserve">.  </w:t>
      </w:r>
      <w:r>
        <w:t xml:space="preserve">10 mM ammonium acetate into a solution of BSA (open circles) and </w:t>
      </w:r>
      <w:r w:rsidRPr="00B91890">
        <w:t xml:space="preserve">proanthocyanidin </w:t>
      </w:r>
      <w:r>
        <w:t>octamer dilution into ammonium acetate (open squares).</w:t>
      </w:r>
      <w:r w:rsidR="004E0F1C">
        <w:t xml:space="preserve"> Solid line represents single site independent binding model fit.</w:t>
      </w:r>
    </w:p>
    <w:p w:rsidR="000574FF" w:rsidRPr="00B300B3" w:rsidRDefault="000574FF" w:rsidP="000574FF">
      <w:pPr>
        <w:spacing w:line="480" w:lineRule="auto"/>
        <w:jc w:val="both"/>
        <w:rPr>
          <w:bCs/>
        </w:rPr>
      </w:pPr>
      <w:r>
        <w:rPr>
          <w:bCs/>
        </w:rPr>
        <w:t xml:space="preserve">The BSA </w:t>
      </w:r>
      <w:r w:rsidR="005A06A3">
        <w:rPr>
          <w:bCs/>
        </w:rPr>
        <w:t xml:space="preserve">titrated against octomeric </w:t>
      </w:r>
      <w:r w:rsidR="005A06A3" w:rsidRPr="0095254C">
        <w:rPr>
          <w:bCs/>
        </w:rPr>
        <w:t>proanthocyanidin</w:t>
      </w:r>
      <w:r w:rsidR="005A06A3">
        <w:rPr>
          <w:bCs/>
        </w:rPr>
        <w:t xml:space="preserve"> contains </w:t>
      </w:r>
      <w:r>
        <w:rPr>
          <w:bCs/>
        </w:rPr>
        <w:t>fatty acid</w:t>
      </w:r>
      <w:r w:rsidR="005A06A3">
        <w:rPr>
          <w:bCs/>
        </w:rPr>
        <w:t xml:space="preserve">s. This means it is much more stable than the BSA used in the BSA-tannic acid study. Consequently, the effect of higher temperatures </w:t>
      </w:r>
      <w:r w:rsidR="00C766A3">
        <w:rPr>
          <w:bCs/>
        </w:rPr>
        <w:t xml:space="preserve">on binding </w:t>
      </w:r>
      <w:r w:rsidR="005A06A3">
        <w:rPr>
          <w:bCs/>
        </w:rPr>
        <w:t>can now be studied.</w:t>
      </w:r>
      <w:r>
        <w:rPr>
          <w:bCs/>
        </w:rPr>
        <w:t xml:space="preserve"> This allowed an investigation into proanthocyanidin-BSA binding thermodynamics at 35</w:t>
      </w:r>
      <w:r w:rsidR="006F2757">
        <w:rPr>
          <w:bCs/>
        </w:rPr>
        <w:t xml:space="preserve"> </w:t>
      </w:r>
      <w:r>
        <w:rPr>
          <w:bCs/>
        </w:rPr>
        <w:t>°C</w:t>
      </w:r>
      <w:r w:rsidR="00226D90">
        <w:rPr>
          <w:bCs/>
        </w:rPr>
        <w:t xml:space="preserve"> (</w:t>
      </w:r>
      <w:r w:rsidR="0075172E">
        <w:rPr>
          <w:bCs/>
        </w:rPr>
        <w:fldChar w:fldCharType="begin"/>
      </w:r>
      <w:r w:rsidR="00E45BE4">
        <w:rPr>
          <w:bCs/>
        </w:rPr>
        <w:instrText xml:space="preserve"> REF _Ref456876896 \h </w:instrText>
      </w:r>
      <w:r w:rsidR="0075172E">
        <w:rPr>
          <w:bCs/>
        </w:rPr>
      </w:r>
      <w:r w:rsidR="0075172E">
        <w:rPr>
          <w:bCs/>
        </w:rPr>
        <w:fldChar w:fldCharType="separate"/>
      </w:r>
      <w:r w:rsidR="00E45BE4">
        <w:t xml:space="preserve">Figure </w:t>
      </w:r>
      <w:r w:rsidR="00E45BE4">
        <w:rPr>
          <w:noProof/>
        </w:rPr>
        <w:t>3</w:t>
      </w:r>
      <w:r w:rsidR="00E45BE4">
        <w:t>.</w:t>
      </w:r>
      <w:r w:rsidR="00E45BE4">
        <w:rPr>
          <w:noProof/>
        </w:rPr>
        <w:t>24</w:t>
      </w:r>
      <w:r w:rsidR="0075172E">
        <w:rPr>
          <w:bCs/>
        </w:rPr>
        <w:fldChar w:fldCharType="end"/>
      </w:r>
      <w:r w:rsidR="00226D90">
        <w:t>)</w:t>
      </w:r>
      <w:r>
        <w:rPr>
          <w:bCs/>
        </w:rPr>
        <w:t>.</w:t>
      </w:r>
      <w:r w:rsidRPr="00B300B3">
        <w:rPr>
          <w:bCs/>
        </w:rPr>
        <w:t xml:space="preserve"> </w:t>
      </w:r>
      <w:r>
        <w:rPr>
          <w:bCs/>
        </w:rPr>
        <w:t>Before the main binding event, at molar ratios below six, there is an increase in endothermicity with increasing temperature which is similar to the tannic acid – BSA interactions. This provides evidence for a mechanism where tannins crosslink proteins via primarily hydro</w:t>
      </w:r>
      <w:r w:rsidR="001A3C37">
        <w:rPr>
          <w:bCs/>
        </w:rPr>
        <w:t xml:space="preserve">gen bonding at low molar ratios as suggested by McRae </w:t>
      </w:r>
      <w:r w:rsidR="001A3C37" w:rsidRPr="002D4FF8">
        <w:rPr>
          <w:bCs/>
          <w:i/>
        </w:rPr>
        <w:t>et al</w:t>
      </w:r>
      <w:r w:rsidR="001A3C37">
        <w:rPr>
          <w:bCs/>
        </w:rPr>
        <w:t>.</w:t>
      </w:r>
      <w:hyperlink w:anchor="_ENREF_220" w:tooltip="McRae, 2010 #408" w:history="1">
        <w:r w:rsidR="00512D09">
          <w:rPr>
            <w:bCs/>
          </w:rPr>
          <w:fldChar w:fldCharType="begin"/>
        </w:r>
        <w:r w:rsidR="00512D09">
          <w:rPr>
            <w:bCs/>
          </w:rPr>
          <w:instrText xml:space="preserve"> ADDIN EN.CITE &lt;EndNote&gt;&lt;Cite&gt;&lt;Author&gt;McRae&lt;/Author&gt;&lt;Year&gt;2010&lt;/Year&gt;&lt;RecNum&gt;408&lt;/RecNum&gt;&lt;DisplayText&gt;&lt;style face="superscript"&gt;220&lt;/style&gt;&lt;/DisplayText&gt;&lt;record&gt;&lt;rec-number&gt;408&lt;/rec-number&gt;&lt;foreign-keys&gt;&lt;key app="EN" db-id="5trrespwzsdr07efd5tx2w96x22re9s0fsdt"&gt;408&lt;/key&gt;&lt;/foreign-keys&gt;&lt;ref-type name="Journal Article"&gt;17&lt;/ref-type&gt;&lt;contributors&gt;&lt;authors&gt;&lt;author&gt;McRae, Jacqui M.&lt;/author&gt;&lt;author&gt;Falconer, Robert J.&lt;/author&gt;&lt;author&gt;Kennedy, James A.&lt;/author&gt;&lt;/authors&gt;&lt;/contributors&gt;&lt;titles&gt;&lt;title&gt;Thermodynamics of Grape and Wine Tannin Interaction with Polyproline: Implications for Red Wine Astringency&lt;/title&gt;&lt;secondary-title&gt;Journal of Agricultural and Food Chemistry&lt;/secondary-title&gt;&lt;/titles&gt;&lt;periodical&gt;&lt;full-title&gt;Journal of Agricultural and Food Chemistry&lt;/full-title&gt;&lt;/periodical&gt;&lt;pages&gt;12510-12518&lt;/pages&gt;&lt;volume&gt;58&lt;/volume&gt;&lt;number&gt;23&lt;/number&gt;&lt;dates&gt;&lt;year&gt;2010&lt;/year&gt;&lt;pub-dates&gt;&lt;date&gt;2010/12/08&lt;/date&gt;&lt;/pub-dates&gt;&lt;/dates&gt;&lt;publisher&gt;American Chemical Society&lt;/publisher&gt;&lt;isbn&gt;0021-8561&lt;/isbn&gt;&lt;urls&gt;&lt;related-urls&gt;&lt;url&gt;http://dx.doi.org/10.1021/jf1030967&lt;/url&gt;&lt;/related-urls&gt;&lt;/urls&gt;&lt;electronic-resource-num&gt;10.1021/jf1030967&lt;/electronic-resource-num&gt;&lt;access-date&gt;2014/09/22&lt;/access-date&gt;&lt;/record&gt;&lt;/Cite&gt;&lt;/EndNote&gt;</w:instrText>
        </w:r>
        <w:r w:rsidR="00512D09">
          <w:rPr>
            <w:bCs/>
          </w:rPr>
          <w:fldChar w:fldCharType="separate"/>
        </w:r>
        <w:r w:rsidR="00512D09" w:rsidRPr="006421D1">
          <w:rPr>
            <w:bCs/>
            <w:noProof/>
            <w:vertAlign w:val="superscript"/>
          </w:rPr>
          <w:t>220</w:t>
        </w:r>
        <w:r w:rsidR="00512D09">
          <w:rPr>
            <w:bCs/>
          </w:rPr>
          <w:fldChar w:fldCharType="end"/>
        </w:r>
      </w:hyperlink>
      <w:r w:rsidR="001A3C37">
        <w:rPr>
          <w:bCs/>
        </w:rPr>
        <w:t xml:space="preserve"> </w:t>
      </w:r>
      <w:r>
        <w:rPr>
          <w:bCs/>
        </w:rPr>
        <w:t xml:space="preserve">At higher molar ratios, above 10 in the case of the octomeric </w:t>
      </w:r>
      <w:r>
        <w:t>proanthocyanidin</w:t>
      </w:r>
      <w:r>
        <w:rPr>
          <w:bCs/>
        </w:rPr>
        <w:t>-BSA interaction at 25</w:t>
      </w:r>
      <w:r w:rsidR="006F2757">
        <w:rPr>
          <w:bCs/>
        </w:rPr>
        <w:t xml:space="preserve"> </w:t>
      </w:r>
      <w:r>
        <w:rPr>
          <w:bCs/>
        </w:rPr>
        <w:t xml:space="preserve">°C, the empty regions on BSA become fully saturated and networked by the octamer. This is then followed by a steady yet negative change in </w:t>
      </w:r>
      <w:r w:rsidR="00B4195C" w:rsidRPr="001D171F">
        <w:rPr>
          <w:rFonts w:eastAsiaTheme="minorEastAsia"/>
        </w:rPr>
        <w:t>Δ</w:t>
      </w:r>
      <w:r w:rsidR="00B4195C">
        <w:rPr>
          <w:rFonts w:eastAsiaTheme="minorEastAsia"/>
          <w:i/>
        </w:rPr>
        <w:t xml:space="preserve">H. </w:t>
      </w:r>
    </w:p>
    <w:p w:rsidR="000574FF" w:rsidRDefault="00040F10" w:rsidP="002D3EFD">
      <w:pPr>
        <w:spacing w:line="480" w:lineRule="auto"/>
        <w:jc w:val="both"/>
        <w:rPr>
          <w:bCs/>
        </w:rPr>
      </w:pPr>
      <w:r>
        <w:rPr>
          <w:bCs/>
          <w:noProof/>
          <w:lang w:eastAsia="en-GB"/>
        </w:rPr>
        <w:lastRenderedPageBreak/>
        <w:pict>
          <v:shape id="_x0000_s1197" type="#_x0000_t202" style="position:absolute;left:0;text-align:left;margin-left:166.7pt;margin-top:220.1pt;width:87.05pt;height:19.7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6D046F">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0574FF">
        <w:rPr>
          <w:bCs/>
        </w:rPr>
        <w:t>Performing the titration at 35 °C increases the exothermicity of the interactions found after for the second curve in comparison to the titration performed at 25 °C (</w:t>
      </w:r>
      <w:r w:rsidR="00BA5207">
        <w:rPr>
          <w:bCs/>
        </w:rPr>
        <w:t xml:space="preserve">Figure </w:t>
      </w:r>
      <w:r w:rsidR="00BF5DF0">
        <w:t>3.23</w:t>
      </w:r>
      <w:r w:rsidR="000574FF">
        <w:rPr>
          <w:bCs/>
        </w:rPr>
        <w:t xml:space="preserve">). This suggests this saturation event is driven by hydrophobic interaction. Following the second curve is a steady yet negative change in </w:t>
      </w:r>
      <w:r w:rsidR="00B4195C" w:rsidRPr="001D171F">
        <w:rPr>
          <w:rFonts w:eastAsiaTheme="minorEastAsia"/>
        </w:rPr>
        <w:t>Δ</w:t>
      </w:r>
      <w:r w:rsidR="00B4195C">
        <w:rPr>
          <w:rFonts w:eastAsiaTheme="minorEastAsia"/>
          <w:i/>
        </w:rPr>
        <w:t>H</w:t>
      </w:r>
      <w:r w:rsidR="00B4195C">
        <w:rPr>
          <w:bCs/>
        </w:rPr>
        <w:t xml:space="preserve"> </w:t>
      </w:r>
      <w:r w:rsidR="000574FF">
        <w:rPr>
          <w:bCs/>
        </w:rPr>
        <w:t>most likely caused by proanthocyanidins interacting with the proanthocyanidin coated BSA</w:t>
      </w:r>
      <w:r w:rsidR="001A3C37">
        <w:rPr>
          <w:bCs/>
        </w:rPr>
        <w:t>.</w:t>
      </w:r>
      <w:hyperlink w:anchor="_ENREF_232" w:tooltip="Jöbstl, 2004 #710" w:history="1">
        <w:r w:rsidR="00512D09">
          <w:rPr>
            <w:bCs/>
          </w:rPr>
          <w:fldChar w:fldCharType="begin"/>
        </w:r>
        <w:r w:rsidR="00512D09">
          <w:rPr>
            <w:bCs/>
          </w:rPr>
          <w:instrText xml:space="preserve"> ADDIN EN.CITE &lt;EndNote&gt;&lt;Cite&gt;&lt;Author&gt;Jöbstl&lt;/Author&gt;&lt;Year&gt;2004&lt;/Year&gt;&lt;RecNum&gt;710&lt;/RecNum&gt;&lt;DisplayText&gt;&lt;style face="superscript"&gt;232&lt;/style&gt;&lt;/DisplayText&gt;&lt;record&gt;&lt;rec-number&gt;710&lt;/rec-number&gt;&lt;foreign-keys&gt;&lt;key app="EN" db-id="5trrespwzsdr07efd5tx2w96x22re9s0fsdt"&gt;710&lt;/key&gt;&lt;/foreign-keys&gt;&lt;ref-type name="Journal Article"&gt;17&lt;/ref-type&gt;&lt;contributors&gt;&lt;authors&gt;&lt;author&gt;Jöbstl, Elisabeth&lt;/author&gt;&lt;author&gt;O&amp;apos;Connell, John&lt;/author&gt;&lt;author&gt;Fairclough, J. Patrick A.&lt;/author&gt;&lt;author&gt;Williamson, Mike P.&lt;/author&gt;&lt;/authors&gt;&lt;/contributors&gt;&lt;titles&gt;&lt;title&gt;Molecular Model for Astringency Produced by Polyphenol/Protein Interactions&lt;/title&gt;&lt;secondary-title&gt;Biomacromolecules&lt;/secondary-title&gt;&lt;/titles&gt;&lt;periodical&gt;&lt;full-title&gt;Biomacromolecules&lt;/full-title&gt;&lt;/periodical&gt;&lt;pages&gt;942-949&lt;/pages&gt;&lt;volume&gt;5&lt;/volume&gt;&lt;number&gt;3&lt;/number&gt;&lt;dates&gt;&lt;year&gt;2004&lt;/year&gt;&lt;pub-dates&gt;&lt;date&gt;2004/05/01&lt;/date&gt;&lt;/pub-dates&gt;&lt;/dates&gt;&lt;publisher&gt;American Chemical Society&lt;/publisher&gt;&lt;isbn&gt;1525-7797&lt;/isbn&gt;&lt;urls&gt;&lt;related-urls&gt;&lt;url&gt;http://dx.doi.org/10.1021/bm0345110&lt;/url&gt;&lt;/related-urls&gt;&lt;/urls&gt;&lt;electronic-resource-num&gt;10.1021/bm0345110&lt;/electronic-resource-num&gt;&lt;/record&gt;&lt;/Cite&gt;&lt;/EndNote&gt;</w:instrText>
        </w:r>
        <w:r w:rsidR="00512D09">
          <w:rPr>
            <w:bCs/>
          </w:rPr>
          <w:fldChar w:fldCharType="separate"/>
        </w:r>
        <w:r w:rsidR="00512D09" w:rsidRPr="006421D1">
          <w:rPr>
            <w:bCs/>
            <w:noProof/>
            <w:vertAlign w:val="superscript"/>
          </w:rPr>
          <w:t>232</w:t>
        </w:r>
        <w:r w:rsidR="00512D09">
          <w:rPr>
            <w:bCs/>
          </w:rPr>
          <w:fldChar w:fldCharType="end"/>
        </w:r>
      </w:hyperlink>
      <w:r w:rsidR="000574FF">
        <w:rPr>
          <w:bCs/>
        </w:rPr>
        <w:t xml:space="preserve"> The negative </w:t>
      </w:r>
      <w:r w:rsidR="000574FF" w:rsidRPr="00D54F9B">
        <w:rPr>
          <w:bCs/>
        </w:rPr>
        <w:t>Δ</w:t>
      </w:r>
      <w:r w:rsidR="000574FF" w:rsidRPr="00FC1F8B">
        <w:rPr>
          <w:bCs/>
          <w:i/>
        </w:rPr>
        <w:t>C</w:t>
      </w:r>
      <w:r w:rsidR="000574FF" w:rsidRPr="00FC1F8B">
        <w:rPr>
          <w:bCs/>
          <w:i/>
          <w:vertAlign w:val="subscript"/>
        </w:rPr>
        <w:t>p</w:t>
      </w:r>
      <w:r w:rsidR="000574FF">
        <w:rPr>
          <w:bCs/>
        </w:rPr>
        <w:t xml:space="preserve"> suggests hydrophobic interaction is the driving force. This is not to say that hydrogen bonding does not play a role. It just means that hydrophobic interaction forms a much larger contribution to the binding thermodynamics. </w:t>
      </w:r>
    </w:p>
    <w:p w:rsidR="000574FF" w:rsidRDefault="00040F10" w:rsidP="00137051">
      <w:pPr>
        <w:keepNext/>
        <w:spacing w:line="480" w:lineRule="auto"/>
        <w:jc w:val="center"/>
      </w:pPr>
      <w:r>
        <w:rPr>
          <w:bCs/>
          <w:noProof/>
          <w:lang w:eastAsia="en-GB"/>
        </w:rPr>
        <w:pict>
          <v:shape id="_x0000_s1196" type="#_x0000_t202" style="position:absolute;left:0;text-align:left;margin-left:174.2pt;margin-top:262.2pt;width:87.05pt;height:25.1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6D046F">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noProof/>
          <w:lang w:eastAsia="en-GB"/>
        </w:rPr>
        <w:pict>
          <v:shape id="Text Box 82" o:spid="_x0000_s1036" type="#_x0000_t202" style="position:absolute;left:0;text-align:left;margin-left:-10.5pt;margin-top:21.25pt;width:24.05pt;height:232.4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layout-flow:vertical;mso-layout-flow-alt:bottom-to-top">
              <w:txbxContent>
                <w:p w:rsidR="003A5686" w:rsidRPr="00311B45" w:rsidRDefault="003A5686" w:rsidP="00800BC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Pr>
          <w:bCs/>
          <w:noProof/>
          <w:lang w:eastAsia="en-GB"/>
        </w:rPr>
        <w:pict>
          <v:shape id="Text Box 63" o:spid="_x0000_s1037" type="#_x0000_t202" style="position:absolute;left:0;text-align:left;margin-left:41.85pt;margin-top:147.9pt;width:12.15pt;height:24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" strokecolor="white [3212]">
            <v:textbox>
              <w:txbxContent>
                <w:p w:rsidR="003A5686" w:rsidRDefault="003A5686" w:rsidP="00C31DDF"/>
              </w:txbxContent>
            </v:textbox>
          </v:shape>
        </w:pict>
      </w:r>
      <w:r w:rsidR="00F93632">
        <w:rPr>
          <w:noProof/>
          <w:lang w:eastAsia="en-GB"/>
        </w:rPr>
        <w:drawing>
          <wp:inline distT="0" distB="0" distL="0" distR="0" wp14:anchorId="27E535F1" wp14:editId="1F531D1E">
            <wp:extent cx="5205730" cy="3493237"/>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0574FF" w:rsidRDefault="000574FF" w:rsidP="000104A6">
      <w:pPr>
        <w:pStyle w:val="Caption"/>
        <w:keepNext/>
        <w:spacing w:line="480" w:lineRule="auto"/>
        <w:jc w:val="center"/>
      </w:pPr>
      <w:bookmarkStart w:id="126" w:name="_Ref456876896"/>
      <w:r>
        <w:t xml:space="preserve">Figure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24</w:t>
      </w:r>
      <w:r w:rsidR="0075172E">
        <w:fldChar w:fldCharType="end"/>
      </w:r>
      <w:bookmarkEnd w:id="126"/>
      <w:r>
        <w:t xml:space="preserve">: Upper: </w:t>
      </w:r>
      <w:r w:rsidRPr="003E3F8A">
        <w:t xml:space="preserve">Thermogram for the interaction of </w:t>
      </w:r>
      <w:r>
        <w:t xml:space="preserve">30 </w:t>
      </w:r>
      <w:r w:rsidRPr="003E3F8A">
        <w:t xml:space="preserve">µM BSA with </w:t>
      </w:r>
      <w:r>
        <w:t xml:space="preserve">4 </w:t>
      </w:r>
      <w:r w:rsidRPr="003E3F8A">
        <w:t>mM</w:t>
      </w:r>
      <w:r>
        <w:t xml:space="preserve"> </w:t>
      </w:r>
      <w:r w:rsidRPr="00B91890">
        <w:t xml:space="preserve">proanthocyanidin </w:t>
      </w:r>
      <w:r>
        <w:t>octamer</w:t>
      </w:r>
      <w:r w:rsidR="00BA5207">
        <w:t xml:space="preserve"> in 10 mM ammonium acetate at 35</w:t>
      </w:r>
      <w:r w:rsidR="006F2757">
        <w:t xml:space="preserve"> </w:t>
      </w:r>
      <w:r>
        <w:t xml:space="preserve">°C pH 4. Lower: </w:t>
      </w:r>
      <w:r w:rsidRPr="003E3F8A">
        <w:t xml:space="preserve"> ITC binding isotherm for the same interaction</w:t>
      </w:r>
      <w:r>
        <w:t xml:space="preserve"> (closed circles)</w:t>
      </w:r>
      <w:r w:rsidRPr="003E3F8A">
        <w:t xml:space="preserve">.  </w:t>
      </w:r>
      <w:r>
        <w:t xml:space="preserve">10 mM ammonium acetate into a solution of BSA (open circles) and </w:t>
      </w:r>
      <w:r w:rsidRPr="00B91890">
        <w:t xml:space="preserve">proanthocyanidin </w:t>
      </w:r>
      <w:r>
        <w:t>octamer dilution into ammonium acetate (open squares).</w:t>
      </w:r>
      <w:r w:rsidR="004E0F1C">
        <w:t xml:space="preserve"> Solid line represents single site independent binding model fit.</w:t>
      </w:r>
    </w:p>
    <w:p w:rsidR="000574FF" w:rsidRPr="00BC3983" w:rsidRDefault="002300F8" w:rsidP="002300F8">
      <w:pPr>
        <w:spacing w:line="480" w:lineRule="auto"/>
      </w:pPr>
      <w:r>
        <w:t xml:space="preserve">Thermodynamic values have been calculated using the NanoAnalyse software. </w:t>
      </w:r>
      <w:r w:rsidR="004E729E">
        <w:t xml:space="preserve">All of the </w:t>
      </w:r>
      <w:r>
        <w:t xml:space="preserve">values calculated for the interaction at 10°C are erroneous and should not be used definitively.  The </w:t>
      </w:r>
      <w:r w:rsidR="00B4195C" w:rsidRPr="001D171F">
        <w:rPr>
          <w:rFonts w:eastAsiaTheme="minorEastAsia"/>
        </w:rPr>
        <w:t>Δ</w:t>
      </w:r>
      <w:r w:rsidR="00B4195C">
        <w:rPr>
          <w:rFonts w:eastAsiaTheme="minorEastAsia"/>
          <w:i/>
        </w:rPr>
        <w:t xml:space="preserve">H </w:t>
      </w:r>
      <w:r w:rsidR="00B4195C">
        <w:t xml:space="preserve"> </w:t>
      </w:r>
      <w:r>
        <w:t xml:space="preserve">values for the interactions at higher temperatures should also be used </w:t>
      </w:r>
      <w:r>
        <w:lastRenderedPageBreak/>
        <w:t>with caution,</w:t>
      </w:r>
      <w:r w:rsidR="00F93632">
        <w:t xml:space="preserve"> as temperature clearly effects </w:t>
      </w:r>
      <w:r>
        <w:t xml:space="preserve"> </w:t>
      </w:r>
      <w:r w:rsidR="00F93632">
        <w:t xml:space="preserve">the two stages of the reaction in different ways and as such a summation of two opposing </w:t>
      </w:r>
      <w:r w:rsidR="00B4195C" w:rsidRPr="001D171F">
        <w:rPr>
          <w:rFonts w:eastAsiaTheme="minorEastAsia"/>
        </w:rPr>
        <w:t>Δ</w:t>
      </w:r>
      <w:r w:rsidR="00B4195C">
        <w:rPr>
          <w:rFonts w:eastAsiaTheme="minorEastAsia"/>
          <w:i/>
        </w:rPr>
        <w:t>H</w:t>
      </w:r>
      <w:r w:rsidR="00F93632">
        <w:t xml:space="preserve">, it is advised to instead look at </w:t>
      </w:r>
      <w:r w:rsidR="0075172E">
        <w:fldChar w:fldCharType="begin"/>
      </w:r>
      <w:r w:rsidR="00FA00CC">
        <w:instrText xml:space="preserve"> REF _Ref456347848 \h </w:instrText>
      </w:r>
      <w:r w:rsidR="0075172E">
        <w:fldChar w:fldCharType="separate"/>
      </w:r>
      <w:r w:rsidR="00CB4EDC">
        <w:t xml:space="preserve">Figure </w:t>
      </w:r>
      <w:r w:rsidR="00CB4EDC">
        <w:rPr>
          <w:noProof/>
        </w:rPr>
        <w:t>3</w:t>
      </w:r>
      <w:r w:rsidR="00CB4EDC">
        <w:t>.</w:t>
      </w:r>
      <w:r w:rsidR="00CB4EDC">
        <w:rPr>
          <w:noProof/>
        </w:rPr>
        <w:t>25</w:t>
      </w:r>
      <w:r w:rsidR="0075172E">
        <w:fldChar w:fldCharType="end"/>
      </w:r>
      <w:r w:rsidR="00FA00CC">
        <w:t xml:space="preserve"> to </w:t>
      </w:r>
      <w:r w:rsidR="00F93632">
        <w:t xml:space="preserve">see how temperature affects the binding interactions. </w:t>
      </w:r>
      <w:r w:rsidR="00FA00CC">
        <w:t xml:space="preserve"> </w:t>
      </w:r>
    </w:p>
    <w:p w:rsidR="000574FF" w:rsidRDefault="00040F10" w:rsidP="000574FF">
      <w:pPr>
        <w:keepNext/>
        <w:spacing w:line="480" w:lineRule="auto"/>
        <w:jc w:val="center"/>
      </w:pPr>
      <w:r>
        <w:rPr>
          <w:bCs/>
          <w:noProof/>
          <w:lang w:eastAsia="en-GB"/>
        </w:rPr>
        <w:pict>
          <v:shape id="_x0000_s1088" type="#_x0000_t202" style="position:absolute;left:0;text-align:left;margin-left:180.8pt;margin-top:261.9pt;width:87.05pt;height:25.1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noProof/>
          <w:lang w:eastAsia="en-GB"/>
        </w:rPr>
        <w:pict>
          <v:shape id="_x0000_s1079" type="#_x0000_t202" style="position:absolute;left:0;text-align:left;margin-left:-4.35pt;margin-top:66.85pt;width:24.05pt;height:116.9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layout-flow:vertical;mso-layout-flow-alt:bottom-to-top">
              <w:txbxContent>
                <w:p w:rsidR="003A5686" w:rsidRPr="00311B45" w:rsidRDefault="003A5686" w:rsidP="00311B4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w:t>
                  </w:r>
                </w:p>
              </w:txbxContent>
            </v:textbox>
          </v:shape>
        </w:pict>
      </w:r>
      <w:r w:rsidR="00EA455F">
        <w:rPr>
          <w:noProof/>
          <w:lang w:eastAsia="en-GB"/>
        </w:rPr>
        <w:drawing>
          <wp:inline distT="0" distB="0" distL="0" distR="0" wp14:anchorId="5290D513" wp14:editId="194B1731">
            <wp:extent cx="5205730" cy="3515079"/>
            <wp:effectExtent l="19050" t="0" r="0" b="0"/>
            <wp:docPr id="7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srcRect/>
                    <a:stretch>
                      <a:fillRect/>
                    </a:stretch>
                  </pic:blipFill>
                  <pic:spPr bwMode="auto">
                    <a:xfrm>
                      <a:off x="0" y="0"/>
                      <a:ext cx="5205730" cy="3515079"/>
                    </a:xfrm>
                    <a:prstGeom prst="rect">
                      <a:avLst/>
                    </a:prstGeom>
                    <a:noFill/>
                    <a:ln w="9525">
                      <a:noFill/>
                      <a:miter lim="800000"/>
                      <a:headEnd/>
                      <a:tailEnd/>
                    </a:ln>
                  </pic:spPr>
                </pic:pic>
              </a:graphicData>
            </a:graphic>
          </wp:inline>
        </w:drawing>
      </w:r>
    </w:p>
    <w:p w:rsidR="000574FF" w:rsidRDefault="000574FF" w:rsidP="000104A6">
      <w:pPr>
        <w:pStyle w:val="Caption"/>
        <w:keepNext/>
        <w:spacing w:line="480" w:lineRule="auto"/>
        <w:jc w:val="center"/>
      </w:pPr>
      <w:bookmarkStart w:id="127" w:name="_Ref442879010"/>
      <w:bookmarkStart w:id="128" w:name="_Ref456347848"/>
      <w:r>
        <w:t>Figure</w:t>
      </w:r>
      <w:bookmarkEnd w:id="127"/>
      <w:r w:rsidR="000104A6">
        <w:t xml:space="preserv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25</w:t>
      </w:r>
      <w:r w:rsidR="0075172E">
        <w:fldChar w:fldCharType="end"/>
      </w:r>
      <w:bookmarkEnd w:id="128"/>
      <w:r>
        <w:t xml:space="preserve">: </w:t>
      </w:r>
      <w:r w:rsidRPr="003E3F8A">
        <w:t>ITC binding isotherm</w:t>
      </w:r>
      <w:r>
        <w:t>s</w:t>
      </w:r>
      <w:r w:rsidRPr="003E3F8A">
        <w:t xml:space="preserve"> for </w:t>
      </w:r>
      <w:r>
        <w:t xml:space="preserve">the </w:t>
      </w:r>
      <w:r w:rsidRPr="003E3F8A">
        <w:t xml:space="preserve">interaction of </w:t>
      </w:r>
      <w:r>
        <w:t xml:space="preserve">30 </w:t>
      </w:r>
      <w:r w:rsidRPr="003E3F8A">
        <w:t xml:space="preserve">µM BSA with </w:t>
      </w:r>
      <w:r>
        <w:t xml:space="preserve">4 </w:t>
      </w:r>
      <w:r w:rsidRPr="003E3F8A">
        <w:t>mM</w:t>
      </w:r>
      <w:r>
        <w:t xml:space="preserve"> </w:t>
      </w:r>
      <w:r w:rsidRPr="00B91890">
        <w:t xml:space="preserve">proanthocyanidin </w:t>
      </w:r>
      <w:r>
        <w:t xml:space="preserve">octamer in 10 mM ammonium acetate at pH 4 (open squares) 25°C and (closed circles) 35°C. </w:t>
      </w:r>
      <w:r w:rsidRPr="003E3F8A">
        <w:t xml:space="preserve">  </w:t>
      </w:r>
    </w:p>
    <w:p w:rsidR="004E729E" w:rsidRDefault="004E729E" w:rsidP="004E729E"/>
    <w:p w:rsidR="004E729E" w:rsidRDefault="004E729E" w:rsidP="004E729E"/>
    <w:p w:rsidR="004E729E" w:rsidRDefault="004E729E" w:rsidP="004E729E"/>
    <w:p w:rsidR="004E729E" w:rsidRDefault="004E729E" w:rsidP="004E729E"/>
    <w:p w:rsidR="004E729E" w:rsidRDefault="004E729E" w:rsidP="004E729E"/>
    <w:p w:rsidR="004E729E" w:rsidRDefault="004E729E" w:rsidP="004E729E"/>
    <w:p w:rsidR="004E729E" w:rsidRDefault="004E729E" w:rsidP="004E729E"/>
    <w:p w:rsidR="004E729E" w:rsidRDefault="004E729E" w:rsidP="004E729E"/>
    <w:p w:rsidR="004E729E" w:rsidRPr="004E729E" w:rsidRDefault="004E729E" w:rsidP="004E729E"/>
    <w:p w:rsidR="005079BA" w:rsidRDefault="005079BA" w:rsidP="005079BA">
      <w:pPr>
        <w:pStyle w:val="Caption"/>
        <w:keepNext/>
        <w:spacing w:line="480" w:lineRule="auto"/>
        <w:jc w:val="center"/>
      </w:pPr>
      <w:r>
        <w:lastRenderedPageBreak/>
        <w:t xml:space="preserve">Table </w:t>
      </w:r>
      <w:r w:rsidR="0075172E">
        <w:fldChar w:fldCharType="begin"/>
      </w:r>
      <w:r w:rsidR="00AC2227">
        <w:instrText xml:space="preserve"> STYLEREF 1 \s </w:instrText>
      </w:r>
      <w:r w:rsidR="0075172E">
        <w:fldChar w:fldCharType="separate"/>
      </w:r>
      <w:r w:rsidR="00E71593">
        <w:rPr>
          <w:noProof/>
        </w:rPr>
        <w:t>3</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5</w:t>
      </w:r>
      <w:r w:rsidR="0075172E">
        <w:fldChar w:fldCharType="end"/>
      </w:r>
      <w:r>
        <w:t xml:space="preserve">: </w:t>
      </w:r>
      <w:r w:rsidRPr="008E5634">
        <w:t>The temperature, enthalpy Δ</w:t>
      </w:r>
      <w:r w:rsidRPr="008E5634">
        <w:rPr>
          <w:i/>
          <w:iCs/>
        </w:rPr>
        <w:t>H</w:t>
      </w:r>
      <w:r w:rsidRPr="008E5634">
        <w:rPr>
          <w:iCs/>
        </w:rPr>
        <w:t xml:space="preserve">, entropy </w:t>
      </w:r>
      <w:r w:rsidRPr="008E5634">
        <w:rPr>
          <w:i/>
          <w:iCs/>
        </w:rPr>
        <w:t>T</w:t>
      </w:r>
      <w:r w:rsidRPr="008E5634">
        <w:rPr>
          <w:iCs/>
        </w:rPr>
        <w:t>Δ</w:t>
      </w:r>
      <w:r w:rsidRPr="008E5634">
        <w:rPr>
          <w:i/>
          <w:iCs/>
        </w:rPr>
        <w:t>S</w:t>
      </w:r>
      <w:r w:rsidRPr="008E5634">
        <w:rPr>
          <w:iCs/>
        </w:rPr>
        <w:t>, Gibbs free energy Δ</w:t>
      </w:r>
      <w:r w:rsidRPr="008E5634">
        <w:rPr>
          <w:i/>
          <w:iCs/>
        </w:rPr>
        <w:t>G</w:t>
      </w:r>
      <w:r>
        <w:rPr>
          <w:iCs/>
        </w:rPr>
        <w:t xml:space="preserve"> </w:t>
      </w:r>
      <w:r w:rsidRPr="008E5634">
        <w:rPr>
          <w:iCs/>
        </w:rPr>
        <w:t xml:space="preserve">and stoichiometry for the </w:t>
      </w:r>
      <w:r>
        <w:rPr>
          <w:iCs/>
        </w:rPr>
        <w:t>proanthocyanidin octamer</w:t>
      </w:r>
      <w:r w:rsidRPr="008E5634">
        <w:rPr>
          <w:iCs/>
        </w:rPr>
        <w:t>-</w:t>
      </w:r>
      <w:r>
        <w:rPr>
          <w:iCs/>
        </w:rPr>
        <w:t>BSA</w:t>
      </w:r>
      <w:r w:rsidRPr="008E5634">
        <w:rPr>
          <w:iCs/>
        </w:rPr>
        <w:t xml:space="preserve"> interaction</w:t>
      </w:r>
      <w:r w:rsidR="00484D60">
        <w:rPr>
          <w:iCs/>
        </w:rPr>
        <w:t xml:space="preserve"> at 10,25 and 40 °C</w:t>
      </w:r>
      <w:r w:rsidRPr="008E5634">
        <w:rPr>
          <w:iCs/>
        </w:rPr>
        <w:t xml:space="preserve">. </w:t>
      </w:r>
      <w:r>
        <w:rPr>
          <w:iCs/>
        </w:rPr>
        <w:t>The standard error (bold) and the confidence intervals (italics) are in brackets.</w:t>
      </w:r>
    </w:p>
    <w:tbl>
      <w:tblPr>
        <w:tblW w:w="0" w:type="auto"/>
        <w:jc w:val="center"/>
        <w:tblLook w:val="04A0" w:firstRow="1" w:lastRow="0" w:firstColumn="1" w:lastColumn="0" w:noHBand="0" w:noVBand="1"/>
      </w:tblPr>
      <w:tblGrid>
        <w:gridCol w:w="1087"/>
        <w:gridCol w:w="770"/>
        <w:gridCol w:w="770"/>
        <w:gridCol w:w="794"/>
        <w:gridCol w:w="1150"/>
      </w:tblGrid>
      <w:tr w:rsidR="00FA00CC" w:rsidRPr="008E5634" w:rsidTr="002E3CDA">
        <w:trPr>
          <w:trHeight w:val="1249"/>
          <w:jc w:val="center"/>
        </w:trPr>
        <w:tc>
          <w:tcPr>
            <w:tcW w:w="0" w:type="auto"/>
            <w:tcBorders>
              <w:top w:val="single" w:sz="4" w:space="0" w:color="auto"/>
              <w:bottom w:val="single" w:sz="4" w:space="0" w:color="auto"/>
            </w:tcBorders>
          </w:tcPr>
          <w:p w:rsidR="00FA00CC" w:rsidRPr="008E5634" w:rsidRDefault="00FA00CC" w:rsidP="002E3CDA">
            <w:pPr>
              <w:spacing w:line="480" w:lineRule="auto"/>
              <w:jc w:val="center"/>
              <w:rPr>
                <w:b/>
                <w:bCs/>
                <w:sz w:val="16"/>
                <w:szCs w:val="16"/>
              </w:rPr>
            </w:pPr>
            <w:r w:rsidRPr="008E5634">
              <w:rPr>
                <w:b/>
                <w:bCs/>
                <w:sz w:val="16"/>
                <w:szCs w:val="16"/>
              </w:rPr>
              <w:t>Temperature</w:t>
            </w:r>
          </w:p>
          <w:p w:rsidR="00FA00CC" w:rsidRPr="008E5634" w:rsidRDefault="00FA00CC" w:rsidP="002E3CDA">
            <w:pPr>
              <w:spacing w:line="480" w:lineRule="auto"/>
              <w:jc w:val="center"/>
              <w:rPr>
                <w:b/>
                <w:bCs/>
                <w:sz w:val="16"/>
                <w:szCs w:val="16"/>
              </w:rPr>
            </w:pPr>
            <w:r w:rsidRPr="008E5634">
              <w:rPr>
                <w:b/>
                <w:bCs/>
                <w:sz w:val="16"/>
                <w:szCs w:val="16"/>
              </w:rPr>
              <w:t>(°C)</w:t>
            </w:r>
          </w:p>
        </w:tc>
        <w:tc>
          <w:tcPr>
            <w:tcW w:w="0" w:type="auto"/>
            <w:tcBorders>
              <w:top w:val="single" w:sz="4" w:space="0" w:color="auto"/>
              <w:bottom w:val="single" w:sz="4" w:space="0" w:color="auto"/>
            </w:tcBorders>
          </w:tcPr>
          <w:p w:rsidR="00FA00CC" w:rsidRPr="008E5634" w:rsidRDefault="00FA00CC" w:rsidP="002E3CDA">
            <w:pPr>
              <w:spacing w:line="480" w:lineRule="auto"/>
              <w:jc w:val="center"/>
              <w:rPr>
                <w:b/>
                <w:bCs/>
                <w:sz w:val="16"/>
                <w:szCs w:val="16"/>
              </w:rPr>
            </w:pPr>
            <w:r>
              <w:rPr>
                <w:b/>
                <w:bCs/>
                <w:sz w:val="16"/>
                <w:szCs w:val="16"/>
              </w:rPr>
              <w:t>-</w:t>
            </w:r>
            <w:r w:rsidRPr="008E5634">
              <w:rPr>
                <w:b/>
                <w:bCs/>
                <w:sz w:val="16"/>
                <w:szCs w:val="16"/>
              </w:rPr>
              <w:t>Δ</w:t>
            </w:r>
            <w:r w:rsidRPr="008E5634">
              <w:rPr>
                <w:b/>
                <w:bCs/>
                <w:i/>
                <w:iCs/>
                <w:sz w:val="16"/>
                <w:szCs w:val="16"/>
              </w:rPr>
              <w:t>H</w:t>
            </w:r>
          </w:p>
          <w:p w:rsidR="00FA00CC" w:rsidRPr="00DA7437" w:rsidRDefault="00FA00CC" w:rsidP="002E3CDA">
            <w:pPr>
              <w:spacing w:line="480" w:lineRule="auto"/>
              <w:jc w:val="center"/>
              <w:rPr>
                <w:b/>
                <w:bCs/>
                <w:i/>
                <w:iCs/>
                <w:sz w:val="16"/>
                <w:szCs w:val="16"/>
                <w:vertAlign w:val="superscript"/>
              </w:rPr>
            </w:pPr>
            <w:r>
              <w:rPr>
                <w:b/>
                <w:bCs/>
                <w:sz w:val="16"/>
                <w:szCs w:val="16"/>
              </w:rPr>
              <w:t>(kJ/mol)</w:t>
            </w:r>
          </w:p>
        </w:tc>
        <w:tc>
          <w:tcPr>
            <w:tcW w:w="0" w:type="auto"/>
            <w:tcBorders>
              <w:top w:val="single" w:sz="4" w:space="0" w:color="auto"/>
              <w:bottom w:val="single" w:sz="4" w:space="0" w:color="auto"/>
            </w:tcBorders>
          </w:tcPr>
          <w:p w:rsidR="00FA00CC" w:rsidRPr="008E5634" w:rsidRDefault="00FA00CC" w:rsidP="002E3CDA">
            <w:pPr>
              <w:spacing w:line="480" w:lineRule="auto"/>
              <w:jc w:val="center"/>
              <w:rPr>
                <w:b/>
                <w:bCs/>
                <w:sz w:val="16"/>
                <w:szCs w:val="16"/>
              </w:rPr>
            </w:pPr>
            <w:r>
              <w:rPr>
                <w:b/>
                <w:bCs/>
                <w:i/>
                <w:iCs/>
                <w:sz w:val="16"/>
                <w:szCs w:val="16"/>
              </w:rPr>
              <w:t>-</w:t>
            </w:r>
            <w:r w:rsidRPr="008E5634">
              <w:rPr>
                <w:b/>
                <w:bCs/>
                <w:i/>
                <w:iCs/>
                <w:sz w:val="16"/>
                <w:szCs w:val="16"/>
              </w:rPr>
              <w:t>T</w:t>
            </w:r>
            <w:r w:rsidRPr="008E5634">
              <w:rPr>
                <w:b/>
                <w:bCs/>
                <w:sz w:val="16"/>
                <w:szCs w:val="16"/>
              </w:rPr>
              <w:t>Δ</w:t>
            </w:r>
            <w:r w:rsidRPr="008E5634">
              <w:rPr>
                <w:b/>
                <w:bCs/>
                <w:i/>
                <w:iCs/>
                <w:sz w:val="16"/>
                <w:szCs w:val="16"/>
              </w:rPr>
              <w:t>S</w:t>
            </w:r>
            <w:r w:rsidRPr="008E5634">
              <w:rPr>
                <w:b/>
                <w:bCs/>
                <w:sz w:val="16"/>
                <w:szCs w:val="16"/>
              </w:rPr>
              <w:t> </w:t>
            </w:r>
          </w:p>
          <w:p w:rsidR="00FA00CC" w:rsidRPr="008E5634" w:rsidRDefault="00FA00CC" w:rsidP="002E3CDA">
            <w:pPr>
              <w:spacing w:line="480" w:lineRule="auto"/>
              <w:jc w:val="center"/>
              <w:rPr>
                <w:b/>
                <w:bCs/>
                <w:sz w:val="16"/>
                <w:szCs w:val="16"/>
              </w:rPr>
            </w:pPr>
            <w:r w:rsidRPr="008E5634">
              <w:rPr>
                <w:b/>
                <w:bCs/>
                <w:sz w:val="16"/>
                <w:szCs w:val="16"/>
              </w:rPr>
              <w:t>(kJ/mol)</w:t>
            </w:r>
          </w:p>
        </w:tc>
        <w:tc>
          <w:tcPr>
            <w:tcW w:w="0" w:type="auto"/>
            <w:tcBorders>
              <w:top w:val="single" w:sz="4" w:space="0" w:color="auto"/>
              <w:bottom w:val="single" w:sz="4" w:space="0" w:color="auto"/>
            </w:tcBorders>
          </w:tcPr>
          <w:p w:rsidR="00FA00CC" w:rsidRPr="008E5634" w:rsidRDefault="00FA00CC" w:rsidP="002E3CDA">
            <w:pPr>
              <w:spacing w:line="480" w:lineRule="auto"/>
              <w:jc w:val="center"/>
              <w:rPr>
                <w:b/>
                <w:bCs/>
                <w:sz w:val="16"/>
                <w:szCs w:val="16"/>
              </w:rPr>
            </w:pPr>
            <w:r>
              <w:rPr>
                <w:b/>
                <w:bCs/>
                <w:sz w:val="16"/>
                <w:szCs w:val="16"/>
              </w:rPr>
              <w:t>-</w:t>
            </w:r>
            <w:r w:rsidRPr="008E5634">
              <w:rPr>
                <w:b/>
                <w:bCs/>
                <w:sz w:val="16"/>
                <w:szCs w:val="16"/>
              </w:rPr>
              <w:t>Δ</w:t>
            </w:r>
            <w:r w:rsidRPr="008E5634">
              <w:rPr>
                <w:b/>
                <w:bCs/>
                <w:i/>
                <w:iCs/>
                <w:sz w:val="16"/>
                <w:szCs w:val="16"/>
              </w:rPr>
              <w:t>G</w:t>
            </w:r>
          </w:p>
          <w:p w:rsidR="00FA00CC" w:rsidRPr="008E5634" w:rsidRDefault="00FA00CC" w:rsidP="002E3CDA">
            <w:pPr>
              <w:spacing w:line="480" w:lineRule="auto"/>
              <w:jc w:val="center"/>
              <w:rPr>
                <w:b/>
                <w:bCs/>
                <w:sz w:val="16"/>
                <w:szCs w:val="16"/>
              </w:rPr>
            </w:pPr>
            <w:r w:rsidRPr="008E5634">
              <w:rPr>
                <w:b/>
                <w:bCs/>
                <w:sz w:val="16"/>
                <w:szCs w:val="16"/>
              </w:rPr>
              <w:t xml:space="preserve">(kJ/mol) </w:t>
            </w:r>
          </w:p>
        </w:tc>
        <w:tc>
          <w:tcPr>
            <w:tcW w:w="0" w:type="auto"/>
            <w:tcBorders>
              <w:top w:val="single" w:sz="4" w:space="0" w:color="auto"/>
              <w:bottom w:val="single" w:sz="4" w:space="0" w:color="auto"/>
            </w:tcBorders>
          </w:tcPr>
          <w:p w:rsidR="00FA00CC" w:rsidRDefault="00FA00CC" w:rsidP="002E3CDA">
            <w:pPr>
              <w:spacing w:line="480" w:lineRule="auto"/>
              <w:jc w:val="center"/>
              <w:rPr>
                <w:b/>
                <w:bCs/>
                <w:sz w:val="16"/>
                <w:szCs w:val="16"/>
              </w:rPr>
            </w:pPr>
            <w:r w:rsidRPr="008E5634">
              <w:rPr>
                <w:b/>
                <w:bCs/>
                <w:sz w:val="16"/>
                <w:szCs w:val="16"/>
              </w:rPr>
              <w:t>Stoichiometry</w:t>
            </w:r>
          </w:p>
          <w:p w:rsidR="00FA00CC" w:rsidRPr="0050110E" w:rsidRDefault="00FA00CC" w:rsidP="002E3CDA">
            <w:pPr>
              <w:spacing w:line="480" w:lineRule="auto"/>
              <w:jc w:val="center"/>
              <w:rPr>
                <w:b/>
                <w:bCs/>
                <w:i/>
                <w:sz w:val="16"/>
                <w:szCs w:val="16"/>
              </w:rPr>
            </w:pPr>
            <w:r w:rsidRPr="0050110E">
              <w:rPr>
                <w:b/>
                <w:bCs/>
                <w:i/>
                <w:sz w:val="16"/>
                <w:szCs w:val="16"/>
              </w:rPr>
              <w:t>n</w:t>
            </w:r>
          </w:p>
        </w:tc>
      </w:tr>
      <w:tr w:rsidR="004E729E" w:rsidRPr="008E5634" w:rsidTr="002E3CDA">
        <w:trPr>
          <w:jc w:val="center"/>
        </w:trPr>
        <w:tc>
          <w:tcPr>
            <w:tcW w:w="0" w:type="auto"/>
          </w:tcPr>
          <w:p w:rsidR="004E729E" w:rsidRPr="00C64A59" w:rsidRDefault="004E729E" w:rsidP="002E3CDA">
            <w:pPr>
              <w:spacing w:line="480" w:lineRule="auto"/>
              <w:jc w:val="center"/>
              <w:rPr>
                <w:bCs/>
                <w:color w:val="000000" w:themeColor="text1"/>
                <w:sz w:val="16"/>
                <w:szCs w:val="16"/>
              </w:rPr>
            </w:pPr>
            <w:r>
              <w:rPr>
                <w:bCs/>
                <w:color w:val="000000" w:themeColor="text1"/>
                <w:sz w:val="16"/>
                <w:szCs w:val="16"/>
              </w:rPr>
              <w:t>10</w:t>
            </w:r>
          </w:p>
        </w:tc>
        <w:tc>
          <w:tcPr>
            <w:tcW w:w="0" w:type="auto"/>
          </w:tcPr>
          <w:p w:rsidR="004E729E" w:rsidRDefault="004E729E" w:rsidP="002E3CDA">
            <w:pPr>
              <w:spacing w:line="480" w:lineRule="auto"/>
              <w:jc w:val="center"/>
              <w:rPr>
                <w:bCs/>
                <w:color w:val="000000" w:themeColor="text1"/>
                <w:sz w:val="16"/>
                <w:szCs w:val="16"/>
              </w:rPr>
            </w:pPr>
            <w:r>
              <w:rPr>
                <w:bCs/>
                <w:color w:val="000000" w:themeColor="text1"/>
                <w:sz w:val="16"/>
                <w:szCs w:val="16"/>
              </w:rPr>
              <w:t>100</w:t>
            </w:r>
          </w:p>
          <w:p w:rsidR="004E729E" w:rsidRPr="00C64A59" w:rsidRDefault="004E729E" w:rsidP="002E3CDA">
            <w:pPr>
              <w:spacing w:line="480" w:lineRule="auto"/>
              <w:jc w:val="center"/>
              <w:rPr>
                <w:bCs/>
                <w:color w:val="000000" w:themeColor="text1"/>
                <w:sz w:val="16"/>
                <w:szCs w:val="16"/>
              </w:rPr>
            </w:pPr>
            <w:r w:rsidRPr="003D0033">
              <w:rPr>
                <w:bCs/>
                <w:i/>
                <w:color w:val="000000" w:themeColor="text1"/>
                <w:sz w:val="16"/>
                <w:szCs w:val="16"/>
              </w:rPr>
              <w:t>(±</w:t>
            </w:r>
            <w:r w:rsidR="00BF1CE8">
              <w:rPr>
                <w:bCs/>
                <w:i/>
                <w:color w:val="000000" w:themeColor="text1"/>
                <w:sz w:val="16"/>
                <w:szCs w:val="16"/>
              </w:rPr>
              <w:t>25</w:t>
            </w:r>
            <w:r>
              <w:rPr>
                <w:bCs/>
                <w:i/>
                <w:color w:val="000000" w:themeColor="text1"/>
                <w:sz w:val="16"/>
                <w:szCs w:val="16"/>
              </w:rPr>
              <w:t>)</w:t>
            </w:r>
          </w:p>
        </w:tc>
        <w:tc>
          <w:tcPr>
            <w:tcW w:w="0" w:type="auto"/>
          </w:tcPr>
          <w:p w:rsidR="004E729E" w:rsidRPr="00C64A59" w:rsidRDefault="004E729E" w:rsidP="002E3CDA">
            <w:pPr>
              <w:spacing w:line="480" w:lineRule="auto"/>
              <w:jc w:val="center"/>
              <w:rPr>
                <w:bCs/>
                <w:iCs/>
                <w:color w:val="000000" w:themeColor="text1"/>
                <w:sz w:val="16"/>
                <w:szCs w:val="16"/>
              </w:rPr>
            </w:pPr>
            <w:r>
              <w:rPr>
                <w:bCs/>
                <w:iCs/>
                <w:color w:val="000000" w:themeColor="text1"/>
                <w:sz w:val="16"/>
                <w:szCs w:val="16"/>
              </w:rPr>
              <w:t>81.2</w:t>
            </w:r>
          </w:p>
        </w:tc>
        <w:tc>
          <w:tcPr>
            <w:tcW w:w="0" w:type="auto"/>
          </w:tcPr>
          <w:p w:rsidR="004E729E" w:rsidRDefault="004E729E" w:rsidP="002E3CDA">
            <w:pPr>
              <w:spacing w:line="480" w:lineRule="auto"/>
              <w:jc w:val="center"/>
              <w:rPr>
                <w:bCs/>
                <w:color w:val="000000" w:themeColor="text1"/>
                <w:sz w:val="16"/>
                <w:szCs w:val="16"/>
              </w:rPr>
            </w:pPr>
            <w:r>
              <w:rPr>
                <w:bCs/>
                <w:color w:val="000000" w:themeColor="text1"/>
                <w:sz w:val="16"/>
                <w:szCs w:val="16"/>
              </w:rPr>
              <w:t>18.8</w:t>
            </w:r>
          </w:p>
          <w:p w:rsidR="004E729E" w:rsidRPr="004E729E" w:rsidRDefault="004E729E" w:rsidP="004E729E">
            <w:pPr>
              <w:spacing w:line="480" w:lineRule="auto"/>
              <w:jc w:val="center"/>
              <w:rPr>
                <w:bCs/>
                <w:i/>
                <w:color w:val="000000" w:themeColor="text1"/>
                <w:sz w:val="16"/>
                <w:szCs w:val="16"/>
              </w:rPr>
            </w:pPr>
            <w:r w:rsidRPr="003D0033">
              <w:rPr>
                <w:bCs/>
                <w:i/>
                <w:color w:val="000000" w:themeColor="text1"/>
                <w:sz w:val="16"/>
                <w:szCs w:val="16"/>
              </w:rPr>
              <w:t xml:space="preserve">(± </w:t>
            </w:r>
            <w:r>
              <w:rPr>
                <w:bCs/>
                <w:i/>
                <w:color w:val="000000" w:themeColor="text1"/>
                <w:sz w:val="16"/>
                <w:szCs w:val="16"/>
              </w:rPr>
              <w:t>6.1)</w:t>
            </w:r>
          </w:p>
        </w:tc>
        <w:tc>
          <w:tcPr>
            <w:tcW w:w="0" w:type="auto"/>
          </w:tcPr>
          <w:p w:rsidR="004E729E" w:rsidRDefault="004E729E" w:rsidP="002E3CDA">
            <w:pPr>
              <w:spacing w:line="480" w:lineRule="auto"/>
              <w:jc w:val="center"/>
              <w:rPr>
                <w:bCs/>
                <w:color w:val="000000" w:themeColor="text1"/>
                <w:sz w:val="16"/>
                <w:szCs w:val="16"/>
              </w:rPr>
            </w:pPr>
            <w:r>
              <w:rPr>
                <w:bCs/>
                <w:color w:val="000000" w:themeColor="text1"/>
                <w:sz w:val="16"/>
                <w:szCs w:val="16"/>
              </w:rPr>
              <w:t>8</w:t>
            </w:r>
          </w:p>
          <w:p w:rsidR="004E729E" w:rsidRPr="00C64A59" w:rsidRDefault="004E729E" w:rsidP="00BF1CE8">
            <w:pPr>
              <w:spacing w:line="480" w:lineRule="auto"/>
              <w:jc w:val="center"/>
              <w:rPr>
                <w:bCs/>
                <w:color w:val="000000" w:themeColor="text1"/>
                <w:sz w:val="16"/>
                <w:szCs w:val="16"/>
              </w:rPr>
            </w:pPr>
            <w:r w:rsidRPr="003D0033">
              <w:rPr>
                <w:bCs/>
                <w:i/>
                <w:color w:val="000000" w:themeColor="text1"/>
                <w:sz w:val="16"/>
                <w:szCs w:val="16"/>
              </w:rPr>
              <w:t xml:space="preserve">(± </w:t>
            </w:r>
            <w:r w:rsidR="00BF1CE8">
              <w:rPr>
                <w:bCs/>
                <w:i/>
                <w:color w:val="000000" w:themeColor="text1"/>
                <w:sz w:val="16"/>
                <w:szCs w:val="16"/>
              </w:rPr>
              <w:t>3</w:t>
            </w:r>
            <w:r>
              <w:rPr>
                <w:bCs/>
                <w:i/>
                <w:color w:val="000000" w:themeColor="text1"/>
                <w:sz w:val="16"/>
                <w:szCs w:val="16"/>
              </w:rPr>
              <w:t>)</w:t>
            </w:r>
          </w:p>
        </w:tc>
      </w:tr>
      <w:tr w:rsidR="00FA00CC" w:rsidRPr="008E5634" w:rsidTr="002E3CDA">
        <w:trPr>
          <w:jc w:val="center"/>
        </w:trPr>
        <w:tc>
          <w:tcPr>
            <w:tcW w:w="0" w:type="auto"/>
          </w:tcPr>
          <w:p w:rsidR="00FA00CC" w:rsidRPr="00C64A59" w:rsidRDefault="00FA00CC" w:rsidP="002E3CDA">
            <w:pPr>
              <w:spacing w:line="480" w:lineRule="auto"/>
              <w:jc w:val="center"/>
              <w:rPr>
                <w:bCs/>
                <w:color w:val="000000" w:themeColor="text1"/>
                <w:sz w:val="16"/>
                <w:szCs w:val="16"/>
              </w:rPr>
            </w:pPr>
            <w:r w:rsidRPr="00C64A59">
              <w:rPr>
                <w:bCs/>
                <w:color w:val="000000" w:themeColor="text1"/>
                <w:sz w:val="16"/>
                <w:szCs w:val="16"/>
              </w:rPr>
              <w:t>25</w:t>
            </w:r>
          </w:p>
        </w:tc>
        <w:tc>
          <w:tcPr>
            <w:tcW w:w="0" w:type="auto"/>
          </w:tcPr>
          <w:p w:rsidR="00FA00CC" w:rsidRDefault="004E729E" w:rsidP="002E3CDA">
            <w:pPr>
              <w:spacing w:line="480" w:lineRule="auto"/>
              <w:jc w:val="center"/>
              <w:rPr>
                <w:bCs/>
                <w:color w:val="000000" w:themeColor="text1"/>
                <w:sz w:val="16"/>
                <w:szCs w:val="16"/>
              </w:rPr>
            </w:pPr>
            <w:r>
              <w:rPr>
                <w:bCs/>
                <w:color w:val="000000" w:themeColor="text1"/>
                <w:sz w:val="16"/>
                <w:szCs w:val="16"/>
              </w:rPr>
              <w:t>25.65</w:t>
            </w:r>
            <w:r w:rsidR="00FA00CC" w:rsidRPr="00C64A59">
              <w:rPr>
                <w:bCs/>
                <w:color w:val="000000" w:themeColor="text1"/>
                <w:sz w:val="16"/>
                <w:szCs w:val="16"/>
              </w:rPr>
              <w:t xml:space="preserve"> </w:t>
            </w:r>
          </w:p>
          <w:p w:rsidR="00FA00CC" w:rsidRPr="003D0033" w:rsidRDefault="004E729E" w:rsidP="00BF1CE8">
            <w:pPr>
              <w:spacing w:line="480" w:lineRule="auto"/>
              <w:jc w:val="center"/>
              <w:rPr>
                <w:bCs/>
                <w:i/>
                <w:color w:val="000000" w:themeColor="text1"/>
                <w:sz w:val="16"/>
                <w:szCs w:val="16"/>
              </w:rPr>
            </w:pPr>
            <w:r w:rsidRPr="003D0033">
              <w:rPr>
                <w:bCs/>
                <w:i/>
                <w:color w:val="000000" w:themeColor="text1"/>
                <w:sz w:val="16"/>
                <w:szCs w:val="16"/>
              </w:rPr>
              <w:t xml:space="preserve"> </w:t>
            </w:r>
            <w:r w:rsidR="00FA00CC" w:rsidRPr="003D0033">
              <w:rPr>
                <w:bCs/>
                <w:i/>
                <w:color w:val="000000" w:themeColor="text1"/>
                <w:sz w:val="16"/>
                <w:szCs w:val="16"/>
              </w:rPr>
              <w:t>(±</w:t>
            </w:r>
            <w:r w:rsidR="00BF1CE8">
              <w:rPr>
                <w:bCs/>
                <w:i/>
                <w:color w:val="000000" w:themeColor="text1"/>
                <w:sz w:val="16"/>
                <w:szCs w:val="16"/>
              </w:rPr>
              <w:t>5</w:t>
            </w:r>
            <w:r w:rsidR="00FA00CC">
              <w:rPr>
                <w:bCs/>
                <w:i/>
                <w:color w:val="000000" w:themeColor="text1"/>
                <w:sz w:val="16"/>
                <w:szCs w:val="16"/>
              </w:rPr>
              <w:t>)</w:t>
            </w:r>
          </w:p>
        </w:tc>
        <w:tc>
          <w:tcPr>
            <w:tcW w:w="0" w:type="auto"/>
          </w:tcPr>
          <w:p w:rsidR="00FA00CC" w:rsidRDefault="004E729E" w:rsidP="002E3CDA">
            <w:pPr>
              <w:spacing w:line="480" w:lineRule="auto"/>
              <w:jc w:val="center"/>
              <w:rPr>
                <w:bCs/>
                <w:iCs/>
                <w:color w:val="000000" w:themeColor="text1"/>
                <w:sz w:val="16"/>
                <w:szCs w:val="16"/>
              </w:rPr>
            </w:pPr>
            <w:r>
              <w:rPr>
                <w:bCs/>
                <w:iCs/>
                <w:color w:val="000000" w:themeColor="text1"/>
                <w:sz w:val="16"/>
                <w:szCs w:val="16"/>
              </w:rPr>
              <w:t>4.08</w:t>
            </w:r>
          </w:p>
          <w:p w:rsidR="00FA00CC" w:rsidRPr="00D22277" w:rsidRDefault="00FA00CC" w:rsidP="002E3CDA">
            <w:pPr>
              <w:spacing w:line="480" w:lineRule="auto"/>
              <w:jc w:val="center"/>
              <w:rPr>
                <w:b/>
                <w:bCs/>
                <w:iCs/>
                <w:color w:val="000000" w:themeColor="text1"/>
                <w:sz w:val="16"/>
                <w:szCs w:val="16"/>
              </w:rPr>
            </w:pPr>
          </w:p>
        </w:tc>
        <w:tc>
          <w:tcPr>
            <w:tcW w:w="0" w:type="auto"/>
          </w:tcPr>
          <w:p w:rsidR="00FA00CC" w:rsidRPr="004E729E" w:rsidRDefault="004E729E" w:rsidP="004E729E">
            <w:pPr>
              <w:spacing w:line="480" w:lineRule="auto"/>
              <w:jc w:val="center"/>
              <w:rPr>
                <w:bCs/>
                <w:color w:val="000000" w:themeColor="text1"/>
                <w:sz w:val="16"/>
                <w:szCs w:val="16"/>
              </w:rPr>
            </w:pPr>
            <w:r>
              <w:rPr>
                <w:bCs/>
                <w:color w:val="000000" w:themeColor="text1"/>
                <w:sz w:val="16"/>
                <w:szCs w:val="16"/>
              </w:rPr>
              <w:t>21.6</w:t>
            </w:r>
          </w:p>
          <w:p w:rsidR="00FA00CC" w:rsidRPr="003D0033" w:rsidRDefault="00FA00CC" w:rsidP="002E3CDA">
            <w:pPr>
              <w:spacing w:line="480" w:lineRule="auto"/>
              <w:jc w:val="center"/>
              <w:rPr>
                <w:bCs/>
                <w:i/>
                <w:color w:val="000000" w:themeColor="text1"/>
                <w:sz w:val="16"/>
                <w:szCs w:val="16"/>
              </w:rPr>
            </w:pPr>
            <w:r w:rsidRPr="003D0033">
              <w:rPr>
                <w:bCs/>
                <w:i/>
                <w:color w:val="000000" w:themeColor="text1"/>
                <w:sz w:val="16"/>
                <w:szCs w:val="16"/>
              </w:rPr>
              <w:t xml:space="preserve">(± </w:t>
            </w:r>
            <w:r w:rsidR="004E729E">
              <w:rPr>
                <w:bCs/>
                <w:i/>
                <w:color w:val="000000" w:themeColor="text1"/>
                <w:sz w:val="16"/>
                <w:szCs w:val="16"/>
              </w:rPr>
              <w:t>1.417</w:t>
            </w:r>
            <w:r w:rsidRPr="003D0033">
              <w:rPr>
                <w:bCs/>
                <w:i/>
                <w:color w:val="000000" w:themeColor="text1"/>
                <w:sz w:val="16"/>
                <w:szCs w:val="16"/>
              </w:rPr>
              <w:t>)</w:t>
            </w:r>
          </w:p>
          <w:p w:rsidR="00FA00CC" w:rsidRPr="00D22277" w:rsidRDefault="00FA00CC" w:rsidP="002E3CDA">
            <w:pPr>
              <w:spacing w:line="480" w:lineRule="auto"/>
              <w:jc w:val="center"/>
              <w:rPr>
                <w:b/>
                <w:bCs/>
                <w:color w:val="000000" w:themeColor="text1"/>
                <w:sz w:val="16"/>
                <w:szCs w:val="16"/>
              </w:rPr>
            </w:pPr>
          </w:p>
        </w:tc>
        <w:tc>
          <w:tcPr>
            <w:tcW w:w="0" w:type="auto"/>
          </w:tcPr>
          <w:p w:rsidR="00FA00CC" w:rsidRDefault="004E729E" w:rsidP="002E3CDA">
            <w:pPr>
              <w:spacing w:line="480" w:lineRule="auto"/>
              <w:jc w:val="center"/>
              <w:rPr>
                <w:bCs/>
                <w:color w:val="000000" w:themeColor="text1"/>
                <w:sz w:val="16"/>
                <w:szCs w:val="16"/>
              </w:rPr>
            </w:pPr>
            <w:r>
              <w:rPr>
                <w:bCs/>
                <w:color w:val="000000" w:themeColor="text1"/>
                <w:sz w:val="16"/>
                <w:szCs w:val="16"/>
              </w:rPr>
              <w:t>24.7</w:t>
            </w:r>
          </w:p>
          <w:p w:rsidR="00FA00CC" w:rsidRPr="003D0033" w:rsidRDefault="004E729E" w:rsidP="004E729E">
            <w:pPr>
              <w:spacing w:line="480" w:lineRule="auto"/>
              <w:jc w:val="center"/>
              <w:rPr>
                <w:bCs/>
                <w:i/>
                <w:color w:val="000000" w:themeColor="text1"/>
                <w:sz w:val="16"/>
                <w:szCs w:val="16"/>
              </w:rPr>
            </w:pPr>
            <w:r w:rsidRPr="003D0033">
              <w:rPr>
                <w:bCs/>
                <w:i/>
                <w:color w:val="000000" w:themeColor="text1"/>
                <w:sz w:val="16"/>
                <w:szCs w:val="16"/>
              </w:rPr>
              <w:t xml:space="preserve"> </w:t>
            </w:r>
            <w:r w:rsidR="00FA00CC" w:rsidRPr="003D0033">
              <w:rPr>
                <w:bCs/>
                <w:i/>
                <w:color w:val="000000" w:themeColor="text1"/>
                <w:sz w:val="16"/>
                <w:szCs w:val="16"/>
              </w:rPr>
              <w:t>(±</w:t>
            </w:r>
            <w:r w:rsidR="00BF1CE8">
              <w:rPr>
                <w:bCs/>
                <w:i/>
                <w:color w:val="000000" w:themeColor="text1"/>
                <w:sz w:val="16"/>
                <w:szCs w:val="16"/>
              </w:rPr>
              <w:t>2</w:t>
            </w:r>
            <w:r w:rsidR="00FA00CC" w:rsidRPr="003D0033">
              <w:rPr>
                <w:bCs/>
                <w:i/>
                <w:color w:val="000000" w:themeColor="text1"/>
                <w:sz w:val="16"/>
                <w:szCs w:val="16"/>
              </w:rPr>
              <w:t>)</w:t>
            </w:r>
          </w:p>
        </w:tc>
      </w:tr>
      <w:tr w:rsidR="00FA00CC" w:rsidRPr="008E5634" w:rsidTr="002E3CDA">
        <w:trPr>
          <w:jc w:val="center"/>
        </w:trPr>
        <w:tc>
          <w:tcPr>
            <w:tcW w:w="0" w:type="auto"/>
            <w:tcBorders>
              <w:bottom w:val="single" w:sz="4" w:space="0" w:color="auto"/>
            </w:tcBorders>
          </w:tcPr>
          <w:p w:rsidR="00FA00CC" w:rsidRPr="00C64A59" w:rsidRDefault="00F93632" w:rsidP="002E3CDA">
            <w:pPr>
              <w:spacing w:line="480" w:lineRule="auto"/>
              <w:jc w:val="center"/>
              <w:rPr>
                <w:bCs/>
                <w:color w:val="000000" w:themeColor="text1"/>
                <w:sz w:val="16"/>
                <w:szCs w:val="16"/>
              </w:rPr>
            </w:pPr>
            <w:r>
              <w:rPr>
                <w:bCs/>
                <w:color w:val="000000" w:themeColor="text1"/>
                <w:sz w:val="16"/>
                <w:szCs w:val="16"/>
              </w:rPr>
              <w:t>35</w:t>
            </w:r>
          </w:p>
        </w:tc>
        <w:tc>
          <w:tcPr>
            <w:tcW w:w="0" w:type="auto"/>
            <w:tcBorders>
              <w:bottom w:val="single" w:sz="4" w:space="0" w:color="auto"/>
            </w:tcBorders>
          </w:tcPr>
          <w:p w:rsidR="00FA00CC" w:rsidRDefault="006435D5" w:rsidP="002E3CDA">
            <w:pPr>
              <w:spacing w:line="480" w:lineRule="auto"/>
              <w:jc w:val="center"/>
              <w:rPr>
                <w:bCs/>
                <w:color w:val="000000" w:themeColor="text1"/>
                <w:sz w:val="16"/>
                <w:szCs w:val="16"/>
              </w:rPr>
            </w:pPr>
            <w:r>
              <w:rPr>
                <w:bCs/>
                <w:color w:val="000000" w:themeColor="text1"/>
                <w:sz w:val="16"/>
                <w:szCs w:val="16"/>
              </w:rPr>
              <w:t>17.39</w:t>
            </w:r>
          </w:p>
          <w:p w:rsidR="00FA00CC" w:rsidRPr="003D0033" w:rsidRDefault="004E729E" w:rsidP="00BF1CE8">
            <w:pPr>
              <w:spacing w:line="480" w:lineRule="auto"/>
              <w:jc w:val="center"/>
              <w:rPr>
                <w:bCs/>
                <w:i/>
                <w:color w:val="000000" w:themeColor="text1"/>
                <w:sz w:val="16"/>
                <w:szCs w:val="16"/>
              </w:rPr>
            </w:pPr>
            <w:r w:rsidRPr="003D0033">
              <w:rPr>
                <w:bCs/>
                <w:i/>
                <w:color w:val="000000" w:themeColor="text1"/>
                <w:sz w:val="16"/>
                <w:szCs w:val="16"/>
              </w:rPr>
              <w:t xml:space="preserve"> </w:t>
            </w:r>
            <w:r w:rsidR="00FA00CC" w:rsidRPr="003D0033">
              <w:rPr>
                <w:bCs/>
                <w:i/>
                <w:color w:val="000000" w:themeColor="text1"/>
                <w:sz w:val="16"/>
                <w:szCs w:val="16"/>
              </w:rPr>
              <w:t>(±</w:t>
            </w:r>
            <w:r w:rsidR="00BF1CE8">
              <w:rPr>
                <w:bCs/>
                <w:i/>
                <w:color w:val="000000" w:themeColor="text1"/>
                <w:sz w:val="16"/>
                <w:szCs w:val="16"/>
              </w:rPr>
              <w:t>3</w:t>
            </w:r>
            <w:r w:rsidR="00FA00CC" w:rsidRPr="003D0033">
              <w:rPr>
                <w:bCs/>
                <w:i/>
                <w:color w:val="000000" w:themeColor="text1"/>
                <w:sz w:val="16"/>
                <w:szCs w:val="16"/>
              </w:rPr>
              <w:t>)</w:t>
            </w:r>
          </w:p>
        </w:tc>
        <w:tc>
          <w:tcPr>
            <w:tcW w:w="0" w:type="auto"/>
            <w:tcBorders>
              <w:bottom w:val="single" w:sz="4" w:space="0" w:color="auto"/>
            </w:tcBorders>
          </w:tcPr>
          <w:p w:rsidR="00FA00CC" w:rsidRDefault="00FA00CC" w:rsidP="002E3CDA">
            <w:pPr>
              <w:spacing w:line="480" w:lineRule="auto"/>
              <w:jc w:val="center"/>
              <w:rPr>
                <w:bCs/>
                <w:iCs/>
                <w:color w:val="000000" w:themeColor="text1"/>
                <w:sz w:val="16"/>
                <w:szCs w:val="16"/>
              </w:rPr>
            </w:pPr>
            <w:r w:rsidRPr="00C64A59">
              <w:rPr>
                <w:bCs/>
                <w:iCs/>
                <w:color w:val="000000" w:themeColor="text1"/>
                <w:sz w:val="16"/>
                <w:szCs w:val="16"/>
              </w:rPr>
              <w:t>-</w:t>
            </w:r>
            <w:r w:rsidR="006435D5">
              <w:rPr>
                <w:bCs/>
                <w:iCs/>
                <w:color w:val="000000" w:themeColor="text1"/>
                <w:sz w:val="16"/>
                <w:szCs w:val="16"/>
              </w:rPr>
              <w:t>6.7</w:t>
            </w:r>
          </w:p>
          <w:p w:rsidR="00FA00CC" w:rsidRPr="00D22277" w:rsidRDefault="00FA00CC" w:rsidP="002E3CDA">
            <w:pPr>
              <w:spacing w:line="480" w:lineRule="auto"/>
              <w:jc w:val="center"/>
              <w:rPr>
                <w:b/>
                <w:bCs/>
                <w:iCs/>
                <w:color w:val="000000" w:themeColor="text1"/>
                <w:sz w:val="16"/>
                <w:szCs w:val="16"/>
              </w:rPr>
            </w:pPr>
          </w:p>
        </w:tc>
        <w:tc>
          <w:tcPr>
            <w:tcW w:w="0" w:type="auto"/>
            <w:tcBorders>
              <w:bottom w:val="single" w:sz="4" w:space="0" w:color="auto"/>
            </w:tcBorders>
          </w:tcPr>
          <w:p w:rsidR="00FA00CC" w:rsidRDefault="004E729E" w:rsidP="002E3CDA">
            <w:pPr>
              <w:spacing w:line="480" w:lineRule="auto"/>
              <w:jc w:val="center"/>
              <w:rPr>
                <w:bCs/>
                <w:color w:val="000000" w:themeColor="text1"/>
                <w:sz w:val="16"/>
                <w:szCs w:val="16"/>
              </w:rPr>
            </w:pPr>
            <w:r>
              <w:rPr>
                <w:bCs/>
                <w:color w:val="000000" w:themeColor="text1"/>
                <w:sz w:val="16"/>
                <w:szCs w:val="16"/>
              </w:rPr>
              <w:t>24.1</w:t>
            </w:r>
          </w:p>
          <w:p w:rsidR="00FA00CC" w:rsidRPr="003D0033" w:rsidRDefault="004E729E" w:rsidP="00BF1CE8">
            <w:pPr>
              <w:spacing w:line="480" w:lineRule="auto"/>
              <w:jc w:val="center"/>
              <w:rPr>
                <w:bCs/>
                <w:i/>
                <w:color w:val="000000" w:themeColor="text1"/>
                <w:sz w:val="16"/>
                <w:szCs w:val="16"/>
              </w:rPr>
            </w:pPr>
            <w:r w:rsidRPr="003D0033">
              <w:rPr>
                <w:bCs/>
                <w:i/>
                <w:color w:val="000000" w:themeColor="text1"/>
                <w:sz w:val="16"/>
                <w:szCs w:val="16"/>
              </w:rPr>
              <w:t xml:space="preserve"> </w:t>
            </w:r>
            <w:r w:rsidR="00FA00CC" w:rsidRPr="003D0033">
              <w:rPr>
                <w:bCs/>
                <w:i/>
                <w:color w:val="000000" w:themeColor="text1"/>
                <w:sz w:val="16"/>
                <w:szCs w:val="16"/>
              </w:rPr>
              <w:t xml:space="preserve">(± </w:t>
            </w:r>
            <w:r>
              <w:rPr>
                <w:bCs/>
                <w:i/>
                <w:color w:val="000000" w:themeColor="text1"/>
                <w:sz w:val="16"/>
                <w:szCs w:val="16"/>
              </w:rPr>
              <w:t>0.</w:t>
            </w:r>
            <w:r w:rsidR="00BF1CE8">
              <w:rPr>
                <w:bCs/>
                <w:i/>
                <w:color w:val="000000" w:themeColor="text1"/>
                <w:sz w:val="16"/>
                <w:szCs w:val="16"/>
              </w:rPr>
              <w:t>8</w:t>
            </w:r>
            <w:r w:rsidR="00FA00CC" w:rsidRPr="003D0033">
              <w:rPr>
                <w:bCs/>
                <w:i/>
                <w:color w:val="000000" w:themeColor="text1"/>
                <w:sz w:val="16"/>
                <w:szCs w:val="16"/>
              </w:rPr>
              <w:t>)</w:t>
            </w:r>
          </w:p>
        </w:tc>
        <w:tc>
          <w:tcPr>
            <w:tcW w:w="0" w:type="auto"/>
            <w:tcBorders>
              <w:bottom w:val="single" w:sz="4" w:space="0" w:color="auto"/>
            </w:tcBorders>
          </w:tcPr>
          <w:p w:rsidR="00FA00CC" w:rsidRDefault="006435D5" w:rsidP="002E3CDA">
            <w:pPr>
              <w:spacing w:line="480" w:lineRule="auto"/>
              <w:jc w:val="center"/>
              <w:rPr>
                <w:bCs/>
                <w:color w:val="000000" w:themeColor="text1"/>
                <w:sz w:val="16"/>
                <w:szCs w:val="16"/>
              </w:rPr>
            </w:pPr>
            <w:r>
              <w:rPr>
                <w:bCs/>
                <w:color w:val="000000" w:themeColor="text1"/>
                <w:sz w:val="16"/>
                <w:szCs w:val="16"/>
              </w:rPr>
              <w:t>38.02</w:t>
            </w:r>
          </w:p>
          <w:p w:rsidR="00FA00CC" w:rsidRPr="003D0033" w:rsidRDefault="004E729E" w:rsidP="00BF1CE8">
            <w:pPr>
              <w:spacing w:line="480" w:lineRule="auto"/>
              <w:jc w:val="center"/>
              <w:rPr>
                <w:bCs/>
                <w:i/>
                <w:color w:val="000000" w:themeColor="text1"/>
                <w:sz w:val="16"/>
                <w:szCs w:val="16"/>
              </w:rPr>
            </w:pPr>
            <w:r w:rsidRPr="003D0033">
              <w:rPr>
                <w:bCs/>
                <w:i/>
                <w:color w:val="000000" w:themeColor="text1"/>
                <w:sz w:val="16"/>
                <w:szCs w:val="16"/>
              </w:rPr>
              <w:t xml:space="preserve"> </w:t>
            </w:r>
            <w:r w:rsidR="00FA00CC" w:rsidRPr="003D0033">
              <w:rPr>
                <w:bCs/>
                <w:i/>
                <w:color w:val="000000" w:themeColor="text1"/>
                <w:sz w:val="16"/>
                <w:szCs w:val="16"/>
              </w:rPr>
              <w:t xml:space="preserve">(± </w:t>
            </w:r>
            <w:r w:rsidR="00BF1CE8">
              <w:rPr>
                <w:bCs/>
                <w:i/>
                <w:color w:val="000000" w:themeColor="text1"/>
                <w:sz w:val="16"/>
                <w:szCs w:val="16"/>
              </w:rPr>
              <w:t>2</w:t>
            </w:r>
            <w:r w:rsidR="00FA00CC" w:rsidRPr="003D0033">
              <w:rPr>
                <w:bCs/>
                <w:i/>
                <w:color w:val="000000" w:themeColor="text1"/>
                <w:sz w:val="16"/>
                <w:szCs w:val="16"/>
              </w:rPr>
              <w:t>)</w:t>
            </w:r>
          </w:p>
        </w:tc>
      </w:tr>
    </w:tbl>
    <w:p w:rsidR="004E729E" w:rsidRDefault="004E729E" w:rsidP="000574FF">
      <w:pPr>
        <w:spacing w:line="480" w:lineRule="auto"/>
        <w:jc w:val="both"/>
        <w:rPr>
          <w:bCs/>
        </w:rPr>
      </w:pPr>
    </w:p>
    <w:p w:rsidR="00F93632" w:rsidRDefault="00F93632" w:rsidP="000574FF">
      <w:pPr>
        <w:spacing w:line="480" w:lineRule="auto"/>
        <w:jc w:val="both"/>
        <w:rPr>
          <w:bCs/>
        </w:rPr>
      </w:pPr>
      <w:r>
        <w:rPr>
          <w:bCs/>
        </w:rPr>
        <w:t>The stoichiometry of binding increases from 25 to 35°</w:t>
      </w:r>
      <w:r w:rsidR="002E3CDA">
        <w:rPr>
          <w:bCs/>
        </w:rPr>
        <w:t xml:space="preserve">C. This is similar to the tannic acid-BSA interaction. As previously suggested this could be due to a change in aggregation state or a conformational change of the tannin. </w:t>
      </w:r>
      <w:r w:rsidR="00194DAD">
        <w:rPr>
          <w:bCs/>
        </w:rPr>
        <w:t xml:space="preserve">The </w:t>
      </w:r>
      <w:r w:rsidR="001D171F" w:rsidRPr="001D171F">
        <w:rPr>
          <w:rFonts w:eastAsiaTheme="minorEastAsia"/>
        </w:rPr>
        <w:t>Δ</w:t>
      </w:r>
      <w:r w:rsidR="001D171F">
        <w:rPr>
          <w:rFonts w:eastAsiaTheme="minorEastAsia"/>
          <w:i/>
        </w:rPr>
        <w:t>G</w:t>
      </w:r>
      <w:r w:rsidR="001D171F">
        <w:rPr>
          <w:bCs/>
        </w:rPr>
        <w:t xml:space="preserve"> </w:t>
      </w:r>
      <w:r w:rsidR="00194DAD">
        <w:rPr>
          <w:bCs/>
        </w:rPr>
        <w:t xml:space="preserve">also increases with increasing </w:t>
      </w:r>
      <w:r w:rsidR="002C6F70">
        <w:rPr>
          <w:bCs/>
        </w:rPr>
        <w:t>temperature, which</w:t>
      </w:r>
      <w:r w:rsidR="00194DAD">
        <w:rPr>
          <w:bCs/>
        </w:rPr>
        <w:t xml:space="preserve"> is expected from hydrophobic interaction. </w:t>
      </w:r>
    </w:p>
    <w:p w:rsidR="000574FF" w:rsidRPr="00906C83" w:rsidRDefault="000574FF" w:rsidP="000574FF">
      <w:pPr>
        <w:spacing w:line="480" w:lineRule="auto"/>
        <w:jc w:val="both"/>
        <w:rPr>
          <w:bCs/>
        </w:rPr>
      </w:pPr>
      <w:r w:rsidRPr="00906C83">
        <w:rPr>
          <w:bCs/>
        </w:rPr>
        <w:t>Enthalpy-entropy compensation is a topic much discussed but poorly understood. The existence of compensation is usually taken to mean that the parameter being varied is affecting a complex interplay of interactions. Grunwald and Steel suggested solvent reorganisation was responsible for enthalpy-entropy compensation based on rate constant temperature dependence</w:t>
      </w:r>
      <w:r>
        <w:rPr>
          <w:bCs/>
        </w:rPr>
        <w:t>.</w:t>
      </w:r>
      <w:hyperlink w:anchor="_ENREF_14" w:tooltip="Grunwald, 1995 #496" w:history="1">
        <w:r w:rsidR="00512D09" w:rsidRPr="00906C83">
          <w:rPr>
            <w:bCs/>
          </w:rPr>
          <w:fldChar w:fldCharType="begin"/>
        </w:r>
        <w:r w:rsidR="00512D09">
          <w:rPr>
            <w:bCs/>
          </w:rPr>
          <w:instrText xml:space="preserve"> ADDIN EN.CITE &lt;EndNote&gt;&lt;Cite&gt;&lt;Author&gt;Grunwald&lt;/Author&gt;&lt;Year&gt;1995&lt;/Year&gt;&lt;RecNum&gt;496&lt;/RecNum&gt;&lt;DisplayText&gt;&lt;style face="superscript"&gt;14&lt;/style&gt;&lt;/DisplayText&gt;&lt;record&gt;&lt;rec-number&gt;496&lt;/rec-number&gt;&lt;foreign-keys&gt;&lt;key app="EN" db-id="5trrespwzsdr07efd5tx2w96x22re9s0fsdt"&gt;496&lt;/key&gt;&lt;/foreign-keys&gt;&lt;ref-type name="Journal Article"&gt;17&lt;/ref-type&gt;&lt;contributors&gt;&lt;authors&gt;&lt;author&gt;Grunwald, Ernest&lt;/author&gt;&lt;author&gt;Steel, Colin&lt;/author&gt;&lt;/authors&gt;&lt;/contributors&gt;&lt;titles&gt;&lt;title&gt;Solvent reorganization and thermodynamic enthalpy-entropy compensation&lt;/title&gt;&lt;secondary-title&gt;J Am Chem Soc&lt;/secondary-title&gt;&lt;/titles&gt;&lt;periodical&gt;&lt;full-title&gt;J Am Chem Soc&lt;/full-title&gt;&lt;abbr-1&gt;Journal of the American Chemical Society&lt;/abbr-1&gt;&lt;/periodical&gt;&lt;pages&gt;5687-5692&lt;/pages&gt;&lt;volume&gt;117&lt;/volume&gt;&lt;number&gt;21&lt;/number&gt;&lt;dates&gt;&lt;year&gt;1995&lt;/year&gt;&lt;/dates&gt;&lt;isbn&gt;0002-7863&lt;/isbn&gt;&lt;urls&gt;&lt;/urls&gt;&lt;/record&gt;&lt;/Cite&gt;&lt;/EndNote&gt;</w:instrText>
        </w:r>
        <w:r w:rsidR="00512D09" w:rsidRPr="00906C83">
          <w:rPr>
            <w:bCs/>
          </w:rPr>
          <w:fldChar w:fldCharType="separate"/>
        </w:r>
        <w:r w:rsidR="00512D09" w:rsidRPr="00E30C0B">
          <w:rPr>
            <w:bCs/>
            <w:noProof/>
            <w:vertAlign w:val="superscript"/>
          </w:rPr>
          <w:t>14</w:t>
        </w:r>
        <w:r w:rsidR="00512D09" w:rsidRPr="00906C83">
          <w:rPr>
            <w:bCs/>
          </w:rPr>
          <w:fldChar w:fldCharType="end"/>
        </w:r>
      </w:hyperlink>
      <w:r w:rsidRPr="00906C83">
        <w:rPr>
          <w:bCs/>
        </w:rPr>
        <w:t xml:space="preserve">  Leffler found empirically that changes</w:t>
      </w:r>
      <w:r>
        <w:rPr>
          <w:bCs/>
        </w:rPr>
        <w:t xml:space="preserve"> in </w:t>
      </w:r>
      <w:r w:rsidR="00B4195C" w:rsidRPr="001D171F">
        <w:rPr>
          <w:rFonts w:eastAsiaTheme="minorEastAsia"/>
        </w:rPr>
        <w:t>Δ</w:t>
      </w:r>
      <w:r w:rsidR="00B4195C">
        <w:rPr>
          <w:rFonts w:eastAsiaTheme="minorEastAsia"/>
          <w:i/>
        </w:rPr>
        <w:t xml:space="preserve">H </w:t>
      </w:r>
      <w:r>
        <w:rPr>
          <w:bCs/>
        </w:rPr>
        <w:t xml:space="preserve">corresponded to changes in </w:t>
      </w:r>
      <w:r w:rsidR="00B4195C" w:rsidRPr="001D171F">
        <w:rPr>
          <w:rFonts w:eastAsiaTheme="minorEastAsia"/>
        </w:rPr>
        <w:t>Δ</w:t>
      </w:r>
      <w:r w:rsidR="00B4195C">
        <w:rPr>
          <w:rFonts w:eastAsiaTheme="minorEastAsia"/>
          <w:i/>
        </w:rPr>
        <w:t>S</w:t>
      </w:r>
      <w:r w:rsidRPr="00906C83">
        <w:rPr>
          <w:bCs/>
        </w:rPr>
        <w:t xml:space="preserve">. Leffler discerned the equation  </w:t>
      </w:r>
      <w:r w:rsidRPr="00906C83">
        <w:rPr>
          <w:bCs/>
          <w:i/>
          <w:lang w:val="el-GR"/>
        </w:rPr>
        <w:t>Δ</w:t>
      </w:r>
      <w:r w:rsidRPr="00906C83">
        <w:rPr>
          <w:bCs/>
          <w:i/>
        </w:rPr>
        <w:t>H</w:t>
      </w:r>
      <w:r w:rsidRPr="00906C83">
        <w:rPr>
          <w:bCs/>
        </w:rPr>
        <w:t xml:space="preserve"> = β·</w:t>
      </w:r>
      <w:r w:rsidRPr="002764A1">
        <w:rPr>
          <w:bCs/>
          <w:lang w:val="el-GR"/>
        </w:rPr>
        <w:t>Δ</w:t>
      </w:r>
      <w:r w:rsidRPr="00906C83">
        <w:rPr>
          <w:bCs/>
          <w:i/>
        </w:rPr>
        <w:t xml:space="preserve">S </w:t>
      </w:r>
      <w:r w:rsidRPr="00906C83">
        <w:rPr>
          <w:bCs/>
        </w:rPr>
        <w:t>where β has dimensions of temperature often known as the compensation temperature</w:t>
      </w:r>
      <w:r>
        <w:rPr>
          <w:bCs/>
        </w:rPr>
        <w:t>.</w:t>
      </w:r>
      <w:r w:rsidR="0075172E" w:rsidRPr="00906C83">
        <w:rPr>
          <w:bCs/>
        </w:rPr>
        <w:fldChar w:fldCharType="begin"/>
      </w:r>
      <w:r w:rsidR="00F80CAD">
        <w:rPr>
          <w:bCs/>
        </w:rPr>
        <w:instrText xml:space="preserve"> ADDIN EN.CITE &lt;EndNote&gt;&lt;Cite&gt;&lt;Author&gt;Leffler&lt;/Author&gt;&lt;Year&gt;1955&lt;/Year&gt;&lt;RecNum&gt;497&lt;/RecNum&gt;&lt;DisplayText&gt;&lt;style face="superscript"&gt;90,91&lt;/style&gt;&lt;/DisplayText&gt;&lt;record&gt;&lt;rec-number&gt;497&lt;/rec-number&gt;&lt;foreign-keys&gt;&lt;key app="EN" db-id="5trrespwzsdr07efd5tx2w96x22re9s0fsdt"&gt;497&lt;/key&gt;&lt;/foreign-keys&gt;&lt;ref-type name="Journal Article"&gt;17&lt;/ref-type&gt;&lt;contributors&gt;&lt;authors&gt;&lt;author&gt;Leffler, J. E.&lt;/author&gt;&lt;/authors&gt;&lt;/contributors&gt;&lt;titles&gt;&lt;title&gt;The Enthalpy-Entropy Relationship and Its Implications for Organic Chemistry&lt;/title&gt;&lt;secondary-title&gt;Journal of Organic Chemistry&lt;/secondary-title&gt;&lt;alt-title&gt;Journal of Organic Chemistry&lt;/alt-title&gt;&lt;/titles&gt;&lt;periodical&gt;&lt;full-title&gt;Journal of Organic Chemistry&lt;/full-title&gt;&lt;abbr-1&gt;Journal of Organic Chemistry&lt;/abbr-1&gt;&lt;/periodical&gt;&lt;alt-periodical&gt;&lt;full-title&gt;Journal of Organic Chemistry&lt;/full-title&gt;&lt;abbr-1&gt;Journal of Organic Chemistry&lt;/abbr-1&gt;&lt;/alt-periodical&gt;&lt;pages&gt;1202-1231&lt;/pages&gt;&lt;volume&gt;20&lt;/volume&gt;&lt;number&gt;9&lt;/number&gt;&lt;dates&gt;&lt;year&gt;1955&lt;/year&gt;&lt;pub-dates&gt;&lt;date&gt;1955/09/01&lt;/date&gt;&lt;/pub-dates&gt;&lt;/dates&gt;&lt;publisher&gt;American Chemical Society&lt;/publisher&gt;&lt;isbn&gt;0022-3263&lt;/isbn&gt;&lt;accession-num&gt;ISI:A1955WX72200009&lt;/accession-num&gt;&lt;urls&gt;&lt;related-urls&gt;&lt;url&gt;&amp;lt;Go to ISI&amp;gt;://A1955WX72200009&lt;/url&gt;&lt;/related-urls&gt;&lt;/urls&gt;&lt;electronic-resource-num&gt;Doi 10.1021/Jo01126a009&lt;/electronic-resource-num&gt;&lt;language&gt;English&lt;/language&gt;&lt;access-date&gt;2014/12/15&lt;/access-date&gt;&lt;/record&gt;&lt;/Cite&gt;&lt;Cite&gt;&lt;Author&gt;Sharp&lt;/Author&gt;&lt;Year&gt;2001&lt;/Year&gt;&lt;RecNum&gt;466&lt;/RecNum&gt;&lt;record&gt;&lt;rec-number&gt;466&lt;/rec-number&gt;&lt;foreign-keys&gt;&lt;key app="EN" db-id="5trrespwzsdr07efd5tx2w96x22re9s0fsdt"&gt;466&lt;/key&gt;&lt;/foreign-keys&gt;&lt;ref-type name="Journal Article"&gt;17&lt;/ref-type&gt;&lt;contributors&gt;&lt;authors&gt;&lt;author&gt;Sharp, Kim&lt;/author&gt;&lt;/authors&gt;&lt;/contributors&gt;&lt;titles&gt;&lt;title&gt;Entropy—enthalpy compensation: Fact or artifact?&lt;/title&gt;&lt;secondary-title&gt;Protein Science&lt;/secondary-title&gt;&lt;/titles&gt;&lt;periodical&gt;&lt;full-title&gt;Protein Science&lt;/full-title&gt;&lt;/periodical&gt;&lt;pages&gt;661-667&lt;/pages&gt;&lt;volume&gt;10&lt;/volume&gt;&lt;number&gt;3&lt;/number&gt;&lt;dates&gt;&lt;year&gt;2001&lt;/year&gt;&lt;/dates&gt;&lt;isbn&gt;1469-896X&lt;/isbn&gt;&lt;urls&gt;&lt;/urls&gt;&lt;/record&gt;&lt;/Cite&gt;&lt;/EndNote&gt;</w:instrText>
      </w:r>
      <w:r w:rsidR="0075172E" w:rsidRPr="00906C83">
        <w:rPr>
          <w:bCs/>
        </w:rPr>
        <w:fldChar w:fldCharType="separate"/>
      </w:r>
      <w:hyperlink w:anchor="_ENREF_90" w:tooltip="Sharp, 2001 #466" w:history="1">
        <w:r w:rsidR="00512D09" w:rsidRPr="00F80CAD">
          <w:rPr>
            <w:bCs/>
            <w:noProof/>
            <w:vertAlign w:val="superscript"/>
          </w:rPr>
          <w:t>90</w:t>
        </w:r>
      </w:hyperlink>
      <w:r w:rsidR="00F80CAD" w:rsidRPr="00F80CAD">
        <w:rPr>
          <w:bCs/>
          <w:noProof/>
          <w:vertAlign w:val="superscript"/>
        </w:rPr>
        <w:t>,</w:t>
      </w:r>
      <w:hyperlink w:anchor="_ENREF_91" w:tooltip="Leffler, 1955 #497" w:history="1">
        <w:r w:rsidR="00512D09" w:rsidRPr="00F80CAD">
          <w:rPr>
            <w:bCs/>
            <w:noProof/>
            <w:vertAlign w:val="superscript"/>
          </w:rPr>
          <w:t>91</w:t>
        </w:r>
      </w:hyperlink>
      <w:r w:rsidR="0075172E" w:rsidRPr="00906C83">
        <w:rPr>
          <w:bCs/>
        </w:rPr>
        <w:fldChar w:fldCharType="end"/>
      </w:r>
      <w:r w:rsidR="00480BC7">
        <w:rPr>
          <w:bCs/>
        </w:rPr>
        <w:t xml:space="preserve"> </w:t>
      </w:r>
      <w:r w:rsidRPr="00906C83">
        <w:rPr>
          <w:bCs/>
        </w:rPr>
        <w:t xml:space="preserve">If the data is not </w:t>
      </w:r>
      <w:r w:rsidRPr="00906C83">
        <w:rPr>
          <w:bCs/>
        </w:rPr>
        <w:lastRenderedPageBreak/>
        <w:t xml:space="preserve">erroneous then at a single temperature the </w:t>
      </w:r>
      <w:r w:rsidR="00B4195C" w:rsidRPr="001D171F">
        <w:rPr>
          <w:rFonts w:eastAsiaTheme="minorEastAsia"/>
        </w:rPr>
        <w:t>Δ</w:t>
      </w:r>
      <w:r w:rsidR="00B4195C">
        <w:rPr>
          <w:rFonts w:eastAsiaTheme="minorEastAsia"/>
          <w:i/>
        </w:rPr>
        <w:t>H</w:t>
      </w:r>
      <w:r w:rsidR="00B4195C" w:rsidRPr="00906C83">
        <w:rPr>
          <w:bCs/>
        </w:rPr>
        <w:t xml:space="preserve"> </w:t>
      </w:r>
      <w:r w:rsidRPr="00906C83">
        <w:rPr>
          <w:bCs/>
        </w:rPr>
        <w:t xml:space="preserve">of water reorganisation is equal to the </w:t>
      </w:r>
      <w:r w:rsidR="00B4195C" w:rsidRPr="001D171F">
        <w:rPr>
          <w:rFonts w:eastAsiaTheme="minorEastAsia"/>
        </w:rPr>
        <w:t>Δ</w:t>
      </w:r>
      <w:r w:rsidR="00B4195C">
        <w:rPr>
          <w:rFonts w:eastAsiaTheme="minorEastAsia"/>
          <w:i/>
        </w:rPr>
        <w:t>S</w:t>
      </w:r>
      <w:r w:rsidR="00B4195C">
        <w:rPr>
          <w:bCs/>
        </w:rPr>
        <w:t xml:space="preserve"> </w:t>
      </w:r>
      <w:r>
        <w:rPr>
          <w:bCs/>
        </w:rPr>
        <w:t>of</w:t>
      </w:r>
      <w:r w:rsidRPr="00906C83">
        <w:rPr>
          <w:bCs/>
        </w:rPr>
        <w:t xml:space="preserve"> water reorganisation. If the reaction is performed at a temperature beyond the compensation temperature then the relationship is invalidated by changes in </w:t>
      </w:r>
      <w:r w:rsidR="00B4195C" w:rsidRPr="001D171F">
        <w:rPr>
          <w:rFonts w:eastAsiaTheme="minorEastAsia"/>
        </w:rPr>
        <w:t>Δ</w:t>
      </w:r>
      <w:r w:rsidR="00B4195C">
        <w:rPr>
          <w:rFonts w:eastAsiaTheme="minorEastAsia"/>
          <w:i/>
        </w:rPr>
        <w:t>H</w:t>
      </w:r>
      <w:r w:rsidR="00B4195C" w:rsidRPr="00906C83">
        <w:rPr>
          <w:bCs/>
        </w:rPr>
        <w:t xml:space="preserve"> </w:t>
      </w:r>
      <w:r w:rsidRPr="00906C83">
        <w:rPr>
          <w:bCs/>
        </w:rPr>
        <w:t>with temperature</w:t>
      </w:r>
      <w:r>
        <w:rPr>
          <w:bCs/>
        </w:rPr>
        <w:t>.</w:t>
      </w:r>
      <w:r w:rsidR="0075172E" w:rsidRPr="00906C83">
        <w:rPr>
          <w:bCs/>
        </w:rPr>
        <w:fldChar w:fldCharType="begin"/>
      </w:r>
      <w:r w:rsidR="00F80CAD">
        <w:rPr>
          <w:bCs/>
        </w:rPr>
        <w:instrText xml:space="preserve"> ADDIN EN.CITE &lt;EndNote&gt;&lt;Cite&gt;&lt;Author&gt;Leffler&lt;/Author&gt;&lt;Year&gt;1955&lt;/Year&gt;&lt;RecNum&gt;497&lt;/RecNum&gt;&lt;DisplayText&gt;&lt;style face="superscript"&gt;90,91&lt;/style&gt;&lt;/DisplayText&gt;&lt;record&gt;&lt;rec-number&gt;497&lt;/rec-number&gt;&lt;foreign-keys&gt;&lt;key app="EN" db-id="5trrespwzsdr07efd5tx2w96x22re9s0fsdt"&gt;497&lt;/key&gt;&lt;/foreign-keys&gt;&lt;ref-type name="Journal Article"&gt;17&lt;/ref-type&gt;&lt;contributors&gt;&lt;authors&gt;&lt;author&gt;Leffler, J. E.&lt;/author&gt;&lt;/authors&gt;&lt;/contributors&gt;&lt;titles&gt;&lt;title&gt;The Enthalpy-Entropy Relationship and Its Implications for Organic Chemistry&lt;/title&gt;&lt;secondary-title&gt;Journal of Organic Chemistry&lt;/secondary-title&gt;&lt;alt-title&gt;Journal of Organic Chemistry&lt;/alt-title&gt;&lt;/titles&gt;&lt;periodical&gt;&lt;full-title&gt;Journal of Organic Chemistry&lt;/full-title&gt;&lt;abbr-1&gt;Journal of Organic Chemistry&lt;/abbr-1&gt;&lt;/periodical&gt;&lt;alt-periodical&gt;&lt;full-title&gt;Journal of Organic Chemistry&lt;/full-title&gt;&lt;abbr-1&gt;Journal of Organic Chemistry&lt;/abbr-1&gt;&lt;/alt-periodical&gt;&lt;pages&gt;1202-1231&lt;/pages&gt;&lt;volume&gt;20&lt;/volume&gt;&lt;number&gt;9&lt;/number&gt;&lt;dates&gt;&lt;year&gt;1955&lt;/year&gt;&lt;pub-dates&gt;&lt;date&gt;1955/09/01&lt;/date&gt;&lt;/pub-dates&gt;&lt;/dates&gt;&lt;publisher&gt;American Chemical Society&lt;/publisher&gt;&lt;isbn&gt;0022-3263&lt;/isbn&gt;&lt;accession-num&gt;ISI:A1955WX72200009&lt;/accession-num&gt;&lt;urls&gt;&lt;related-urls&gt;&lt;url&gt;&amp;lt;Go to ISI&amp;gt;://A1955WX72200009&lt;/url&gt;&lt;/related-urls&gt;&lt;/urls&gt;&lt;electronic-resource-num&gt;Doi 10.1021/Jo01126a009&lt;/electronic-resource-num&gt;&lt;language&gt;English&lt;/language&gt;&lt;access-date&gt;2014/12/15&lt;/access-date&gt;&lt;/record&gt;&lt;/Cite&gt;&lt;Cite&gt;&lt;Author&gt;Sharp&lt;/Author&gt;&lt;Year&gt;2001&lt;/Year&gt;&lt;RecNum&gt;466&lt;/RecNum&gt;&lt;record&gt;&lt;rec-number&gt;466&lt;/rec-number&gt;&lt;foreign-keys&gt;&lt;key app="EN" db-id="5trrespwzsdr07efd5tx2w96x22re9s0fsdt"&gt;466&lt;/key&gt;&lt;/foreign-keys&gt;&lt;ref-type name="Journal Article"&gt;17&lt;/ref-type&gt;&lt;contributors&gt;&lt;authors&gt;&lt;author&gt;Sharp, Kim&lt;/author&gt;&lt;/authors&gt;&lt;/contributors&gt;&lt;titles&gt;&lt;title&gt;Entropy—enthalpy compensation: Fact or artifact?&lt;/title&gt;&lt;secondary-title&gt;Protein Science&lt;/secondary-title&gt;&lt;/titles&gt;&lt;periodical&gt;&lt;full-title&gt;Protein Science&lt;/full-title&gt;&lt;/periodical&gt;&lt;pages&gt;661-667&lt;/pages&gt;&lt;volume&gt;10&lt;/volume&gt;&lt;number&gt;3&lt;/number&gt;&lt;dates&gt;&lt;year&gt;2001&lt;/year&gt;&lt;/dates&gt;&lt;isbn&gt;1469-896X&lt;/isbn&gt;&lt;urls&gt;&lt;/urls&gt;&lt;/record&gt;&lt;/Cite&gt;&lt;/EndNote&gt;</w:instrText>
      </w:r>
      <w:r w:rsidR="0075172E" w:rsidRPr="00906C83">
        <w:rPr>
          <w:bCs/>
        </w:rPr>
        <w:fldChar w:fldCharType="separate"/>
      </w:r>
      <w:hyperlink w:anchor="_ENREF_90" w:tooltip="Sharp, 2001 #466" w:history="1">
        <w:r w:rsidR="00512D09" w:rsidRPr="00F80CAD">
          <w:rPr>
            <w:bCs/>
            <w:noProof/>
            <w:vertAlign w:val="superscript"/>
          </w:rPr>
          <w:t>90</w:t>
        </w:r>
      </w:hyperlink>
      <w:r w:rsidR="00F80CAD" w:rsidRPr="00F80CAD">
        <w:rPr>
          <w:bCs/>
          <w:noProof/>
          <w:vertAlign w:val="superscript"/>
        </w:rPr>
        <w:t>,</w:t>
      </w:r>
      <w:hyperlink w:anchor="_ENREF_91" w:tooltip="Leffler, 1955 #497" w:history="1">
        <w:r w:rsidR="00512D09" w:rsidRPr="00F80CAD">
          <w:rPr>
            <w:bCs/>
            <w:noProof/>
            <w:vertAlign w:val="superscript"/>
          </w:rPr>
          <w:t>91</w:t>
        </w:r>
      </w:hyperlink>
      <w:r w:rsidR="0075172E" w:rsidRPr="00906C83">
        <w:rPr>
          <w:bCs/>
        </w:rPr>
        <w:fldChar w:fldCharType="end"/>
      </w:r>
      <w:r w:rsidRPr="00906C83">
        <w:rPr>
          <w:bCs/>
        </w:rPr>
        <w:t xml:space="preserve"> When the titrations are performed at 10</w:t>
      </w:r>
      <w:r w:rsidR="006F2757">
        <w:rPr>
          <w:bCs/>
        </w:rPr>
        <w:t xml:space="preserve"> </w:t>
      </w:r>
      <w:r w:rsidRPr="00906C83">
        <w:rPr>
          <w:bCs/>
        </w:rPr>
        <w:t xml:space="preserve">°C there is a favourable increase in </w:t>
      </w:r>
      <w:r w:rsidR="00B4195C" w:rsidRPr="001D171F">
        <w:rPr>
          <w:rFonts w:eastAsiaTheme="minorEastAsia"/>
        </w:rPr>
        <w:t>Δ</w:t>
      </w:r>
      <w:r w:rsidR="00B4195C">
        <w:rPr>
          <w:rFonts w:eastAsiaTheme="minorEastAsia"/>
          <w:i/>
        </w:rPr>
        <w:t>H</w:t>
      </w:r>
      <w:r w:rsidR="00B4195C" w:rsidRPr="00906C83">
        <w:rPr>
          <w:bCs/>
        </w:rPr>
        <w:t xml:space="preserve"> </w:t>
      </w:r>
      <w:r w:rsidRPr="00906C83">
        <w:rPr>
          <w:bCs/>
        </w:rPr>
        <w:t>in comparison to the titration performed at 25</w:t>
      </w:r>
      <w:r w:rsidR="006F2757">
        <w:rPr>
          <w:bCs/>
        </w:rPr>
        <w:t xml:space="preserve"> </w:t>
      </w:r>
      <w:r w:rsidRPr="00906C83">
        <w:rPr>
          <w:bCs/>
        </w:rPr>
        <w:t>°C. Increasing the temperature from 25 to 35</w:t>
      </w:r>
      <w:r w:rsidR="006F2757">
        <w:rPr>
          <w:bCs/>
        </w:rPr>
        <w:t xml:space="preserve"> </w:t>
      </w:r>
      <w:r w:rsidRPr="00906C83">
        <w:rPr>
          <w:bCs/>
        </w:rPr>
        <w:t>°C does not seem to change the shape of the binding isotherm</w:t>
      </w:r>
      <w:r>
        <w:rPr>
          <w:bCs/>
        </w:rPr>
        <w:t>, in the sense that another curve is produced,</w:t>
      </w:r>
      <w:r w:rsidRPr="00906C83">
        <w:rPr>
          <w:bCs/>
        </w:rPr>
        <w:t xml:space="preserve"> indicating that at these temperatures th</w:t>
      </w:r>
      <w:r>
        <w:rPr>
          <w:bCs/>
        </w:rPr>
        <w:t xml:space="preserve">e </w:t>
      </w:r>
      <w:r w:rsidR="00B4195C" w:rsidRPr="001D171F">
        <w:rPr>
          <w:rFonts w:eastAsiaTheme="minorEastAsia"/>
        </w:rPr>
        <w:t>Δ</w:t>
      </w:r>
      <w:r w:rsidR="00B4195C">
        <w:rPr>
          <w:rFonts w:eastAsiaTheme="minorEastAsia"/>
          <w:i/>
        </w:rPr>
        <w:t xml:space="preserve">H </w:t>
      </w:r>
      <w:r w:rsidRPr="00906C83">
        <w:rPr>
          <w:bCs/>
        </w:rPr>
        <w:t xml:space="preserve">corresponds to </w:t>
      </w:r>
      <w:r>
        <w:rPr>
          <w:bCs/>
        </w:rPr>
        <w:t xml:space="preserve">the </w:t>
      </w:r>
      <w:r w:rsidR="00B4195C" w:rsidRPr="001D171F">
        <w:rPr>
          <w:rFonts w:eastAsiaTheme="minorEastAsia"/>
        </w:rPr>
        <w:t>Δ</w:t>
      </w:r>
      <w:r w:rsidR="00B4195C">
        <w:rPr>
          <w:rFonts w:eastAsiaTheme="minorEastAsia"/>
          <w:i/>
        </w:rPr>
        <w:t>S</w:t>
      </w:r>
      <w:r>
        <w:rPr>
          <w:bCs/>
        </w:rPr>
        <w:t xml:space="preserve">. </w:t>
      </w:r>
      <w:r w:rsidRPr="00906C83">
        <w:rPr>
          <w:bCs/>
          <w:i/>
        </w:rPr>
        <w:t xml:space="preserve"> </w:t>
      </w:r>
    </w:p>
    <w:p w:rsidR="000574FF" w:rsidRPr="00492A85" w:rsidRDefault="000574FF" w:rsidP="000574FF">
      <w:pPr>
        <w:spacing w:line="480" w:lineRule="auto"/>
        <w:jc w:val="both"/>
        <w:rPr>
          <w:bCs/>
        </w:rPr>
      </w:pPr>
      <w:r w:rsidRPr="00906C83">
        <w:rPr>
          <w:bCs/>
        </w:rPr>
        <w:t>Exposure of polar groups found in the interior of proteins is favoured enthalpically with increasing temperature.</w:t>
      </w:r>
      <w:hyperlink w:anchor="_ENREF_233" w:tooltip="Privalov, 1993 #565" w:history="1">
        <w:r w:rsidR="00512D09">
          <w:rPr>
            <w:bCs/>
          </w:rPr>
          <w:fldChar w:fldCharType="begin"/>
        </w:r>
        <w:r w:rsidR="00512D09">
          <w:rPr>
            <w:bCs/>
          </w:rPr>
          <w:instrText xml:space="preserve"> ADDIN EN.CITE &lt;EndNote&gt;&lt;Cite&gt;&lt;Author&gt;Privalov&lt;/Author&gt;&lt;Year&gt;1993&lt;/Year&gt;&lt;RecNum&gt;565&lt;/RecNum&gt;&lt;DisplayText&gt;&lt;style face="superscript"&gt;233&lt;/style&gt;&lt;/DisplayText&gt;&lt;record&gt;&lt;rec-number&gt;565&lt;/rec-number&gt;&lt;foreign-keys&gt;&lt;key app="EN" db-id="5trrespwzsdr07efd5tx2w96x22re9s0fsdt"&gt;565&lt;/key&gt;&lt;/foreign-keys&gt;&lt;ref-type name="Journal Article"&gt;17&lt;/ref-type&gt;&lt;contributors&gt;&lt;authors&gt;&lt;author&gt;Privalov, Peter L.&lt;/author&gt;&lt;author&gt;Makhatadze, George I.&lt;/author&gt;&lt;/authors&gt;&lt;/contributors&gt;&lt;titles&gt;&lt;title&gt;Contribution of Hydration to Protein Folding Thermodynamics: II. The Entropy and Gibbs Energy of Hydration&lt;/title&gt;&lt;secondary-title&gt;Journal of Molecular Biology&lt;/secondary-title&gt;&lt;/titles&gt;&lt;periodical&gt;&lt;full-title&gt;Journal of Molecular Biology&lt;/full-title&gt;&lt;/periodical&gt;&lt;pages&gt;660-679&lt;/pages&gt;&lt;volume&gt;232&lt;/volume&gt;&lt;number&gt;2&lt;/number&gt;&lt;keywords&gt;&lt;keyword&gt;protein&lt;/keyword&gt;&lt;keyword&gt;unfolding&lt;/keyword&gt;&lt;keyword&gt;hydration&lt;/keyword&gt;&lt;keyword&gt;entropy&lt;/keyword&gt;&lt;keyword&gt;energy&lt;/keyword&gt;&lt;/keywords&gt;&lt;dates&gt;&lt;year&gt;1993&lt;/year&gt;&lt;/dates&gt;&lt;isbn&gt;0022-2836&lt;/isbn&gt;&lt;urls&gt;&lt;related-urls&gt;&lt;url&gt;http://www.sciencedirect.com/science/article/pii/S0022283683714178&lt;/url&gt;&lt;/related-urls&gt;&lt;/urls&gt;&lt;electronic-resource-num&gt;http://dx.doi.org/10.1006/jmbi.1993.1417&lt;/electronic-resource-num&gt;&lt;/record&gt;&lt;/Cite&gt;&lt;/EndNote&gt;</w:instrText>
        </w:r>
        <w:r w:rsidR="00512D09">
          <w:rPr>
            <w:bCs/>
          </w:rPr>
          <w:fldChar w:fldCharType="separate"/>
        </w:r>
        <w:r w:rsidR="00512D09" w:rsidRPr="006421D1">
          <w:rPr>
            <w:bCs/>
            <w:noProof/>
            <w:vertAlign w:val="superscript"/>
          </w:rPr>
          <w:t>233</w:t>
        </w:r>
        <w:r w:rsidR="00512D09">
          <w:rPr>
            <w:bCs/>
          </w:rPr>
          <w:fldChar w:fldCharType="end"/>
        </w:r>
      </w:hyperlink>
      <w:r w:rsidRPr="00906C83">
        <w:rPr>
          <w:bCs/>
        </w:rPr>
        <w:t xml:space="preserve"> Mechanistically, this is due polar groups making stronger interactions with water </w:t>
      </w:r>
      <w:r w:rsidR="005A06A3">
        <w:rPr>
          <w:bCs/>
        </w:rPr>
        <w:t xml:space="preserve">than with each other. Therefore, </w:t>
      </w:r>
      <w:r w:rsidRPr="00906C83">
        <w:rPr>
          <w:bCs/>
        </w:rPr>
        <w:t>hydrogen bonding between tannins and proteins would become stronger with decreasing temperature. It seems that at 25</w:t>
      </w:r>
      <w:r w:rsidR="006F2757">
        <w:rPr>
          <w:bCs/>
        </w:rPr>
        <w:t xml:space="preserve"> </w:t>
      </w:r>
      <w:r w:rsidRPr="00906C83">
        <w:rPr>
          <w:bCs/>
        </w:rPr>
        <w:t>°C the enthalpic penalty paid to break the hydration layers around the polar groups required to form solute-solute hydrogen bonds overrides the exothermicity of the interactions producing the upward curvature on the binding isotherm. It seems that water cannot compensate all the numerous binding interactions leading to two distinct curvatures on the binding isotherm. Consequently, entropy-enthalpy compensation does not exist</w:t>
      </w:r>
      <w:r>
        <w:rPr>
          <w:bCs/>
        </w:rPr>
        <w:t xml:space="preserve"> in the system presented here. </w:t>
      </w:r>
    </w:p>
    <w:p w:rsidR="000574FF" w:rsidRDefault="000D44BC" w:rsidP="00891CA2">
      <w:pPr>
        <w:pStyle w:val="Heading3"/>
      </w:pPr>
      <w:bookmarkStart w:id="129" w:name="_Toc459130708"/>
      <w:r>
        <w:t>Probing Hydrophobic Interaction with S</w:t>
      </w:r>
      <w:r w:rsidR="000574FF" w:rsidRPr="00A0777E">
        <w:t>alts</w:t>
      </w:r>
      <w:bookmarkEnd w:id="129"/>
    </w:p>
    <w:p w:rsidR="00891CA2" w:rsidRPr="00891CA2" w:rsidRDefault="00891CA2" w:rsidP="00891CA2"/>
    <w:p w:rsidR="000574FF" w:rsidRDefault="000574FF" w:rsidP="000574FF">
      <w:pPr>
        <w:spacing w:line="480" w:lineRule="auto"/>
        <w:jc w:val="both"/>
        <w:rPr>
          <w:bCs/>
          <w:iCs/>
        </w:rPr>
      </w:pPr>
      <w:r>
        <w:rPr>
          <w:bCs/>
          <w:iCs/>
        </w:rPr>
        <w:t>Hydrophobic interaction</w:t>
      </w:r>
      <w:r w:rsidRPr="002D5848">
        <w:rPr>
          <w:bCs/>
          <w:iCs/>
        </w:rPr>
        <w:t xml:space="preserve"> </w:t>
      </w:r>
      <w:r>
        <w:rPr>
          <w:bCs/>
          <w:iCs/>
        </w:rPr>
        <w:t xml:space="preserve">can be altered using salts. Salts that increase hydrophobic interaction are known as kosmotropes whilst those that decrease the hydrophobic interaction are known as chaotropes. </w:t>
      </w:r>
      <w:r w:rsidR="0075172E">
        <w:rPr>
          <w:bCs/>
          <w:iCs/>
        </w:rPr>
        <w:fldChar w:fldCharType="begin">
          <w:fldData xml:space="preserve">PEVuZE5vdGU+PENpdGU+PEF1dGhvcj5Db2xsaW5zPC9BdXRob3I+PFllYXI+MTk5NTwvWWVhcj48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==
</w:fldData>
        </w:fldChar>
      </w:r>
      <w:r w:rsidR="006421D1">
        <w:rPr>
          <w:bCs/>
          <w:iCs/>
        </w:rPr>
        <w:instrText xml:space="preserve"> ADDIN EN.CITE </w:instrText>
      </w:r>
      <w:r w:rsidR="0075172E">
        <w:rPr>
          <w:bCs/>
          <w:iCs/>
        </w:rPr>
        <w:fldChar w:fldCharType="begin">
          <w:fldData xml:space="preserve">PEVuZE5vdGU+PENpdGU+PEF1dGhvcj5Db2xsaW5zPC9BdXRob3I+PFllYXI+MTk5NTwvWWVhcj48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==
</w:fldData>
        </w:fldChar>
      </w:r>
      <w:r w:rsidR="006421D1">
        <w:rPr>
          <w:bCs/>
          <w:iCs/>
        </w:rPr>
        <w:instrText xml:space="preserve"> ADDIN EN.CITE.DATA </w:instrText>
      </w:r>
      <w:r w:rsidR="0075172E">
        <w:rPr>
          <w:bCs/>
          <w:iCs/>
        </w:rPr>
      </w:r>
      <w:r w:rsidR="0075172E">
        <w:rPr>
          <w:bCs/>
          <w:iCs/>
        </w:rPr>
        <w:fldChar w:fldCharType="end"/>
      </w:r>
      <w:r w:rsidR="0075172E">
        <w:rPr>
          <w:bCs/>
          <w:iCs/>
        </w:rPr>
      </w:r>
      <w:r w:rsidR="0075172E">
        <w:rPr>
          <w:bCs/>
          <w:iCs/>
        </w:rPr>
        <w:fldChar w:fldCharType="separate"/>
      </w:r>
      <w:hyperlink w:anchor="_ENREF_77" w:tooltip="Breslow, 1998 #472" w:history="1">
        <w:r w:rsidR="00512D09" w:rsidRPr="006421D1">
          <w:rPr>
            <w:bCs/>
            <w:iCs/>
            <w:noProof/>
            <w:vertAlign w:val="superscript"/>
          </w:rPr>
          <w:t>77</w:t>
        </w:r>
      </w:hyperlink>
      <w:r w:rsidR="006421D1" w:rsidRPr="006421D1">
        <w:rPr>
          <w:bCs/>
          <w:iCs/>
          <w:noProof/>
          <w:vertAlign w:val="superscript"/>
        </w:rPr>
        <w:t>,</w:t>
      </w:r>
      <w:hyperlink w:anchor="_ENREF_109" w:tooltip="Collins, 1995 #363" w:history="1">
        <w:r w:rsidR="00512D09" w:rsidRPr="006421D1">
          <w:rPr>
            <w:bCs/>
            <w:iCs/>
            <w:noProof/>
            <w:vertAlign w:val="superscript"/>
          </w:rPr>
          <w:t>109</w:t>
        </w:r>
      </w:hyperlink>
      <w:r w:rsidR="006421D1" w:rsidRPr="006421D1">
        <w:rPr>
          <w:bCs/>
          <w:iCs/>
          <w:noProof/>
          <w:vertAlign w:val="superscript"/>
        </w:rPr>
        <w:t>,</w:t>
      </w:r>
      <w:hyperlink w:anchor="_ENREF_234" w:tooltip="Melander, 1977 #562" w:history="1">
        <w:r w:rsidR="00512D09" w:rsidRPr="006421D1">
          <w:rPr>
            <w:bCs/>
            <w:iCs/>
            <w:noProof/>
            <w:vertAlign w:val="superscript"/>
          </w:rPr>
          <w:t>234</w:t>
        </w:r>
      </w:hyperlink>
      <w:r w:rsidR="006421D1" w:rsidRPr="006421D1">
        <w:rPr>
          <w:bCs/>
          <w:iCs/>
          <w:noProof/>
          <w:vertAlign w:val="superscript"/>
        </w:rPr>
        <w:t>,</w:t>
      </w:r>
      <w:hyperlink w:anchor="_ENREF_235" w:tooltip="Queiroz, 2001 #427" w:history="1">
        <w:r w:rsidR="00512D09" w:rsidRPr="006421D1">
          <w:rPr>
            <w:bCs/>
            <w:iCs/>
            <w:noProof/>
            <w:vertAlign w:val="superscript"/>
          </w:rPr>
          <w:t>235</w:t>
        </w:r>
      </w:hyperlink>
      <w:r w:rsidR="0075172E">
        <w:rPr>
          <w:bCs/>
          <w:iCs/>
        </w:rPr>
        <w:fldChar w:fldCharType="end"/>
      </w:r>
      <w:r>
        <w:rPr>
          <w:bCs/>
          <w:iCs/>
        </w:rPr>
        <w:t xml:space="preserve"> Fox </w:t>
      </w:r>
      <w:r w:rsidRPr="00FA00CC">
        <w:rPr>
          <w:bCs/>
          <w:i/>
          <w:iCs/>
        </w:rPr>
        <w:t>et al</w:t>
      </w:r>
      <w:r w:rsidR="00FA00CC">
        <w:rPr>
          <w:bCs/>
          <w:iCs/>
        </w:rPr>
        <w:t>.</w:t>
      </w:r>
      <w:r>
        <w:rPr>
          <w:bCs/>
          <w:iCs/>
        </w:rPr>
        <w:t xml:space="preserve"> investigated how strongly </w:t>
      </w:r>
      <w:r w:rsidRPr="0052198F">
        <w:rPr>
          <w:color w:val="000000"/>
          <w:shd w:val="clear" w:color="auto" w:fill="F4F9FD"/>
        </w:rPr>
        <w:t>Hofmeister</w:t>
      </w:r>
      <w:r w:rsidRPr="0052198F">
        <w:rPr>
          <w:rStyle w:val="apple-converted-space"/>
          <w:color w:val="000000"/>
          <w:shd w:val="clear" w:color="auto" w:fill="F4F9FD"/>
        </w:rPr>
        <w:t> </w:t>
      </w:r>
      <w:r w:rsidRPr="0052198F">
        <w:rPr>
          <w:bCs/>
          <w:iCs/>
        </w:rPr>
        <w:t>anions</w:t>
      </w:r>
      <w:r>
        <w:rPr>
          <w:bCs/>
          <w:iCs/>
        </w:rPr>
        <w:t xml:space="preserve"> associate with the binding pocket of zinc carbonic anhydrase using a competitive binding assay. The larger chaotropic anions bound endothermically with a favourable contribution from </w:t>
      </w:r>
      <w:r w:rsidR="00B4195C" w:rsidRPr="001D171F">
        <w:rPr>
          <w:rFonts w:eastAsiaTheme="minorEastAsia"/>
        </w:rPr>
        <w:t>Δ</w:t>
      </w:r>
      <w:r w:rsidR="00B4195C">
        <w:rPr>
          <w:rFonts w:eastAsiaTheme="minorEastAsia"/>
          <w:i/>
        </w:rPr>
        <w:t>S</w:t>
      </w:r>
      <w:r>
        <w:rPr>
          <w:bCs/>
          <w:iCs/>
        </w:rPr>
        <w:t xml:space="preserve">. Hydrogen carbonate, a kosmotrope, bound </w:t>
      </w:r>
      <w:r>
        <w:rPr>
          <w:bCs/>
          <w:iCs/>
        </w:rPr>
        <w:lastRenderedPageBreak/>
        <w:t>exothermically.</w:t>
      </w:r>
      <w:hyperlink w:anchor="_ENREF_236" w:tooltip="Fox, 2015 #691" w:history="1">
        <w:r w:rsidR="00512D09">
          <w:rPr>
            <w:bCs/>
            <w:iCs/>
          </w:rPr>
          <w:fldChar w:fldCharType="begin"/>
        </w:r>
        <w:r w:rsidR="00512D09">
          <w:rPr>
            <w:bCs/>
            <w:iCs/>
          </w:rPr>
          <w:instrText xml:space="preserve"> ADDIN EN.CITE &lt;EndNote&gt;&lt;Cite&gt;&lt;Author&gt;Fox&lt;/Author&gt;&lt;Year&gt;2015&lt;/Year&gt;&lt;RecNum&gt;691&lt;/RecNum&gt;&lt;DisplayText&gt;&lt;style face="superscript"&gt;236&lt;/style&gt;&lt;/DisplayText&gt;&lt;record&gt;&lt;rec-number&gt;691&lt;/rec-number&gt;&lt;foreign-keys&gt;&lt;key app="EN" db-id="5trrespwzsdr07efd5tx2w96x22re9s0fsdt"&gt;691&lt;/key&gt;&lt;/foreign-keys&gt;&lt;ref-type name="Journal Article"&gt;17&lt;/ref-type&gt;&lt;contributors&gt;&lt;authors&gt;&lt;author&gt;Fox, Jerome M.&lt;/author&gt;&lt;author&gt;Kang, Kyungtae&lt;/author&gt;&lt;author&gt;Sherman, Woody&lt;/author&gt;&lt;author&gt;Héroux, Annie&lt;/author&gt;&lt;author&gt;Sastry, G. Madhavi&lt;/author&gt;&lt;author&gt;Baghbanzadeh, Mostafa&lt;/author&gt;&lt;author&gt;Lockett, Matthew R.&lt;/author&gt;&lt;author&gt;Whitesides, George M.&lt;/author&gt;&lt;/authors&gt;&lt;/contributors&gt;&lt;titles&gt;&lt;title&gt;Interactions between Hofmeister Anions and the Binding Pocket of a Protein&lt;/title&gt;&lt;secondary-title&gt;J Am Chem Soc&lt;/secondary-title&gt;&lt;/titles&gt;&lt;periodical&gt;&lt;full-title&gt;J Am Chem Soc&lt;/full-title&gt;&lt;abbr-1&gt;Journal of the American Chemical Society&lt;/abbr-1&gt;&lt;/periodical&gt;&lt;pages&gt;3859-3866&lt;/pages&gt;&lt;volume&gt;137&lt;/volume&gt;&lt;number&gt;11&lt;/number&gt;&lt;dates&gt;&lt;year&gt;2015&lt;/year&gt;&lt;pub-dates&gt;&lt;date&gt;2015/03/25&lt;/date&gt;&lt;/pub-dates&gt;&lt;/dates&gt;&lt;publisher&gt;American Chemical Society&lt;/publisher&gt;&lt;isbn&gt;0002-7863&lt;/isbn&gt;&lt;urls&gt;&lt;related-urls&gt;&lt;url&gt;http://dx.doi.org/10.1021/jacs.5b00187&lt;/url&gt;&lt;/related-urls&gt;&lt;/urls&gt;&lt;electronic-resource-num&gt;10.1021/jacs.5b00187&lt;/electronic-resource-num&gt;&lt;/record&gt;&lt;/Cite&gt;&lt;/EndNote&gt;</w:instrText>
        </w:r>
        <w:r w:rsidR="00512D09">
          <w:rPr>
            <w:bCs/>
            <w:iCs/>
          </w:rPr>
          <w:fldChar w:fldCharType="separate"/>
        </w:r>
        <w:r w:rsidR="00512D09" w:rsidRPr="006421D1">
          <w:rPr>
            <w:bCs/>
            <w:iCs/>
            <w:noProof/>
            <w:vertAlign w:val="superscript"/>
          </w:rPr>
          <w:t>236</w:t>
        </w:r>
        <w:r w:rsidR="00512D09">
          <w:rPr>
            <w:bCs/>
            <w:iCs/>
          </w:rPr>
          <w:fldChar w:fldCharType="end"/>
        </w:r>
      </w:hyperlink>
      <w:r>
        <w:rPr>
          <w:bCs/>
          <w:iCs/>
        </w:rPr>
        <w:t xml:space="preserve"> This is also supported by the work by Boncina </w:t>
      </w:r>
      <w:r w:rsidRPr="00A325E1">
        <w:rPr>
          <w:bCs/>
          <w:i/>
          <w:iCs/>
        </w:rPr>
        <w:t>et al</w:t>
      </w:r>
      <w:r w:rsidR="00A325E1">
        <w:rPr>
          <w:bCs/>
          <w:i/>
          <w:iCs/>
        </w:rPr>
        <w:t>.</w:t>
      </w:r>
      <w:r>
        <w:rPr>
          <w:bCs/>
          <w:iCs/>
        </w:rPr>
        <w:t xml:space="preserve"> who identified chaotropes bound to lysozyme exothermically.</w:t>
      </w:r>
      <w:hyperlink w:anchor="_ENREF_237" w:tooltip="Bončina, 2010 #692" w:history="1">
        <w:r w:rsidR="00512D09">
          <w:rPr>
            <w:bCs/>
            <w:iCs/>
          </w:rPr>
          <w:fldChar w:fldCharType="begin"/>
        </w:r>
        <w:r w:rsidR="00512D09">
          <w:rPr>
            <w:bCs/>
            <w:iCs/>
          </w:rPr>
          <w:instrText xml:space="preserve"> ADDIN EN.CITE &lt;EndNote&gt;&lt;Cite&gt;&lt;Author&gt;Bončina&lt;/Author&gt;&lt;Year&gt;2010&lt;/Year&gt;&lt;RecNum&gt;692&lt;/RecNum&gt;&lt;DisplayText&gt;&lt;style face="superscript"&gt;237&lt;/style&gt;&lt;/DisplayText&gt;&lt;record&gt;&lt;rec-number&gt;692&lt;/rec-number&gt;&lt;foreign-keys&gt;&lt;key app="EN" db-id="5trrespwzsdr07efd5tx2w96x22re9s0fsdt"&gt;692&lt;/key&gt;&lt;/foreign-keys&gt;&lt;ref-type name="Journal Article"&gt;17&lt;/ref-type&gt;&lt;contributors&gt;&lt;authors&gt;&lt;author&gt;Bončina, Matjaž&lt;/author&gt;&lt;author&gt;Lah, Jurij&lt;/author&gt;&lt;author&gt;Reščič, Jurij&lt;/author&gt;&lt;author&gt;Vlachy, Vojko&lt;/author&gt;&lt;/authors&gt;&lt;/contributors&gt;&lt;titles&gt;&lt;title&gt;Thermodynamics of the Lysozyme−Salt Interaction from Calorimetric Titrations&lt;/title&gt;&lt;secondary-title&gt;The Journal of Physical Chemistry B&lt;/secondary-title&gt;&lt;/titles&gt;&lt;periodical&gt;&lt;full-title&gt;The Journal of Physical Chemistry B&lt;/full-title&gt;&lt;/periodical&gt;&lt;pages&gt;4313-4319&lt;/pages&gt;&lt;volume&gt;114&lt;/volume&gt;&lt;number&gt;12&lt;/number&gt;&lt;dates&gt;&lt;year&gt;2010&lt;/year&gt;&lt;pub-dates&gt;&lt;date&gt;2010/04/01&lt;/date&gt;&lt;/pub-dates&gt;&lt;/dates&gt;&lt;publisher&gt;American Chemical Society&lt;/publisher&gt;&lt;isbn&gt;1520-6106&lt;/isbn&gt;&lt;urls&gt;&lt;related-urls&gt;&lt;url&gt;http://dx.doi.org/10.1021/jp9071845&lt;/url&gt;&lt;/related-urls&gt;&lt;/urls&gt;&lt;electronic-resource-num&gt;10.1021/jp9071845&lt;/electronic-resource-num&gt;&lt;/record&gt;&lt;/Cite&gt;&lt;/EndNote&gt;</w:instrText>
        </w:r>
        <w:r w:rsidR="00512D09">
          <w:rPr>
            <w:bCs/>
            <w:iCs/>
          </w:rPr>
          <w:fldChar w:fldCharType="separate"/>
        </w:r>
        <w:r w:rsidR="00512D09" w:rsidRPr="006421D1">
          <w:rPr>
            <w:bCs/>
            <w:iCs/>
            <w:noProof/>
            <w:vertAlign w:val="superscript"/>
          </w:rPr>
          <w:t>237</w:t>
        </w:r>
        <w:r w:rsidR="00512D09">
          <w:rPr>
            <w:bCs/>
            <w:iCs/>
          </w:rPr>
          <w:fldChar w:fldCharType="end"/>
        </w:r>
      </w:hyperlink>
      <w:r>
        <w:rPr>
          <w:bCs/>
          <w:iCs/>
        </w:rPr>
        <w:t xml:space="preserve"> Based on this it was expected that the chaotropes would make the interaction less exothermic, whilst kosmotropes would make the interaction more exothermic. To test this, 6 mM octonate was titrated into 300 µM BSA in 20 mM phosphate buffer at pH 7.2 with either 50 mM sodium thiocyanate or sodium sulphate. </w:t>
      </w:r>
      <w:r w:rsidR="00FD74FF">
        <w:rPr>
          <w:bCs/>
          <w:iCs/>
        </w:rPr>
        <w:t>The interaction was exothermic,</w:t>
      </w:r>
      <w:r w:rsidR="00BB7AEA">
        <w:rPr>
          <w:bCs/>
          <w:iCs/>
        </w:rPr>
        <w:t xml:space="preserve"> but due to the weak nature of the association gave a shallow binding isotherm (</w:t>
      </w:r>
      <w:r w:rsidR="0075172E">
        <w:rPr>
          <w:bCs/>
          <w:iCs/>
        </w:rPr>
        <w:fldChar w:fldCharType="begin"/>
      </w:r>
      <w:r w:rsidR="00B4195C">
        <w:rPr>
          <w:bCs/>
          <w:iCs/>
        </w:rPr>
        <w:instrText xml:space="preserve"> REF _Ref456877197 \h </w:instrText>
      </w:r>
      <w:r w:rsidR="0075172E">
        <w:rPr>
          <w:bCs/>
          <w:iCs/>
        </w:rPr>
      </w:r>
      <w:r w:rsidR="0075172E">
        <w:rPr>
          <w:bCs/>
          <w:iCs/>
        </w:rPr>
        <w:fldChar w:fldCharType="separate"/>
      </w:r>
      <w:r w:rsidR="00B4195C">
        <w:rPr>
          <w:bCs/>
          <w:iCs/>
        </w:rPr>
        <w:t xml:space="preserve">Figure </w:t>
      </w:r>
      <w:r w:rsidR="00B4195C">
        <w:rPr>
          <w:bCs/>
          <w:iCs/>
          <w:noProof/>
        </w:rPr>
        <w:t>3</w:t>
      </w:r>
      <w:r w:rsidR="00B4195C">
        <w:rPr>
          <w:bCs/>
          <w:iCs/>
        </w:rPr>
        <w:t>.</w:t>
      </w:r>
      <w:r w:rsidR="00B4195C">
        <w:rPr>
          <w:bCs/>
          <w:iCs/>
          <w:noProof/>
        </w:rPr>
        <w:t>26</w:t>
      </w:r>
      <w:r w:rsidR="0075172E">
        <w:rPr>
          <w:bCs/>
          <w:iCs/>
        </w:rPr>
        <w:fldChar w:fldCharType="end"/>
      </w:r>
      <w:r w:rsidR="00BB7AEA">
        <w:rPr>
          <w:bCs/>
          <w:iCs/>
        </w:rPr>
        <w:t>).</w:t>
      </w:r>
      <w:r w:rsidR="00FD74FF">
        <w:rPr>
          <w:bCs/>
          <w:iCs/>
        </w:rPr>
        <w:t xml:space="preserve"> </w:t>
      </w:r>
      <w:r>
        <w:rPr>
          <w:bCs/>
          <w:iCs/>
        </w:rPr>
        <w:t>The exothermicty was reduced in both salts (</w:t>
      </w:r>
      <w:r w:rsidR="0075172E">
        <w:rPr>
          <w:bCs/>
          <w:iCs/>
        </w:rPr>
        <w:fldChar w:fldCharType="begin"/>
      </w:r>
      <w:r w:rsidR="00B4195C">
        <w:rPr>
          <w:bCs/>
          <w:iCs/>
        </w:rPr>
        <w:instrText xml:space="preserve"> REF _Ref456877208 \h </w:instrText>
      </w:r>
      <w:r w:rsidR="0075172E">
        <w:rPr>
          <w:bCs/>
          <w:iCs/>
        </w:rPr>
      </w:r>
      <w:r w:rsidR="0075172E">
        <w:rPr>
          <w:bCs/>
          <w:iCs/>
        </w:rPr>
        <w:fldChar w:fldCharType="separate"/>
      </w:r>
      <w:r w:rsidR="00B4195C">
        <w:t xml:space="preserve">Figure </w:t>
      </w:r>
      <w:r w:rsidR="00B4195C">
        <w:rPr>
          <w:noProof/>
        </w:rPr>
        <w:t>3</w:t>
      </w:r>
      <w:r w:rsidR="00B4195C">
        <w:t>.</w:t>
      </w:r>
      <w:r w:rsidR="00B4195C">
        <w:rPr>
          <w:noProof/>
        </w:rPr>
        <w:t>27</w:t>
      </w:r>
      <w:r w:rsidR="0075172E">
        <w:rPr>
          <w:bCs/>
          <w:iCs/>
        </w:rPr>
        <w:fldChar w:fldCharType="end"/>
      </w:r>
      <w:r w:rsidR="00B4195C">
        <w:rPr>
          <w:bCs/>
          <w:iCs/>
        </w:rPr>
        <w:t xml:space="preserve"> </w:t>
      </w:r>
      <w:r w:rsidR="00FD74FF">
        <w:rPr>
          <w:bCs/>
          <w:iCs/>
        </w:rPr>
        <w:t xml:space="preserve">and </w:t>
      </w:r>
      <w:r w:rsidR="0075172E">
        <w:rPr>
          <w:bCs/>
          <w:iCs/>
        </w:rPr>
        <w:fldChar w:fldCharType="begin"/>
      </w:r>
      <w:r w:rsidR="00B4195C">
        <w:rPr>
          <w:bCs/>
          <w:iCs/>
        </w:rPr>
        <w:instrText xml:space="preserve"> REF _Ref456877214 \h </w:instrText>
      </w:r>
      <w:r w:rsidR="0075172E">
        <w:rPr>
          <w:bCs/>
          <w:iCs/>
        </w:rPr>
      </w:r>
      <w:r w:rsidR="0075172E">
        <w:rPr>
          <w:bCs/>
          <w:iCs/>
        </w:rPr>
        <w:fldChar w:fldCharType="separate"/>
      </w:r>
      <w:r w:rsidR="00B4195C">
        <w:rPr>
          <w:bCs/>
          <w:iCs/>
        </w:rPr>
        <w:t xml:space="preserve">Figure </w:t>
      </w:r>
      <w:r w:rsidR="00B4195C">
        <w:rPr>
          <w:bCs/>
          <w:iCs/>
          <w:noProof/>
        </w:rPr>
        <w:t>3</w:t>
      </w:r>
      <w:r w:rsidR="00B4195C">
        <w:rPr>
          <w:bCs/>
          <w:iCs/>
        </w:rPr>
        <w:t>.</w:t>
      </w:r>
      <w:r w:rsidR="00B4195C">
        <w:rPr>
          <w:bCs/>
          <w:iCs/>
          <w:noProof/>
        </w:rPr>
        <w:t>28</w:t>
      </w:r>
      <w:r w:rsidR="0075172E">
        <w:rPr>
          <w:bCs/>
          <w:iCs/>
        </w:rPr>
        <w:fldChar w:fldCharType="end"/>
      </w:r>
      <w:r>
        <w:rPr>
          <w:bCs/>
          <w:iCs/>
        </w:rPr>
        <w:t xml:space="preserve">). </w:t>
      </w:r>
      <w:r w:rsidR="00BB7AEA">
        <w:rPr>
          <w:bCs/>
          <w:iCs/>
        </w:rPr>
        <w:t>G</w:t>
      </w:r>
      <w:r>
        <w:rPr>
          <w:bCs/>
          <w:iCs/>
        </w:rPr>
        <w:t>iven that octonate is suggested to make both electrostatic and hydrophobic interactions with BSA, it is likely that sulphate screened the electrostatic interaction between the carboxylate group on the fatty acid and the positively charged residues on BSA yielding an increase in endothermicity. The thiocyanate reduced the exothermicity substantially (</w:t>
      </w:r>
      <w:r w:rsidR="0075172E">
        <w:rPr>
          <w:bCs/>
          <w:iCs/>
        </w:rPr>
        <w:fldChar w:fldCharType="begin"/>
      </w:r>
      <w:r w:rsidR="00B4195C">
        <w:rPr>
          <w:bCs/>
          <w:iCs/>
        </w:rPr>
        <w:instrText xml:space="preserve"> REF _Ref456877214 \h </w:instrText>
      </w:r>
      <w:r w:rsidR="0075172E">
        <w:rPr>
          <w:bCs/>
          <w:iCs/>
        </w:rPr>
      </w:r>
      <w:r w:rsidR="0075172E">
        <w:rPr>
          <w:bCs/>
          <w:iCs/>
        </w:rPr>
        <w:fldChar w:fldCharType="separate"/>
      </w:r>
      <w:r w:rsidR="00B4195C">
        <w:rPr>
          <w:bCs/>
          <w:iCs/>
        </w:rPr>
        <w:t xml:space="preserve">Figure </w:t>
      </w:r>
      <w:r w:rsidR="00B4195C">
        <w:rPr>
          <w:bCs/>
          <w:iCs/>
          <w:noProof/>
        </w:rPr>
        <w:t>3</w:t>
      </w:r>
      <w:r w:rsidR="00B4195C">
        <w:rPr>
          <w:bCs/>
          <w:iCs/>
        </w:rPr>
        <w:t>.</w:t>
      </w:r>
      <w:r w:rsidR="00B4195C">
        <w:rPr>
          <w:bCs/>
          <w:iCs/>
          <w:noProof/>
        </w:rPr>
        <w:t>28</w:t>
      </w:r>
      <w:r w:rsidR="0075172E">
        <w:rPr>
          <w:bCs/>
          <w:iCs/>
        </w:rPr>
        <w:fldChar w:fldCharType="end"/>
      </w:r>
      <w:r>
        <w:rPr>
          <w:bCs/>
          <w:iCs/>
        </w:rPr>
        <w:t xml:space="preserve">). This is most likely due to the screening and diminishing </w:t>
      </w:r>
      <w:r w:rsidR="00226D90">
        <w:rPr>
          <w:bCs/>
          <w:iCs/>
        </w:rPr>
        <w:t>exothermic</w:t>
      </w:r>
      <w:r>
        <w:rPr>
          <w:bCs/>
          <w:iCs/>
        </w:rPr>
        <w:t xml:space="preserve"> hydrophobic component to binding.  In the study presented here, thiocyanate was chosen to decrease hydrophobic interaction between the proanthocyanidin pentamer and BSA. To increase hydrophobic interaction in this system sulphate was chosen. </w:t>
      </w:r>
      <w:r w:rsidRPr="00D076EA">
        <w:rPr>
          <w:bCs/>
          <w:iCs/>
        </w:rPr>
        <w:t xml:space="preserve">Octanoate </w:t>
      </w:r>
      <w:r>
        <w:rPr>
          <w:bCs/>
          <w:iCs/>
        </w:rPr>
        <w:t xml:space="preserve">is not soluble at pH 4 forming micelles. This means the binding isotherm would be a composite of a </w:t>
      </w:r>
      <w:r w:rsidRPr="00E46034">
        <w:rPr>
          <w:bCs/>
          <w:iCs/>
        </w:rPr>
        <w:t xml:space="preserve">demicellisation </w:t>
      </w:r>
      <w:r>
        <w:rPr>
          <w:bCs/>
          <w:iCs/>
        </w:rPr>
        <w:t xml:space="preserve">reaction in addition to binding. Tannins oxidise and hydrolyse faster at pH 7 </w:t>
      </w:r>
      <w:r w:rsidR="00172E6C">
        <w:rPr>
          <w:bCs/>
          <w:iCs/>
        </w:rPr>
        <w:t>losing</w:t>
      </w:r>
      <w:r>
        <w:rPr>
          <w:bCs/>
          <w:iCs/>
        </w:rPr>
        <w:t xml:space="preserve"> stability after 3 hours.</w:t>
      </w:r>
      <w:hyperlink w:anchor="_ENREF_238" w:tooltip="Makkar, 1987 #571" w:history="1">
        <w:r w:rsidR="00512D09">
          <w:rPr>
            <w:bCs/>
            <w:iCs/>
          </w:rPr>
          <w:fldChar w:fldCharType="begin"/>
        </w:r>
        <w:r w:rsidR="00512D09">
          <w:rPr>
            <w:bCs/>
            <w:iCs/>
          </w:rPr>
          <w:instrText xml:space="preserve"> ADDIN EN.CITE &lt;EndNote&gt;&lt;Cite&gt;&lt;Author&gt;Makkar&lt;/Author&gt;&lt;Year&gt;1987&lt;/Year&gt;&lt;RecNum&gt;571&lt;/RecNum&gt;&lt;DisplayText&gt;&lt;style face="superscript"&gt;238&lt;/style&gt;&lt;/DisplayText&gt;&lt;record&gt;&lt;rec-number&gt;571&lt;/rec-number&gt;&lt;foreign-keys&gt;&lt;key app="EN" db-id="5trrespwzsdr07efd5tx2w96x22re9s0fsdt"&gt;571&lt;/key&gt;&lt;/foreign-keys&gt;&lt;ref-type name="Journal Article"&gt;17&lt;/ref-type&gt;&lt;contributors&gt;&lt;authors&gt;&lt;author&gt;Makkar, Harinder Paul S.&lt;/author&gt;&lt;author&gt;Dawra, Rajinder K.&lt;/author&gt;&lt;author&gt;Singh, Bhupinder&lt;/author&gt;&lt;/authors&gt;&lt;/contributors&gt;&lt;titles&gt;&lt;title&gt;Protein precipitation assay for quantitation of tannins: Determination of protein in tannin-protein complex&lt;/title&gt;&lt;secondary-title&gt;Analytical biochemistry&lt;/secondary-title&gt;&lt;/titles&gt;&lt;periodical&gt;&lt;full-title&gt;Analytical biochemistry&lt;/full-title&gt;&lt;/periodical&gt;&lt;pages&gt;435-439&lt;/pages&gt;&lt;volume&gt;166&lt;/volume&gt;&lt;number&gt;2&lt;/number&gt;&lt;keywords&gt;&lt;keyword&gt;tannin determination&lt;/keyword&gt;&lt;keyword&gt;protein-tannin complex&lt;/keyword&gt;&lt;keyword&gt;ninhydrin&lt;/keyword&gt;&lt;/keywords&gt;&lt;dates&gt;&lt;year&gt;1987&lt;/year&gt;&lt;/dates&gt;&lt;isbn&gt;0003-2697&lt;/isbn&gt;&lt;urls&gt;&lt;related-urls&gt;&lt;url&gt;http://www.sciencedirect.com/science/article/pii/0003269787905963&lt;/url&gt;&lt;/related-urls&gt;&lt;/urls&gt;&lt;electronic-resource-num&gt;http://dx.doi.org/10.1016/0003-2697(87)90596-3&lt;/electronic-resource-num&gt;&lt;/record&gt;&lt;/Cite&gt;&lt;/EndNote&gt;</w:instrText>
        </w:r>
        <w:r w:rsidR="00512D09">
          <w:rPr>
            <w:bCs/>
            <w:iCs/>
          </w:rPr>
          <w:fldChar w:fldCharType="separate"/>
        </w:r>
        <w:r w:rsidR="00512D09" w:rsidRPr="006421D1">
          <w:rPr>
            <w:bCs/>
            <w:iCs/>
            <w:noProof/>
            <w:vertAlign w:val="superscript"/>
          </w:rPr>
          <w:t>238</w:t>
        </w:r>
        <w:r w:rsidR="00512D09">
          <w:rPr>
            <w:bCs/>
            <w:iCs/>
          </w:rPr>
          <w:fldChar w:fldCharType="end"/>
        </w:r>
      </w:hyperlink>
      <w:r>
        <w:rPr>
          <w:bCs/>
          <w:iCs/>
        </w:rPr>
        <w:t xml:space="preserve"> Subsequently, it was decided that the pH of the two different systems should not be the same. </w:t>
      </w:r>
    </w:p>
    <w:p w:rsidR="000574FF" w:rsidRDefault="00040F10" w:rsidP="00137051">
      <w:pPr>
        <w:keepNext/>
        <w:spacing w:line="480" w:lineRule="auto"/>
        <w:jc w:val="center"/>
      </w:pPr>
      <w:r>
        <w:rPr>
          <w:bCs/>
          <w:iCs/>
          <w:noProof/>
          <w:lang w:eastAsia="en-GB"/>
        </w:rPr>
        <w:lastRenderedPageBreak/>
        <w:pict>
          <v:shape id="_x0000_s1087" type="#_x0000_t202" style="position:absolute;left:0;text-align:left;margin-left:185.1pt;margin-top:257.9pt;width:87.05pt;height:25.1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iCs/>
          <w:noProof/>
          <w:lang w:eastAsia="en-GB"/>
        </w:rPr>
        <w:pict>
          <v:shape id="_x0000_s1094" type="#_x0000_t202" style="position:absolute;left:0;text-align:left;margin-left:180.8pt;margin-top:-4.75pt;width:87.05pt;height:19.7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Cs/>
          <w:iCs/>
          <w:noProof/>
          <w:lang w:eastAsia="en-GB"/>
        </w:rPr>
        <w:pict>
          <v:shape id="_x0000_s1080" type="#_x0000_t202" style="position:absolute;left:0;text-align:left;margin-left:-1pt;margin-top:10.3pt;width:24.05pt;height:232.4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layout-flow:vertical;mso-layout-flow-alt:bottom-to-top">
              <w:txbxContent>
                <w:p w:rsidR="003A5686" w:rsidRPr="00311B45" w:rsidRDefault="003A5686" w:rsidP="00311B4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sidR="00EA455F">
        <w:rPr>
          <w:noProof/>
          <w:lang w:eastAsia="en-GB"/>
        </w:rPr>
        <w:drawing>
          <wp:inline distT="0" distB="0" distL="0" distR="0" wp14:anchorId="70C56BBE" wp14:editId="60C35A06">
            <wp:extent cx="5205730" cy="3396233"/>
            <wp:effectExtent l="19050" t="0" r="0" b="0"/>
            <wp:docPr id="7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srcRect/>
                    <a:stretch>
                      <a:fillRect/>
                    </a:stretch>
                  </pic:blipFill>
                  <pic:spPr bwMode="auto">
                    <a:xfrm>
                      <a:off x="0" y="0"/>
                      <a:ext cx="5205730" cy="3396233"/>
                    </a:xfrm>
                    <a:prstGeom prst="rect">
                      <a:avLst/>
                    </a:prstGeom>
                    <a:noFill/>
                    <a:ln w="9525">
                      <a:noFill/>
                      <a:miter lim="800000"/>
                      <a:headEnd/>
                      <a:tailEnd/>
                    </a:ln>
                  </pic:spPr>
                </pic:pic>
              </a:graphicData>
            </a:graphic>
          </wp:inline>
        </w:drawing>
      </w:r>
    </w:p>
    <w:p w:rsidR="000574FF" w:rsidRPr="000104A6" w:rsidRDefault="000104A6" w:rsidP="000104A6">
      <w:pPr>
        <w:pStyle w:val="Caption"/>
        <w:keepNext/>
        <w:spacing w:line="480" w:lineRule="auto"/>
        <w:jc w:val="center"/>
      </w:pPr>
      <w:bookmarkStart w:id="130" w:name="_Ref456877197"/>
      <w:r>
        <w:rPr>
          <w:bCs w:val="0"/>
          <w:iCs/>
        </w:rPr>
        <w:t xml:space="preserve">Figure </w:t>
      </w:r>
      <w:r w:rsidR="0075172E">
        <w:rPr>
          <w:bCs w:val="0"/>
          <w:iCs/>
        </w:rPr>
        <w:fldChar w:fldCharType="begin"/>
      </w:r>
      <w:r w:rsidR="00EB1DC7">
        <w:rPr>
          <w:bCs w:val="0"/>
          <w:iCs/>
        </w:rPr>
        <w:instrText xml:space="preserve"> STYLEREF 1 \s </w:instrText>
      </w:r>
      <w:r w:rsidR="0075172E">
        <w:rPr>
          <w:bCs w:val="0"/>
          <w:iCs/>
        </w:rPr>
        <w:fldChar w:fldCharType="separate"/>
      </w:r>
      <w:r w:rsidR="00CB4EDC">
        <w:rPr>
          <w:bCs w:val="0"/>
          <w:iCs/>
          <w:noProof/>
        </w:rPr>
        <w:t>3</w:t>
      </w:r>
      <w:r w:rsidR="0075172E">
        <w:rPr>
          <w:bCs w:val="0"/>
          <w:iCs/>
        </w:rPr>
        <w:fldChar w:fldCharType="end"/>
      </w:r>
      <w:r w:rsidR="00EB1DC7">
        <w:rPr>
          <w:bCs w:val="0"/>
          <w:iCs/>
        </w:rPr>
        <w:t>.</w:t>
      </w:r>
      <w:r w:rsidR="0075172E">
        <w:rPr>
          <w:bCs w:val="0"/>
          <w:iCs/>
        </w:rPr>
        <w:fldChar w:fldCharType="begin"/>
      </w:r>
      <w:r w:rsidR="00EB1DC7">
        <w:rPr>
          <w:bCs w:val="0"/>
          <w:iCs/>
        </w:rPr>
        <w:instrText xml:space="preserve"> SEQ Figure \* ARABIC \s 1 </w:instrText>
      </w:r>
      <w:r w:rsidR="0075172E">
        <w:rPr>
          <w:bCs w:val="0"/>
          <w:iCs/>
        </w:rPr>
        <w:fldChar w:fldCharType="separate"/>
      </w:r>
      <w:r w:rsidR="00CB4EDC">
        <w:rPr>
          <w:bCs w:val="0"/>
          <w:iCs/>
          <w:noProof/>
        </w:rPr>
        <w:t>26</w:t>
      </w:r>
      <w:r w:rsidR="0075172E">
        <w:rPr>
          <w:bCs w:val="0"/>
          <w:iCs/>
        </w:rPr>
        <w:fldChar w:fldCharType="end"/>
      </w:r>
      <w:bookmarkEnd w:id="130"/>
      <w:r w:rsidR="000574FF">
        <w:t xml:space="preserve"> Upper: </w:t>
      </w:r>
      <w:r w:rsidR="000574FF" w:rsidRPr="003E3F8A">
        <w:t xml:space="preserve">Thermogram for the </w:t>
      </w:r>
      <w:r w:rsidR="000574FF" w:rsidRPr="005F5057">
        <w:t xml:space="preserve">interaction between </w:t>
      </w:r>
      <w:r w:rsidR="000574FF">
        <w:t>300</w:t>
      </w:r>
      <w:r w:rsidR="000574FF" w:rsidRPr="005F5057">
        <w:t xml:space="preserve"> µM BSA and </w:t>
      </w:r>
      <w:r w:rsidR="000574FF">
        <w:t>6</w:t>
      </w:r>
      <w:r w:rsidR="000574FF" w:rsidRPr="005F5057">
        <w:t xml:space="preserve"> mM </w:t>
      </w:r>
      <w:r w:rsidR="000574FF" w:rsidRPr="00B63063">
        <w:t xml:space="preserve">octanoate </w:t>
      </w:r>
      <w:r w:rsidR="000574FF" w:rsidRPr="005F5057">
        <w:t xml:space="preserve">in </w:t>
      </w:r>
      <w:r w:rsidR="000574FF">
        <w:rPr>
          <w:bCs w:val="0"/>
          <w:iCs/>
        </w:rPr>
        <w:t xml:space="preserve">20 mM phosphate buffer </w:t>
      </w:r>
      <w:r w:rsidR="000574FF" w:rsidRPr="005F5057">
        <w:t xml:space="preserve">pH </w:t>
      </w:r>
      <w:r w:rsidR="000574FF">
        <w:t>7.21</w:t>
      </w:r>
      <w:r w:rsidR="000574FF" w:rsidRPr="005F5057">
        <w:t xml:space="preserve"> at 25</w:t>
      </w:r>
      <w:r w:rsidR="006F2757">
        <w:t xml:space="preserve"> </w:t>
      </w:r>
      <w:r w:rsidR="000574FF" w:rsidRPr="005F5057">
        <w:t>°C</w:t>
      </w:r>
      <w:r w:rsidR="000574FF">
        <w:t xml:space="preserve">. Lower: </w:t>
      </w:r>
      <w:r w:rsidR="000574FF" w:rsidRPr="003E3F8A">
        <w:t xml:space="preserve"> ITC binding isotherm for the same interaction</w:t>
      </w:r>
      <w:r w:rsidR="000574FF">
        <w:t xml:space="preserve"> (closed circles)</w:t>
      </w:r>
      <w:r w:rsidR="000574FF" w:rsidRPr="003E3F8A">
        <w:t xml:space="preserve">.  </w:t>
      </w:r>
    </w:p>
    <w:p w:rsidR="000574FF" w:rsidRDefault="00040F10" w:rsidP="00EA455F">
      <w:pPr>
        <w:keepNext/>
        <w:spacing w:line="480" w:lineRule="auto"/>
        <w:jc w:val="center"/>
      </w:pPr>
      <w:r>
        <w:rPr>
          <w:bCs/>
          <w:iCs/>
          <w:noProof/>
          <w:lang w:eastAsia="en-GB"/>
        </w:rPr>
        <w:pict>
          <v:shape id="_x0000_s1095" type="#_x0000_t202" style="position:absolute;left:0;text-align:left;margin-left:170.15pt;margin-top:1.45pt;width:87.05pt;height:21.2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Cs/>
          <w:iCs/>
          <w:noProof/>
          <w:lang w:eastAsia="en-GB"/>
        </w:rPr>
        <w:pict>
          <v:shape id="_x0000_s1086" type="#_x0000_t202" style="position:absolute;left:0;text-align:left;margin-left:180.8pt;margin-top:258pt;width:87.05pt;height:25.1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noProof/>
          <w:lang w:eastAsia="en-GB"/>
        </w:rPr>
        <w:pict>
          <v:shape id="_x0000_s1081" type="#_x0000_t202" style="position:absolute;left:0;text-align:left;margin-left:-1pt;margin-top:17.95pt;width:24.05pt;height:232.4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layout-flow:vertical;mso-layout-flow-alt:bottom-to-top">
              <w:txbxContent>
                <w:p w:rsidR="003A5686" w:rsidRPr="00311B45" w:rsidRDefault="003A5686" w:rsidP="00311B4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sidR="00EA455F">
        <w:rPr>
          <w:noProof/>
          <w:lang w:eastAsia="en-GB"/>
        </w:rPr>
        <w:drawing>
          <wp:inline distT="0" distB="0" distL="0" distR="0" wp14:anchorId="416177B7" wp14:editId="533A71A9">
            <wp:extent cx="5205730" cy="341020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srcRect/>
                    <a:stretch>
                      <a:fillRect/>
                    </a:stretch>
                  </pic:blipFill>
                  <pic:spPr bwMode="auto">
                    <a:xfrm>
                      <a:off x="0" y="0"/>
                      <a:ext cx="5205730" cy="3410205"/>
                    </a:xfrm>
                    <a:prstGeom prst="rect">
                      <a:avLst/>
                    </a:prstGeom>
                    <a:noFill/>
                    <a:ln w="9525">
                      <a:noFill/>
                      <a:miter lim="800000"/>
                      <a:headEnd/>
                      <a:tailEnd/>
                    </a:ln>
                  </pic:spPr>
                </pic:pic>
              </a:graphicData>
            </a:graphic>
          </wp:inline>
        </w:drawing>
      </w:r>
    </w:p>
    <w:p w:rsidR="000574FF" w:rsidRDefault="000574FF" w:rsidP="000104A6">
      <w:pPr>
        <w:pStyle w:val="Caption"/>
        <w:keepNext/>
        <w:spacing w:line="480" w:lineRule="auto"/>
        <w:jc w:val="center"/>
      </w:pPr>
      <w:bookmarkStart w:id="131" w:name="_Ref442879131"/>
      <w:bookmarkStart w:id="132" w:name="_Ref456877208"/>
      <w:r>
        <w:t>Figure</w:t>
      </w:r>
      <w:bookmarkEnd w:id="131"/>
      <w:r w:rsidR="00226D90">
        <w:t xml:space="preserve"> </w:t>
      </w:r>
      <w:r w:rsidR="0075172E">
        <w:fldChar w:fldCharType="begin"/>
      </w:r>
      <w:r w:rsidR="00AC2227">
        <w:instrText xml:space="preserve"> STYLEREF 1 \s </w:instrText>
      </w:r>
      <w:r w:rsidR="0075172E">
        <w:fldChar w:fldCharType="separate"/>
      </w:r>
      <w:r w:rsidR="00CB4EDC">
        <w:rPr>
          <w:noProof/>
        </w:rPr>
        <w:t>3</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27</w:t>
      </w:r>
      <w:r w:rsidR="0075172E">
        <w:fldChar w:fldCharType="end"/>
      </w:r>
      <w:bookmarkEnd w:id="132"/>
      <w:r w:rsidR="000104A6">
        <w:t xml:space="preserve"> </w:t>
      </w:r>
      <w:r>
        <w:t xml:space="preserve">Upper: </w:t>
      </w:r>
      <w:r w:rsidRPr="003E3F8A">
        <w:t xml:space="preserve">Thermogram for the </w:t>
      </w:r>
      <w:r w:rsidRPr="005F5057">
        <w:t xml:space="preserve">interaction between </w:t>
      </w:r>
      <w:r>
        <w:t>300</w:t>
      </w:r>
      <w:r w:rsidRPr="005F5057">
        <w:t xml:space="preserve"> µM BSA and </w:t>
      </w:r>
      <w:r>
        <w:t>6</w:t>
      </w:r>
      <w:r w:rsidRPr="005F5057">
        <w:t xml:space="preserve"> mM </w:t>
      </w:r>
      <w:r w:rsidRPr="00B63063">
        <w:t xml:space="preserve">octanoate </w:t>
      </w:r>
      <w:r w:rsidRPr="005F5057">
        <w:t xml:space="preserve">in </w:t>
      </w:r>
      <w:r>
        <w:rPr>
          <w:bCs w:val="0"/>
          <w:iCs/>
        </w:rPr>
        <w:t xml:space="preserve">20 mM phosphate, </w:t>
      </w:r>
      <w:r>
        <w:t xml:space="preserve">50 mM </w:t>
      </w:r>
      <w:r w:rsidRPr="005F5057">
        <w:t xml:space="preserve">ammonium </w:t>
      </w:r>
      <w:r>
        <w:t>sulphate</w:t>
      </w:r>
      <w:r w:rsidRPr="005F5057">
        <w:t xml:space="preserve"> </w:t>
      </w:r>
      <w:r>
        <w:rPr>
          <w:bCs w:val="0"/>
          <w:iCs/>
        </w:rPr>
        <w:t xml:space="preserve">buffer </w:t>
      </w:r>
      <w:r w:rsidRPr="005F5057">
        <w:t xml:space="preserve">pH </w:t>
      </w:r>
      <w:r>
        <w:t>7.21</w:t>
      </w:r>
      <w:r w:rsidRPr="005F5057">
        <w:t xml:space="preserve"> at 25</w:t>
      </w:r>
      <w:r w:rsidR="006F2757">
        <w:t xml:space="preserve"> </w:t>
      </w:r>
      <w:r w:rsidRPr="005F5057">
        <w:t xml:space="preserve">°C </w:t>
      </w:r>
      <w:r>
        <w:t xml:space="preserve">Lower: </w:t>
      </w:r>
      <w:r w:rsidRPr="003E3F8A">
        <w:t xml:space="preserve"> ITC binding isotherm for the same interaction</w:t>
      </w:r>
      <w:r>
        <w:t xml:space="preserve"> (closed circles). </w:t>
      </w:r>
    </w:p>
    <w:p w:rsidR="00BF5DF0" w:rsidRDefault="00BF5DF0" w:rsidP="00BF5DF0"/>
    <w:p w:rsidR="00BF5DF0" w:rsidRDefault="00BF5DF0" w:rsidP="00BF5DF0"/>
    <w:p w:rsidR="00BF5DF0" w:rsidRDefault="00BF5DF0" w:rsidP="00BF5DF0"/>
    <w:p w:rsidR="00BF5DF0" w:rsidRDefault="00BF5DF0" w:rsidP="00BF5DF0"/>
    <w:p w:rsidR="00BF5DF0" w:rsidRDefault="00BF5DF0" w:rsidP="00BF5DF0"/>
    <w:p w:rsidR="00BF5DF0" w:rsidRPr="00BF5DF0" w:rsidRDefault="00040F10" w:rsidP="00BF5DF0">
      <w:r>
        <w:rPr>
          <w:noProof/>
          <w:lang w:eastAsia="en-GB"/>
        </w:rPr>
        <w:pict>
          <v:shape id="_x0000_s1096" type="#_x0000_t202" style="position:absolute;margin-left:177.6pt;margin-top:23.75pt;width:87.05pt;height:19.8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p>
    <w:p w:rsidR="000574FF" w:rsidRDefault="00040F10" w:rsidP="000574FF">
      <w:pPr>
        <w:keepNext/>
        <w:jc w:val="center"/>
      </w:pPr>
      <w:r>
        <w:rPr>
          <w:noProof/>
          <w:lang w:eastAsia="en-GB"/>
        </w:rPr>
        <w:pict>
          <v:shape id="_x0000_s1098" type="#_x0000_t202" style="position:absolute;left:0;text-align:left;margin-left:3.45pt;margin-top:22.35pt;width:24.05pt;height:232.4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layout-flow:vertical;mso-layout-flow-alt:bottom-to-top;mso-next-textbox:#_x0000_s1098">
              <w:txbxContent>
                <w:p w:rsidR="003A5686" w:rsidRPr="00311B45" w:rsidRDefault="003A5686" w:rsidP="00B141B9">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Pr>
          <w:noProof/>
          <w:lang w:eastAsia="en-GB"/>
        </w:rPr>
        <w:pict>
          <v:shape id="_x0000_s1097" type="#_x0000_t202" style="position:absolute;left:0;text-align:left;margin-left:185.2pt;margin-top:261.75pt;width:87.05pt;height:20.9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097">
              <w:txbxContent>
                <w:p w:rsidR="003A5686" w:rsidRPr="00B141B9" w:rsidRDefault="003A5686" w:rsidP="00B141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Mole Ratio</w:t>
                  </w:r>
                </w:p>
              </w:txbxContent>
            </v:textbox>
          </v:shape>
        </w:pict>
      </w:r>
      <w:r w:rsidR="00EA455F">
        <w:rPr>
          <w:noProof/>
          <w:lang w:eastAsia="en-GB"/>
        </w:rPr>
        <w:drawing>
          <wp:inline distT="0" distB="0" distL="0" distR="0" wp14:anchorId="0427337E" wp14:editId="6EEF2D1B">
            <wp:extent cx="5205730" cy="3536982"/>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srcRect/>
                    <a:stretch>
                      <a:fillRect/>
                    </a:stretch>
                  </pic:blipFill>
                  <pic:spPr bwMode="auto">
                    <a:xfrm>
                      <a:off x="0" y="0"/>
                      <a:ext cx="5205730" cy="3536982"/>
                    </a:xfrm>
                    <a:prstGeom prst="rect">
                      <a:avLst/>
                    </a:prstGeom>
                    <a:noFill/>
                    <a:ln w="9525">
                      <a:noFill/>
                      <a:miter lim="800000"/>
                      <a:headEnd/>
                      <a:tailEnd/>
                    </a:ln>
                  </pic:spPr>
                </pic:pic>
              </a:graphicData>
            </a:graphic>
          </wp:inline>
        </w:drawing>
      </w:r>
    </w:p>
    <w:p w:rsidR="000574FF" w:rsidRDefault="00226D90" w:rsidP="000104A6">
      <w:pPr>
        <w:pStyle w:val="Caption"/>
        <w:keepNext/>
        <w:spacing w:line="480" w:lineRule="auto"/>
        <w:jc w:val="center"/>
      </w:pPr>
      <w:bookmarkStart w:id="133" w:name="_Ref456877214"/>
      <w:r>
        <w:rPr>
          <w:bCs w:val="0"/>
          <w:iCs/>
        </w:rPr>
        <w:t xml:space="preserve">Figure </w:t>
      </w:r>
      <w:r w:rsidR="0075172E">
        <w:rPr>
          <w:bCs w:val="0"/>
          <w:iCs/>
        </w:rPr>
        <w:fldChar w:fldCharType="begin"/>
      </w:r>
      <w:r w:rsidR="00EB1DC7">
        <w:rPr>
          <w:bCs w:val="0"/>
          <w:iCs/>
        </w:rPr>
        <w:instrText xml:space="preserve"> STYLEREF 1 \s </w:instrText>
      </w:r>
      <w:r w:rsidR="0075172E">
        <w:rPr>
          <w:bCs w:val="0"/>
          <w:iCs/>
        </w:rPr>
        <w:fldChar w:fldCharType="separate"/>
      </w:r>
      <w:r w:rsidR="00CB4EDC">
        <w:rPr>
          <w:bCs w:val="0"/>
          <w:iCs/>
          <w:noProof/>
        </w:rPr>
        <w:t>3</w:t>
      </w:r>
      <w:r w:rsidR="0075172E">
        <w:rPr>
          <w:bCs w:val="0"/>
          <w:iCs/>
        </w:rPr>
        <w:fldChar w:fldCharType="end"/>
      </w:r>
      <w:r w:rsidR="00EB1DC7">
        <w:rPr>
          <w:bCs w:val="0"/>
          <w:iCs/>
        </w:rPr>
        <w:t>.</w:t>
      </w:r>
      <w:r w:rsidR="0075172E">
        <w:rPr>
          <w:bCs w:val="0"/>
          <w:iCs/>
        </w:rPr>
        <w:fldChar w:fldCharType="begin"/>
      </w:r>
      <w:r w:rsidR="00EB1DC7">
        <w:rPr>
          <w:bCs w:val="0"/>
          <w:iCs/>
        </w:rPr>
        <w:instrText xml:space="preserve"> SEQ Figure \* ARABIC \s 1 </w:instrText>
      </w:r>
      <w:r w:rsidR="0075172E">
        <w:rPr>
          <w:bCs w:val="0"/>
          <w:iCs/>
        </w:rPr>
        <w:fldChar w:fldCharType="separate"/>
      </w:r>
      <w:r w:rsidR="00CB4EDC">
        <w:rPr>
          <w:bCs w:val="0"/>
          <w:iCs/>
          <w:noProof/>
        </w:rPr>
        <w:t>28</w:t>
      </w:r>
      <w:r w:rsidR="0075172E">
        <w:rPr>
          <w:bCs w:val="0"/>
          <w:iCs/>
        </w:rPr>
        <w:fldChar w:fldCharType="end"/>
      </w:r>
      <w:bookmarkEnd w:id="133"/>
      <w:r w:rsidR="000104A6">
        <w:t xml:space="preserve"> </w:t>
      </w:r>
      <w:r w:rsidR="000574FF">
        <w:t xml:space="preserve">: Upper: </w:t>
      </w:r>
      <w:r w:rsidR="000574FF" w:rsidRPr="003E3F8A">
        <w:t xml:space="preserve">Thermogram for the </w:t>
      </w:r>
      <w:r w:rsidR="000574FF" w:rsidRPr="005F5057">
        <w:t xml:space="preserve">interaction between </w:t>
      </w:r>
      <w:r w:rsidR="000574FF">
        <w:t>300</w:t>
      </w:r>
      <w:r w:rsidR="000574FF" w:rsidRPr="005F5057">
        <w:t xml:space="preserve"> µM BSA and </w:t>
      </w:r>
      <w:r w:rsidR="000574FF">
        <w:t>6</w:t>
      </w:r>
      <w:r w:rsidR="000574FF" w:rsidRPr="005F5057">
        <w:t xml:space="preserve"> mM </w:t>
      </w:r>
      <w:r w:rsidR="000574FF" w:rsidRPr="00B63063">
        <w:t xml:space="preserve">octanoate </w:t>
      </w:r>
      <w:r w:rsidR="000574FF" w:rsidRPr="005F5057">
        <w:t xml:space="preserve">in </w:t>
      </w:r>
      <w:r w:rsidR="000574FF">
        <w:rPr>
          <w:bCs w:val="0"/>
          <w:iCs/>
        </w:rPr>
        <w:t xml:space="preserve">20 mM phosphate, </w:t>
      </w:r>
      <w:r w:rsidR="000574FF">
        <w:t xml:space="preserve">50 mM </w:t>
      </w:r>
      <w:r w:rsidR="000574FF" w:rsidRPr="005F5057">
        <w:t xml:space="preserve">ammonium </w:t>
      </w:r>
      <w:r w:rsidR="000574FF">
        <w:t>thiocyanate</w:t>
      </w:r>
      <w:r w:rsidR="000574FF" w:rsidRPr="005F5057">
        <w:t xml:space="preserve"> </w:t>
      </w:r>
      <w:r w:rsidR="000574FF">
        <w:rPr>
          <w:bCs w:val="0"/>
          <w:iCs/>
        </w:rPr>
        <w:t xml:space="preserve">buffer </w:t>
      </w:r>
      <w:r w:rsidR="000574FF" w:rsidRPr="005F5057">
        <w:t xml:space="preserve">pH </w:t>
      </w:r>
      <w:r w:rsidR="000574FF">
        <w:t>7.21</w:t>
      </w:r>
      <w:r w:rsidR="000574FF" w:rsidRPr="005F5057">
        <w:t xml:space="preserve"> at 25</w:t>
      </w:r>
      <w:r w:rsidR="006F2757">
        <w:t xml:space="preserve"> </w:t>
      </w:r>
      <w:r w:rsidR="000574FF" w:rsidRPr="005F5057">
        <w:t xml:space="preserve">°C </w:t>
      </w:r>
      <w:r w:rsidR="000574FF">
        <w:t xml:space="preserve">Lower: </w:t>
      </w:r>
      <w:r w:rsidR="000574FF" w:rsidRPr="003E3F8A">
        <w:t xml:space="preserve"> ITC binding isotherm for the same interaction</w:t>
      </w:r>
      <w:r w:rsidR="000574FF">
        <w:t xml:space="preserve"> (closed circles)</w:t>
      </w:r>
      <w:r w:rsidR="000574FF" w:rsidRPr="003E3F8A">
        <w:t>.</w:t>
      </w:r>
    </w:p>
    <w:p w:rsidR="000104A6" w:rsidRPr="000104A6" w:rsidRDefault="000104A6" w:rsidP="000104A6"/>
    <w:p w:rsidR="000574FF" w:rsidRDefault="00040F10" w:rsidP="000574FF">
      <w:pPr>
        <w:keepNext/>
        <w:spacing w:line="480" w:lineRule="auto"/>
        <w:jc w:val="center"/>
      </w:pPr>
      <w:r>
        <w:rPr>
          <w:bCs/>
          <w:iCs/>
          <w:noProof/>
          <w:lang w:eastAsia="en-GB"/>
        </w:rPr>
        <w:lastRenderedPageBreak/>
        <w:pict>
          <v:shape id="_x0000_s1100" type="#_x0000_t202" style="position:absolute;left:0;text-align:left;margin-left:176.05pt;margin-top:267.05pt;width:87.05pt;height:25.1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iCs/>
          <w:noProof/>
          <w:lang w:eastAsia="en-GB"/>
        </w:rPr>
        <w:pict>
          <v:shape id="_x0000_s1099" type="#_x0000_t202" style="position:absolute;left:0;text-align:left;margin-left:-7.1pt;margin-top:61.95pt;width:24.05pt;height:128.3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layout-flow:vertical;mso-layout-flow-alt:bottom-to-top">
              <w:txbxContent>
                <w:p w:rsidR="003A5686" w:rsidRPr="00311B45" w:rsidRDefault="003A5686" w:rsidP="00B141B9">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w:t>
                  </w:r>
                  <w:r>
                    <w:rPr>
                      <w:rFonts w:ascii="Arial" w:hAnsi="Arial" w:cs="Arial"/>
                      <w:b/>
                      <w:color w:val="262626" w:themeColor="text1" w:themeTint="D9"/>
                      <w:sz w:val="18"/>
                      <w:szCs w:val="18"/>
                    </w:rPr>
                    <w:t>)</w:t>
                  </w:r>
                </w:p>
              </w:txbxContent>
            </v:textbox>
          </v:shape>
        </w:pict>
      </w:r>
      <w:r w:rsidR="00EA455F">
        <w:rPr>
          <w:noProof/>
          <w:lang w:eastAsia="en-GB"/>
        </w:rPr>
        <w:drawing>
          <wp:inline distT="0" distB="0" distL="0" distR="0" wp14:anchorId="68A257D2" wp14:editId="37100C99">
            <wp:extent cx="5205730" cy="366908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cstate="print"/>
                    <a:srcRect/>
                    <a:stretch>
                      <a:fillRect/>
                    </a:stretch>
                  </pic:blipFill>
                  <pic:spPr bwMode="auto">
                    <a:xfrm>
                      <a:off x="0" y="0"/>
                      <a:ext cx="5205730" cy="3669080"/>
                    </a:xfrm>
                    <a:prstGeom prst="rect">
                      <a:avLst/>
                    </a:prstGeom>
                    <a:noFill/>
                    <a:ln w="9525">
                      <a:noFill/>
                      <a:miter lim="800000"/>
                      <a:headEnd/>
                      <a:tailEnd/>
                    </a:ln>
                  </pic:spPr>
                </pic:pic>
              </a:graphicData>
            </a:graphic>
          </wp:inline>
        </w:drawing>
      </w:r>
    </w:p>
    <w:p w:rsidR="000574FF" w:rsidRPr="005F5057" w:rsidRDefault="000574FF" w:rsidP="000104A6">
      <w:pPr>
        <w:pStyle w:val="Caption"/>
        <w:keepNext/>
        <w:spacing w:line="480" w:lineRule="auto"/>
        <w:jc w:val="center"/>
      </w:pPr>
      <w:bookmarkStart w:id="134" w:name="_Ref442879903"/>
      <w:r>
        <w:t xml:space="preserve">Figure </w:t>
      </w:r>
      <w:bookmarkEnd w:id="134"/>
      <w:r w:rsidR="0075172E">
        <w:fldChar w:fldCharType="begin"/>
      </w:r>
      <w:r w:rsidR="00EB1DC7">
        <w:instrText xml:space="preserve"> STYLEREF 1 \s </w:instrText>
      </w:r>
      <w:r w:rsidR="0075172E">
        <w:fldChar w:fldCharType="separate"/>
      </w:r>
      <w:r w:rsidR="00CB4EDC">
        <w:rPr>
          <w:noProof/>
        </w:rPr>
        <w:t>3</w:t>
      </w:r>
      <w:r w:rsidR="0075172E">
        <w:fldChar w:fldCharType="end"/>
      </w:r>
      <w:r w:rsidR="00EB1DC7">
        <w:t>.</w:t>
      </w:r>
      <w:r w:rsidR="0075172E">
        <w:fldChar w:fldCharType="begin"/>
      </w:r>
      <w:r w:rsidR="008628F5">
        <w:instrText xml:space="preserve"> SEQ Figure \* ARABIC \s 1 </w:instrText>
      </w:r>
      <w:r w:rsidR="0075172E">
        <w:fldChar w:fldCharType="separate"/>
      </w:r>
      <w:r w:rsidR="00CB4EDC">
        <w:rPr>
          <w:noProof/>
        </w:rPr>
        <w:t>29</w:t>
      </w:r>
      <w:r w:rsidR="0075172E">
        <w:fldChar w:fldCharType="end"/>
      </w:r>
      <w:r>
        <w:t>:</w:t>
      </w:r>
      <w:r w:rsidRPr="005F5057">
        <w:t xml:space="preserve"> ITC binding isotherm of the interaction between </w:t>
      </w:r>
      <w:r>
        <w:t>300</w:t>
      </w:r>
      <w:r w:rsidRPr="005F5057">
        <w:t xml:space="preserve"> µM BSA and </w:t>
      </w:r>
      <w:r>
        <w:t>6</w:t>
      </w:r>
      <w:r w:rsidRPr="005F5057">
        <w:t xml:space="preserve"> mM </w:t>
      </w:r>
      <w:r w:rsidRPr="00B63063">
        <w:t xml:space="preserve">octanoate </w:t>
      </w:r>
      <w:r w:rsidRPr="005F5057">
        <w:t xml:space="preserve">in </w:t>
      </w:r>
      <w:r>
        <w:rPr>
          <w:bCs w:val="0"/>
          <w:iCs/>
        </w:rPr>
        <w:t xml:space="preserve">20 mM phosphate buffer </w:t>
      </w:r>
      <w:r w:rsidRPr="005F5057">
        <w:t xml:space="preserve">pH </w:t>
      </w:r>
      <w:r>
        <w:t>7.21</w:t>
      </w:r>
      <w:r w:rsidRPr="005F5057">
        <w:t xml:space="preserve"> at 25</w:t>
      </w:r>
      <w:r w:rsidR="006F2757">
        <w:t xml:space="preserve"> </w:t>
      </w:r>
      <w:r w:rsidRPr="005F5057">
        <w:t>°C (</w:t>
      </w:r>
      <w:r>
        <w:t>triangles</w:t>
      </w:r>
      <w:r w:rsidRPr="005F5057">
        <w:t>) with 50 mM  ammonium thiocyanate (</w:t>
      </w:r>
      <w:r>
        <w:t>closed squares</w:t>
      </w:r>
      <w:r w:rsidRPr="005F5057">
        <w:t>) or ammonium sulphate (</w:t>
      </w:r>
      <w:r w:rsidR="001B6519">
        <w:t>circles</w:t>
      </w:r>
      <w:r w:rsidRPr="005F5057">
        <w:t xml:space="preserve">) respectively. </w:t>
      </w:r>
    </w:p>
    <w:p w:rsidR="000574FF" w:rsidRDefault="000574FF" w:rsidP="000574FF">
      <w:pPr>
        <w:spacing w:line="480" w:lineRule="auto"/>
        <w:jc w:val="both"/>
        <w:rPr>
          <w:bCs/>
          <w:iCs/>
        </w:rPr>
      </w:pPr>
      <w:r>
        <w:rPr>
          <w:bCs/>
          <w:iCs/>
        </w:rPr>
        <w:t>The binding isotherm for the proanthocyanidin-BSA interaction reveals the interaction to be exothermic with the most likely source being hydrogen bonding and favourable dispersion forces (</w:t>
      </w:r>
      <w:r w:rsidR="0075172E">
        <w:fldChar w:fldCharType="begin"/>
      </w:r>
      <w:r w:rsidR="00B4195C">
        <w:instrText xml:space="preserve"> REF _Ref456877512 \h </w:instrText>
      </w:r>
      <w:r w:rsidR="0075172E">
        <w:fldChar w:fldCharType="separate"/>
      </w:r>
      <w:r w:rsidR="00B4195C">
        <w:t xml:space="preserve">Figure </w:t>
      </w:r>
      <w:r w:rsidR="00B4195C">
        <w:rPr>
          <w:noProof/>
        </w:rPr>
        <w:t>3</w:t>
      </w:r>
      <w:r w:rsidR="00B4195C">
        <w:t>.</w:t>
      </w:r>
      <w:r w:rsidR="00B4195C">
        <w:rPr>
          <w:noProof/>
        </w:rPr>
        <w:t>30</w:t>
      </w:r>
      <w:r w:rsidR="0075172E">
        <w:fldChar w:fldCharType="end"/>
      </w:r>
      <w:r>
        <w:rPr>
          <w:bCs/>
          <w:iCs/>
        </w:rPr>
        <w:t xml:space="preserve">). It would be expected that if hydrophobic interaction was prevalent in the system addition of thiocyanate would either decrease the exothermicity of the binding interaction or decrease the association constant. Neither of these situations occurs. </w:t>
      </w:r>
      <w:r w:rsidR="00140CA5">
        <w:rPr>
          <w:bCs/>
          <w:iCs/>
        </w:rPr>
        <w:t>Instead,</w:t>
      </w:r>
      <w:r>
        <w:rPr>
          <w:bCs/>
          <w:iCs/>
        </w:rPr>
        <w:t xml:space="preserve"> the addition of thiocyanate induces an increase in exothermicity. </w:t>
      </w:r>
    </w:p>
    <w:p w:rsidR="000574FF" w:rsidRPr="000104A6" w:rsidRDefault="00040F10" w:rsidP="000104A6">
      <w:pPr>
        <w:spacing w:line="480" w:lineRule="auto"/>
        <w:jc w:val="center"/>
        <w:rPr>
          <w:bCs/>
          <w:iCs/>
        </w:rPr>
      </w:pPr>
      <w:r>
        <w:rPr>
          <w:bCs/>
          <w:iCs/>
          <w:noProof/>
          <w:lang w:eastAsia="en-GB"/>
        </w:rPr>
        <w:lastRenderedPageBreak/>
        <w:pict>
          <v:shape id="_x0000_s1203" type="#_x0000_t202" style="position:absolute;left:0;text-align:left;margin-left:171.75pt;margin-top:-5.2pt;width:87.05pt;height:17.6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6D046F">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Cs/>
          <w:iCs/>
          <w:noProof/>
          <w:lang w:eastAsia="en-GB"/>
        </w:rPr>
        <w:pict>
          <v:shape id="_x0000_s1202" type="#_x0000_t202" style="position:absolute;left:0;text-align:left;margin-left:177.2pt;margin-top:259.5pt;width:87.05pt;height:17.65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6D046F">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iCs/>
          <w:noProof/>
          <w:lang w:eastAsia="en-GB"/>
        </w:rPr>
        <w:pict>
          <v:shape id="Text Box 83" o:spid="_x0000_s1038" type="#_x0000_t202" style="position:absolute;left:0;text-align:left;margin-left:-11pt;margin-top:18.25pt;width:24.05pt;height:232.4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" strokecolor="white [3212]">
            <v:textbox style="layout-flow:vertical;mso-layout-flow-alt:bottom-to-top;mso-next-textbox:#Text Box 83">
              <w:txbxContent>
                <w:p w:rsidR="003A5686" w:rsidRPr="00311B45" w:rsidRDefault="003A5686" w:rsidP="00800BC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Pr>
          <w:bCs/>
          <w:iCs/>
          <w:noProof/>
          <w:lang w:eastAsia="en-GB"/>
        </w:rPr>
        <w:pict>
          <v:shape id="Text Box 64" o:spid="_x0000_s1039" type="#_x0000_t202" style="position:absolute;left:0;text-align:left;margin-left:53.7pt;margin-top:140.25pt;width:12.15pt;height:33.7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" strokecolor="white [3212]">
            <v:textbox>
              <w:txbxContent>
                <w:p w:rsidR="003A5686" w:rsidRDefault="003A5686" w:rsidP="00856772"/>
              </w:txbxContent>
            </v:textbox>
          </v:shape>
        </w:pict>
      </w:r>
      <w:r w:rsidR="00E52ACC">
        <w:rPr>
          <w:bCs/>
          <w:iCs/>
          <w:noProof/>
          <w:lang w:eastAsia="en-GB"/>
        </w:rPr>
        <w:drawing>
          <wp:inline distT="0" distB="0" distL="0" distR="0" wp14:anchorId="7DC02657" wp14:editId="4F8BD2DD">
            <wp:extent cx="5205730" cy="3493237"/>
            <wp:effectExtent l="19050" t="0" r="0" b="0"/>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0574FF" w:rsidRPr="000104A6" w:rsidRDefault="000574FF" w:rsidP="000104A6">
      <w:pPr>
        <w:pStyle w:val="Caption"/>
        <w:keepNext/>
        <w:spacing w:line="480" w:lineRule="auto"/>
        <w:jc w:val="center"/>
      </w:pPr>
      <w:bookmarkStart w:id="135" w:name="_Ref442880337"/>
      <w:bookmarkStart w:id="136" w:name="_Ref456877512"/>
      <w:r>
        <w:t xml:space="preserve">Figure </w:t>
      </w:r>
      <w:bookmarkEnd w:id="135"/>
      <w:r w:rsidR="0075172E">
        <w:fldChar w:fldCharType="begin"/>
      </w:r>
      <w:r w:rsidR="00EB1DC7">
        <w:instrText xml:space="preserve"> STYLEREF 1 \s </w:instrText>
      </w:r>
      <w:r w:rsidR="0075172E">
        <w:fldChar w:fldCharType="separate"/>
      </w:r>
      <w:r w:rsidR="00CB4EDC">
        <w:rPr>
          <w:noProof/>
        </w:rPr>
        <w:t>3</w:t>
      </w:r>
      <w:r w:rsidR="0075172E">
        <w:fldChar w:fldCharType="end"/>
      </w:r>
      <w:r w:rsidR="00EB1DC7">
        <w:t>.</w:t>
      </w:r>
      <w:r w:rsidR="0075172E">
        <w:fldChar w:fldCharType="begin"/>
      </w:r>
      <w:r w:rsidR="008628F5">
        <w:instrText xml:space="preserve"> SEQ Figure \* ARABIC \s 1 </w:instrText>
      </w:r>
      <w:r w:rsidR="0075172E">
        <w:fldChar w:fldCharType="separate"/>
      </w:r>
      <w:r w:rsidR="00CB4EDC">
        <w:rPr>
          <w:noProof/>
        </w:rPr>
        <w:t>30</w:t>
      </w:r>
      <w:r w:rsidR="0075172E">
        <w:fldChar w:fldCharType="end"/>
      </w:r>
      <w:bookmarkEnd w:id="136"/>
      <w:r w:rsidR="000104A6">
        <w:t xml:space="preserve"> </w:t>
      </w:r>
      <w:r>
        <w:t xml:space="preserve">: </w:t>
      </w:r>
      <w:r w:rsidRPr="005F5057">
        <w:t xml:space="preserve">ITC binding isotherm of the interaction between 15 µM BSA and 4.3 mM pentameric </w:t>
      </w:r>
      <w:r>
        <w:t>p</w:t>
      </w:r>
      <w:r w:rsidRPr="005F5057">
        <w:t>roanthocyanidin in 10 mM acetate pH 4 at 25</w:t>
      </w:r>
      <w:r w:rsidR="006F2757">
        <w:t xml:space="preserve"> </w:t>
      </w:r>
      <w:r w:rsidRPr="005F5057">
        <w:t>°C (</w:t>
      </w:r>
      <w:r w:rsidR="00C57BA9">
        <w:t>closed</w:t>
      </w:r>
      <w:r w:rsidRPr="005F5057">
        <w:t xml:space="preserve"> circles)</w:t>
      </w:r>
      <w:r>
        <w:t xml:space="preserve">. Sodium acetate into a solution of </w:t>
      </w:r>
      <w:r w:rsidRPr="005F5057">
        <w:t xml:space="preserve">15 µM BSA </w:t>
      </w:r>
      <w:r>
        <w:t xml:space="preserve">(open circles) and </w:t>
      </w:r>
      <w:r w:rsidRPr="005F5057">
        <w:t xml:space="preserve">pentameric </w:t>
      </w:r>
      <w:r>
        <w:t>p</w:t>
      </w:r>
      <w:r w:rsidRPr="005F5057">
        <w:t xml:space="preserve">roanthocyanidin </w:t>
      </w:r>
      <w:r>
        <w:t>dilution into sodium acetate (open squares).</w:t>
      </w:r>
      <w:r w:rsidR="004E0F1C">
        <w:t xml:space="preserve"> Solid line represents single site independent binding model fit.</w:t>
      </w:r>
    </w:p>
    <w:p w:rsidR="001569FC" w:rsidRDefault="000574FF" w:rsidP="00C7697D">
      <w:pPr>
        <w:spacing w:line="480" w:lineRule="auto"/>
        <w:jc w:val="both"/>
        <w:rPr>
          <w:bCs/>
          <w:iCs/>
        </w:rPr>
      </w:pPr>
      <w:r>
        <w:rPr>
          <w:bCs/>
          <w:iCs/>
        </w:rPr>
        <w:t xml:space="preserve">Addition of </w:t>
      </w:r>
      <w:r w:rsidR="002B4A15">
        <w:rPr>
          <w:bCs/>
          <w:iCs/>
        </w:rPr>
        <w:t>thiocyanate</w:t>
      </w:r>
      <w:r>
        <w:rPr>
          <w:bCs/>
          <w:iCs/>
        </w:rPr>
        <w:t xml:space="preserve"> increases the binding exothermicity</w:t>
      </w:r>
      <w:r w:rsidR="002B4A15">
        <w:rPr>
          <w:bCs/>
          <w:iCs/>
        </w:rPr>
        <w:t xml:space="preserve"> (</w:t>
      </w:r>
      <w:r w:rsidR="0075172E">
        <w:rPr>
          <w:bCs/>
          <w:iCs/>
        </w:rPr>
        <w:fldChar w:fldCharType="begin"/>
      </w:r>
      <w:r w:rsidR="00C07BA6">
        <w:rPr>
          <w:bCs/>
          <w:iCs/>
        </w:rPr>
        <w:instrText xml:space="preserve"> REF _Ref456877651 \h </w:instrText>
      </w:r>
      <w:r w:rsidR="0075172E">
        <w:rPr>
          <w:bCs/>
          <w:iCs/>
        </w:rPr>
      </w:r>
      <w:r w:rsidR="0075172E">
        <w:rPr>
          <w:bCs/>
          <w:iCs/>
        </w:rPr>
        <w:fldChar w:fldCharType="separate"/>
      </w:r>
      <w:r w:rsidR="00C07BA6">
        <w:t xml:space="preserve">Figure </w:t>
      </w:r>
      <w:r w:rsidR="00C07BA6">
        <w:rPr>
          <w:noProof/>
        </w:rPr>
        <w:t>3</w:t>
      </w:r>
      <w:r w:rsidR="00C07BA6">
        <w:t>.</w:t>
      </w:r>
      <w:r w:rsidR="00C07BA6">
        <w:rPr>
          <w:noProof/>
        </w:rPr>
        <w:t>31</w:t>
      </w:r>
      <w:r w:rsidR="0075172E">
        <w:rPr>
          <w:bCs/>
          <w:iCs/>
        </w:rPr>
        <w:fldChar w:fldCharType="end"/>
      </w:r>
      <w:r w:rsidR="00C07BA6">
        <w:rPr>
          <w:bCs/>
          <w:iCs/>
        </w:rPr>
        <w:t>)</w:t>
      </w:r>
      <w:r>
        <w:rPr>
          <w:bCs/>
          <w:iCs/>
        </w:rPr>
        <w:t xml:space="preserve">, </w:t>
      </w:r>
      <w:r w:rsidR="002B4A15">
        <w:rPr>
          <w:bCs/>
          <w:iCs/>
        </w:rPr>
        <w:t xml:space="preserve">whilst the addition of sulphate further increased the exothermicity </w:t>
      </w:r>
      <w:r w:rsidR="00F5131B">
        <w:rPr>
          <w:bCs/>
          <w:iCs/>
        </w:rPr>
        <w:t>(</w:t>
      </w:r>
      <w:r w:rsidR="0075172E">
        <w:rPr>
          <w:bCs/>
          <w:iCs/>
        </w:rPr>
        <w:fldChar w:fldCharType="begin"/>
      </w:r>
      <w:r w:rsidR="00C07BA6">
        <w:rPr>
          <w:bCs/>
          <w:iCs/>
        </w:rPr>
        <w:instrText xml:space="preserve"> REF _Ref456877661 \h </w:instrText>
      </w:r>
      <w:r w:rsidR="0075172E">
        <w:rPr>
          <w:bCs/>
          <w:iCs/>
        </w:rPr>
      </w:r>
      <w:r w:rsidR="0075172E">
        <w:rPr>
          <w:bCs/>
          <w:iCs/>
        </w:rPr>
        <w:fldChar w:fldCharType="separate"/>
      </w:r>
      <w:r w:rsidR="00C07BA6">
        <w:t xml:space="preserve">Figure </w:t>
      </w:r>
      <w:r w:rsidR="00C07BA6">
        <w:rPr>
          <w:noProof/>
        </w:rPr>
        <w:t>3</w:t>
      </w:r>
      <w:r w:rsidR="00C07BA6">
        <w:t>.</w:t>
      </w:r>
      <w:r w:rsidR="00C07BA6">
        <w:rPr>
          <w:noProof/>
        </w:rPr>
        <w:t>32</w:t>
      </w:r>
      <w:r w:rsidR="0075172E">
        <w:rPr>
          <w:bCs/>
          <w:iCs/>
        </w:rPr>
        <w:fldChar w:fldCharType="end"/>
      </w:r>
      <w:r w:rsidR="00C07BA6">
        <w:rPr>
          <w:bCs/>
          <w:iCs/>
        </w:rPr>
        <w:t xml:space="preserve"> </w:t>
      </w:r>
      <w:r w:rsidR="002B4A15">
        <w:rPr>
          <w:bCs/>
          <w:iCs/>
        </w:rPr>
        <w:t>and</w:t>
      </w:r>
      <w:r w:rsidR="00F5131B">
        <w:rPr>
          <w:bCs/>
          <w:iCs/>
        </w:rPr>
        <w:t xml:space="preserve"> </w:t>
      </w:r>
      <w:r w:rsidR="0075172E">
        <w:rPr>
          <w:bCs/>
          <w:iCs/>
        </w:rPr>
        <w:fldChar w:fldCharType="begin"/>
      </w:r>
      <w:r w:rsidR="00C07BA6">
        <w:rPr>
          <w:bCs/>
          <w:iCs/>
        </w:rPr>
        <w:instrText xml:space="preserve"> REF _Ref456877669 \h </w:instrText>
      </w:r>
      <w:r w:rsidR="0075172E">
        <w:rPr>
          <w:bCs/>
          <w:iCs/>
        </w:rPr>
      </w:r>
      <w:r w:rsidR="0075172E">
        <w:rPr>
          <w:bCs/>
          <w:iCs/>
        </w:rPr>
        <w:fldChar w:fldCharType="separate"/>
      </w:r>
      <w:r w:rsidR="00C07BA6">
        <w:t xml:space="preserve">Figure </w:t>
      </w:r>
      <w:r w:rsidR="00C07BA6">
        <w:rPr>
          <w:noProof/>
        </w:rPr>
        <w:t>3</w:t>
      </w:r>
      <w:r w:rsidR="00C07BA6">
        <w:t>.</w:t>
      </w:r>
      <w:r w:rsidR="00C07BA6">
        <w:rPr>
          <w:noProof/>
        </w:rPr>
        <w:t>33</w:t>
      </w:r>
      <w:r w:rsidR="0075172E">
        <w:rPr>
          <w:bCs/>
          <w:iCs/>
        </w:rPr>
        <w:fldChar w:fldCharType="end"/>
      </w:r>
      <w:r w:rsidR="002B4A15">
        <w:rPr>
          <w:bCs/>
          <w:iCs/>
        </w:rPr>
        <w:t>)</w:t>
      </w:r>
      <w:r>
        <w:rPr>
          <w:bCs/>
          <w:iCs/>
        </w:rPr>
        <w:t xml:space="preserve">. </w:t>
      </w:r>
      <w:r w:rsidR="002B4A15">
        <w:rPr>
          <w:bCs/>
          <w:iCs/>
        </w:rPr>
        <w:t>This is not what is expected based on previous work</w:t>
      </w:r>
      <w:hyperlink w:anchor="_ENREF_236" w:tooltip="Fox, 2015 #691" w:history="1">
        <w:r w:rsidR="00512D09">
          <w:rPr>
            <w:bCs/>
            <w:iCs/>
          </w:rPr>
          <w:fldChar w:fldCharType="begin"/>
        </w:r>
        <w:r w:rsidR="00512D09">
          <w:rPr>
            <w:bCs/>
            <w:iCs/>
          </w:rPr>
          <w:instrText xml:space="preserve"> ADDIN EN.CITE &lt;EndNote&gt;&lt;Cite&gt;&lt;Author&gt;Fox&lt;/Author&gt;&lt;Year&gt;2015&lt;/Year&gt;&lt;RecNum&gt;691&lt;/RecNum&gt;&lt;DisplayText&gt;&lt;style face="superscript"&gt;236&lt;/style&gt;&lt;/DisplayText&gt;&lt;record&gt;&lt;rec-number&gt;691&lt;/rec-number&gt;&lt;foreign-keys&gt;&lt;key app="EN" db-id="5trrespwzsdr07efd5tx2w96x22re9s0fsdt"&gt;691&lt;/key&gt;&lt;/foreign-keys&gt;&lt;ref-type name="Journal Article"&gt;17&lt;/ref-type&gt;&lt;contributors&gt;&lt;authors&gt;&lt;author&gt;Fox, Jerome M.&lt;/author&gt;&lt;author&gt;Kang, Kyungtae&lt;/author&gt;&lt;author&gt;Sherman, Woody&lt;/author&gt;&lt;author&gt;Héroux, Annie&lt;/author&gt;&lt;author&gt;Sastry, G. Madhavi&lt;/author&gt;&lt;author&gt;Baghbanzadeh, Mostafa&lt;/author&gt;&lt;author&gt;Lockett, Matthew R.&lt;/author&gt;&lt;author&gt;Whitesides, George M.&lt;/author&gt;&lt;/authors&gt;&lt;/contributors&gt;&lt;titles&gt;&lt;title&gt;Interactions between Hofmeister Anions and the Binding Pocket of a Protein&lt;/title&gt;&lt;secondary-title&gt;J Am Chem Soc&lt;/secondary-title&gt;&lt;/titles&gt;&lt;periodical&gt;&lt;full-title&gt;J Am Chem Soc&lt;/full-title&gt;&lt;abbr-1&gt;Journal of the American Chemical Society&lt;/abbr-1&gt;&lt;/periodical&gt;&lt;pages&gt;3859-3866&lt;/pages&gt;&lt;volume&gt;137&lt;/volume&gt;&lt;number&gt;11&lt;/number&gt;&lt;dates&gt;&lt;year&gt;2015&lt;/year&gt;&lt;pub-dates&gt;&lt;date&gt;2015/03/25&lt;/date&gt;&lt;/pub-dates&gt;&lt;/dates&gt;&lt;publisher&gt;American Chemical Society&lt;/publisher&gt;&lt;isbn&gt;0002-7863&lt;/isbn&gt;&lt;urls&gt;&lt;related-urls&gt;&lt;url&gt;http://dx.doi.org/10.1021/jacs.5b00187&lt;/url&gt;&lt;/related-urls&gt;&lt;/urls&gt;&lt;electronic-resource-num&gt;10.1021/jacs.5b00187&lt;/electronic-resource-num&gt;&lt;/record&gt;&lt;/Cite&gt;&lt;/EndNote&gt;</w:instrText>
        </w:r>
        <w:r w:rsidR="00512D09">
          <w:rPr>
            <w:bCs/>
            <w:iCs/>
          </w:rPr>
          <w:fldChar w:fldCharType="separate"/>
        </w:r>
        <w:r w:rsidR="00512D09" w:rsidRPr="006421D1">
          <w:rPr>
            <w:bCs/>
            <w:iCs/>
            <w:noProof/>
            <w:vertAlign w:val="superscript"/>
          </w:rPr>
          <w:t>236</w:t>
        </w:r>
        <w:r w:rsidR="00512D09">
          <w:rPr>
            <w:bCs/>
            <w:iCs/>
          </w:rPr>
          <w:fldChar w:fldCharType="end"/>
        </w:r>
      </w:hyperlink>
      <w:r w:rsidR="002B4A15">
        <w:rPr>
          <w:bCs/>
          <w:iCs/>
        </w:rPr>
        <w:t xml:space="preserve"> or the BSA-</w:t>
      </w:r>
      <w:r w:rsidR="00C57BA9" w:rsidRPr="00C57BA9">
        <w:rPr>
          <w:bCs/>
          <w:iCs/>
        </w:rPr>
        <w:t xml:space="preserve">octanoate </w:t>
      </w:r>
      <w:r w:rsidR="002B4A15">
        <w:rPr>
          <w:bCs/>
          <w:iCs/>
        </w:rPr>
        <w:t xml:space="preserve">studies with different salts. </w:t>
      </w:r>
    </w:p>
    <w:p w:rsidR="000574FF" w:rsidRPr="00C7697D" w:rsidRDefault="00040F10" w:rsidP="00C7697D">
      <w:pPr>
        <w:spacing w:line="480" w:lineRule="auto"/>
        <w:jc w:val="both"/>
        <w:rPr>
          <w:bCs/>
          <w:iCs/>
        </w:rPr>
      </w:pPr>
      <w:r>
        <w:rPr>
          <w:bCs/>
          <w:iCs/>
          <w:noProof/>
          <w:lang w:eastAsia="en-GB"/>
        </w:rPr>
        <w:lastRenderedPageBreak/>
        <w:pict>
          <v:shape id="_x0000_s1201" type="#_x0000_t202" style="position:absolute;left:0;text-align:left;margin-left:177.5pt;margin-top:-4.3pt;width:87.05pt;height:17.65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6D046F">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Cs/>
          <w:iCs/>
          <w:noProof/>
          <w:lang w:eastAsia="en-GB"/>
        </w:rPr>
        <w:pict>
          <v:shape id="_x0000_s1200" type="#_x0000_t202" style="position:absolute;left:0;text-align:left;margin-left:182.9pt;margin-top:259.45pt;width:87.05pt;height:17.65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6D046F">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iCs/>
          <w:noProof/>
          <w:lang w:eastAsia="en-GB"/>
        </w:rPr>
        <w:pict>
          <v:shape id="Text Box 84" o:spid="_x0000_s1040" type="#_x0000_t202" style="position:absolute;left:0;text-align:left;margin-left:-12.6pt;margin-top:8.6pt;width:24.05pt;height:238.9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" strokecolor="white [3212]">
            <v:textbox style="layout-flow:vertical;mso-layout-flow-alt:bottom-to-top">
              <w:txbxContent>
                <w:p w:rsidR="003A5686" w:rsidRPr="00311B45" w:rsidRDefault="003A5686" w:rsidP="00800BC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Pr>
          <w:bCs/>
          <w:iCs/>
          <w:noProof/>
          <w:lang w:eastAsia="en-GB"/>
        </w:rPr>
        <w:pict>
          <v:shape id="Text Box 65" o:spid="_x0000_s1041" type="#_x0000_t202" style="position:absolute;left:0;text-align:left;margin-left:53.7pt;margin-top:145.5pt;width:12.15pt;height:24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" strokecolor="white [3212]">
            <v:textbox>
              <w:txbxContent>
                <w:p w:rsidR="003A5686" w:rsidRDefault="003A5686" w:rsidP="00856772"/>
              </w:txbxContent>
            </v:textbox>
          </v:shape>
        </w:pict>
      </w:r>
      <w:r w:rsidR="00C7697D">
        <w:rPr>
          <w:bCs/>
          <w:iCs/>
          <w:noProof/>
          <w:lang w:eastAsia="en-GB"/>
        </w:rPr>
        <w:drawing>
          <wp:inline distT="0" distB="0" distL="0" distR="0" wp14:anchorId="42253A7B" wp14:editId="2941647D">
            <wp:extent cx="5205730" cy="3493237"/>
            <wp:effectExtent l="19050" t="0" r="0"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0574FF" w:rsidRDefault="000574FF" w:rsidP="000104A6">
      <w:pPr>
        <w:pStyle w:val="Caption"/>
        <w:keepNext/>
        <w:spacing w:line="480" w:lineRule="auto"/>
        <w:jc w:val="center"/>
      </w:pPr>
      <w:bookmarkStart w:id="137" w:name="_Ref442880589"/>
      <w:bookmarkStart w:id="138" w:name="_Ref456877651"/>
      <w:r>
        <w:t xml:space="preserve">Figure </w:t>
      </w:r>
      <w:bookmarkEnd w:id="137"/>
      <w:r w:rsidR="0075172E">
        <w:fldChar w:fldCharType="begin"/>
      </w:r>
      <w:r w:rsidR="00EB1DC7">
        <w:instrText xml:space="preserve"> STYLEREF 1 \s </w:instrText>
      </w:r>
      <w:r w:rsidR="0075172E">
        <w:fldChar w:fldCharType="separate"/>
      </w:r>
      <w:r w:rsidR="00CB4EDC">
        <w:rPr>
          <w:noProof/>
        </w:rPr>
        <w:t>3</w:t>
      </w:r>
      <w:r w:rsidR="0075172E">
        <w:fldChar w:fldCharType="end"/>
      </w:r>
      <w:r w:rsidR="00EB1DC7">
        <w:t>.</w:t>
      </w:r>
      <w:r w:rsidR="0075172E">
        <w:fldChar w:fldCharType="begin"/>
      </w:r>
      <w:r w:rsidR="008628F5">
        <w:instrText xml:space="preserve"> SEQ Figure \* ARABIC \s 1 </w:instrText>
      </w:r>
      <w:r w:rsidR="0075172E">
        <w:fldChar w:fldCharType="separate"/>
      </w:r>
      <w:r w:rsidR="00CB4EDC">
        <w:rPr>
          <w:noProof/>
        </w:rPr>
        <w:t>31</w:t>
      </w:r>
      <w:r w:rsidR="0075172E">
        <w:fldChar w:fldCharType="end"/>
      </w:r>
      <w:bookmarkEnd w:id="138"/>
      <w:r>
        <w:t xml:space="preserve">: </w:t>
      </w:r>
      <w:r w:rsidRPr="005F5057">
        <w:t xml:space="preserve">ITC binding isotherm of the interaction between 15 µM BSA and 4.3 mM pentameric </w:t>
      </w:r>
      <w:r>
        <w:t>p</w:t>
      </w:r>
      <w:r w:rsidRPr="005F5057">
        <w:t xml:space="preserve">roanthocyanidin in 10 mM </w:t>
      </w:r>
      <w:r>
        <w:t xml:space="preserve">ammonium </w:t>
      </w:r>
      <w:r w:rsidRPr="005F5057">
        <w:t>acetate</w:t>
      </w:r>
      <w:r>
        <w:t xml:space="preserve"> 50 mM ammonium thiocyanate</w:t>
      </w:r>
      <w:r w:rsidRPr="005F5057">
        <w:t xml:space="preserve"> pH 4 at 25</w:t>
      </w:r>
      <w:r w:rsidR="006F2757">
        <w:t xml:space="preserve"> </w:t>
      </w:r>
      <w:r w:rsidRPr="005F5057">
        <w:t>°C (</w:t>
      </w:r>
      <w:r w:rsidR="00C57BA9">
        <w:t>closed</w:t>
      </w:r>
      <w:r w:rsidRPr="005F5057">
        <w:t xml:space="preserve"> circles)</w:t>
      </w:r>
      <w:r>
        <w:t xml:space="preserve">. Ammonium acetate into a solution of </w:t>
      </w:r>
      <w:r w:rsidRPr="005F5057">
        <w:t xml:space="preserve">15 µM BSA </w:t>
      </w:r>
      <w:r>
        <w:t xml:space="preserve">(open circles) and </w:t>
      </w:r>
      <w:r w:rsidRPr="005F5057">
        <w:t xml:space="preserve">pentameric </w:t>
      </w:r>
      <w:r>
        <w:t>p</w:t>
      </w:r>
      <w:r w:rsidRPr="005F5057">
        <w:t xml:space="preserve">roanthocyanidin </w:t>
      </w:r>
      <w:r>
        <w:t>dilution into sodium acetate with ammonium thiocyanate (open squares).</w:t>
      </w:r>
      <w:r w:rsidR="004E0F1C">
        <w:t xml:space="preserve"> Solid line represents single site independent binding model fit. </w:t>
      </w:r>
    </w:p>
    <w:p w:rsidR="008E10FA" w:rsidRDefault="008E10FA" w:rsidP="00C31AF9">
      <w:pPr>
        <w:spacing w:line="480" w:lineRule="auto"/>
        <w:jc w:val="both"/>
        <w:rPr>
          <w:bCs/>
          <w:iCs/>
        </w:rPr>
      </w:pPr>
      <w:r>
        <w:rPr>
          <w:bCs/>
          <w:iCs/>
        </w:rPr>
        <w:t xml:space="preserve">Both salts seem to increase the amount of visible precipitation. Increasing the amount of precipitated BSA bound tannin would explain the dramatic increase in exothermicity and why both salts do not have opposing effects on the binding thermodynamics. However, this does not explain how thiocyanate is increasing the amount of precipitation. </w:t>
      </w:r>
    </w:p>
    <w:p w:rsidR="00773B08" w:rsidRDefault="00D74EAD" w:rsidP="00773B08">
      <w:pPr>
        <w:spacing w:line="480" w:lineRule="auto"/>
        <w:jc w:val="both"/>
        <w:rPr>
          <w:bCs/>
          <w:iCs/>
        </w:rPr>
      </w:pPr>
      <w:r>
        <w:rPr>
          <w:bCs/>
          <w:iCs/>
        </w:rPr>
        <w:t xml:space="preserve">Surface tension arises due to hydrogen bonding between water molecules. In the bulk, water can orientate freely and form the optimal number of hydrogen bonds. At the surface, water is less able to adopt an optimal hydrogen bond configuration leading to a less favourable free energy state. Because the hydrophobic effect primarily arises from the strong self attraction of water it means surface tension measurements can be used to </w:t>
      </w:r>
      <w:r w:rsidR="00A574EA">
        <w:rPr>
          <w:bCs/>
          <w:iCs/>
        </w:rPr>
        <w:t>measure it.</w:t>
      </w:r>
      <w:hyperlink w:anchor="_ENREF_114" w:tooltip="Zhang, 2005 #342" w:history="1">
        <w:r w:rsidR="00512D09">
          <w:rPr>
            <w:bCs/>
            <w:iCs/>
          </w:rPr>
          <w:fldChar w:fldCharType="begin"/>
        </w:r>
        <w:r w:rsidR="00512D09">
          <w:rPr>
            <w:bCs/>
            <w:iCs/>
          </w:rPr>
          <w:instrText xml:space="preserve"> ADDIN EN.CITE &lt;EndNote&gt;&lt;Cite&gt;&lt;Author&gt;Zhang&lt;/Author&gt;&lt;Year&gt;2005&lt;/Year&gt;&lt;RecNum&gt;342&lt;/RecNum&gt;&lt;DisplayText&gt;&lt;style face="superscript"&gt;114&lt;/style&gt;&lt;/DisplayText&gt;&lt;record&gt;&lt;rec-number&gt;342&lt;/rec-number&gt;&lt;foreign-keys&gt;&lt;key app="EN" db-id="5trrespwzsdr07efd5tx2w96x22re9s0fsdt"&gt;342&lt;/key&gt;&lt;/foreign-keys&gt;&lt;ref-type name="Journal Article"&gt;17&lt;/ref-type&gt;&lt;contributors&gt;&lt;authors&gt;&lt;author&gt;Zhang, Yanjie&lt;/author&gt;&lt;author&gt;Furyk, Steven&lt;/author&gt;&lt;author&gt;Bergbreiter, David E.&lt;/author&gt;&lt;author&gt;Cremer, Paul S.&lt;/author&gt;&lt;/authors&gt;&lt;/contributors&gt;&lt;titles&gt;&lt;title&gt;Specific Ion Effects on the Water Solubility of Macromolecules:  PNIPAM and the Hofmeister Series&lt;/title&gt;&lt;secondary-title&gt;J Am Chem Soc&lt;/secondary-title&gt;&lt;/titles&gt;&lt;periodical&gt;&lt;full-title&gt;J Am Chem Soc&lt;/full-title&gt;&lt;abbr-1&gt;Journal of the American Chemical Society&lt;/abbr-1&gt;&lt;/periodical&gt;&lt;pages&gt;14505-14510&lt;/pages&gt;&lt;volume&gt;127&lt;/volume&gt;&lt;number&gt;41&lt;/number&gt;&lt;dates&gt;&lt;year&gt;2005&lt;/year&gt;&lt;pub-dates&gt;&lt;date&gt;2005/10/01&lt;/date&gt;&lt;/pub-dates&gt;&lt;/dates&gt;&lt;publisher&gt;American Chemical Society&lt;/publisher&gt;&lt;isbn&gt;0002-7863&lt;/isbn&gt;&lt;urls&gt;&lt;related-urls&gt;&lt;url&gt;http://dx.doi.org/10.1021/ja0546424&lt;/url&gt;&lt;/related-urls&gt;&lt;/urls&gt;&lt;electronic-resource-num&gt;10.1021/ja0546424&lt;/electronic-resource-num&gt;&lt;access-date&gt;2014/03/05&lt;/access-date&gt;&lt;/record&gt;&lt;/Cite&gt;&lt;/EndNote&gt;</w:instrText>
        </w:r>
        <w:r w:rsidR="00512D09">
          <w:rPr>
            <w:bCs/>
            <w:iCs/>
          </w:rPr>
          <w:fldChar w:fldCharType="separate"/>
        </w:r>
        <w:r w:rsidR="00512D09" w:rsidRPr="00F80CAD">
          <w:rPr>
            <w:bCs/>
            <w:iCs/>
            <w:noProof/>
            <w:vertAlign w:val="superscript"/>
          </w:rPr>
          <w:t>114</w:t>
        </w:r>
        <w:r w:rsidR="00512D09">
          <w:rPr>
            <w:bCs/>
            <w:iCs/>
          </w:rPr>
          <w:fldChar w:fldCharType="end"/>
        </w:r>
      </w:hyperlink>
      <w:r w:rsidR="00A574EA">
        <w:rPr>
          <w:bCs/>
          <w:iCs/>
        </w:rPr>
        <w:t xml:space="preserve"> </w:t>
      </w:r>
      <w:r w:rsidR="008E10FA">
        <w:rPr>
          <w:bCs/>
          <w:iCs/>
        </w:rPr>
        <w:t>All salts with a metal counterion increase the surface tension of water</w:t>
      </w:r>
      <w:r w:rsidR="00150787" w:rsidRPr="00150787">
        <w:rPr>
          <w:bCs/>
          <w:iCs/>
        </w:rPr>
        <w:t xml:space="preserve"> </w:t>
      </w:r>
      <w:r w:rsidR="00150787">
        <w:rPr>
          <w:bCs/>
          <w:iCs/>
        </w:rPr>
        <w:lastRenderedPageBreak/>
        <w:t>meaning that all salts increase the hydrophobic effect.</w:t>
      </w:r>
      <w:r w:rsidR="008E10FA">
        <w:rPr>
          <w:bCs/>
          <w:iCs/>
        </w:rPr>
        <w:t xml:space="preserve"> </w:t>
      </w:r>
      <w:hyperlink w:anchor="_ENREF_97" w:tooltip="Pegram, 2007 #370" w:history="1">
        <w:r w:rsidR="00512D09">
          <w:rPr>
            <w:bCs/>
            <w:iCs/>
          </w:rPr>
          <w:fldChar w:fldCharType="begin"/>
        </w:r>
        <w:r w:rsidR="00512D09">
          <w:rPr>
            <w:bCs/>
            <w:iCs/>
          </w:rPr>
          <w:instrText xml:space="preserve"> ADDIN EN.CITE &lt;EndNote&gt;&lt;Cite&gt;&lt;Author&gt;Pegram&lt;/Author&gt;&lt;Year&gt;2007&lt;/Year&gt;&lt;RecNum&gt;370&lt;/RecNum&gt;&lt;DisplayText&gt;&lt;style face="superscript"&gt;97&lt;/style&gt;&lt;/DisplayText&gt;&lt;record&gt;&lt;rec-number&gt;370&lt;/rec-number&gt;&lt;foreign-keys&gt;&lt;key app="EN" db-id="5trrespwzsdr07efd5tx2w96x22re9s0fsdt"&gt;370&lt;/key&gt;&lt;/foreign-keys&gt;&lt;ref-type name="Journal Article"&gt;17&lt;/ref-type&gt;&lt;contributors&gt;&lt;authors&gt;&lt;author&gt;Pegram, Laurel M.&lt;/author&gt;&lt;author&gt;Record, M. Thomas&lt;/author&gt;&lt;/authors&gt;&lt;/contributors&gt;&lt;titles&gt;&lt;title&gt;Hofmeister Salt Effects on Surface Tension Arise from Partitioning of Anions and Cations between Bulk Water and the Air−Water Interface&lt;/title&gt;&lt;secondary-title&gt;The Journal of Physical Chemistry B&lt;/secondary-title&gt;&lt;/titles&gt;&lt;periodical&gt;&lt;full-title&gt;The Journal of Physical Chemistry B&lt;/full-title&gt;&lt;/periodical&gt;&lt;pages&gt;5411-5417&lt;/pages&gt;&lt;volume&gt;111&lt;/volume&gt;&lt;number&gt;19&lt;/number&gt;&lt;dates&gt;&lt;year&gt;2007&lt;/year&gt;&lt;pub-dates&gt;&lt;date&gt;2007/05/01&lt;/date&gt;&lt;/pub-dates&gt;&lt;/dates&gt;&lt;publisher&gt;American Chemical Society&lt;/publisher&gt;&lt;isbn&gt;1520-6106&lt;/isbn&gt;&lt;urls&gt;&lt;related-urls&gt;&lt;url&gt;http://dx.doi.org/10.1021/jp070245z&lt;/url&gt;&lt;/related-urls&gt;&lt;/urls&gt;&lt;electronic-resource-num&gt;10.1021/jp070245z&lt;/electronic-resource-num&gt;&lt;access-date&gt;2014/05/19&lt;/access-date&gt;&lt;/record&gt;&lt;/Cite&gt;&lt;/EndNote&gt;</w:instrText>
        </w:r>
        <w:r w:rsidR="00512D09">
          <w:rPr>
            <w:bCs/>
            <w:iCs/>
          </w:rPr>
          <w:fldChar w:fldCharType="separate"/>
        </w:r>
        <w:r w:rsidR="00512D09" w:rsidRPr="00F80CAD">
          <w:rPr>
            <w:bCs/>
            <w:iCs/>
            <w:noProof/>
            <w:vertAlign w:val="superscript"/>
          </w:rPr>
          <w:t>97</w:t>
        </w:r>
        <w:r w:rsidR="00512D09">
          <w:rPr>
            <w:bCs/>
            <w:iCs/>
          </w:rPr>
          <w:fldChar w:fldCharType="end"/>
        </w:r>
      </w:hyperlink>
      <w:r w:rsidR="008E10FA">
        <w:rPr>
          <w:bCs/>
          <w:iCs/>
        </w:rPr>
        <w:t xml:space="preserve"> </w:t>
      </w:r>
      <w:r w:rsidR="00150787">
        <w:rPr>
          <w:bCs/>
          <w:iCs/>
        </w:rPr>
        <w:t>However, it is thought that chaotropes diminish the hydrophobic effect by binding to hydrophobic groups thereby changing the population of water around the macromolecule</w:t>
      </w:r>
      <w:r w:rsidR="00150787" w:rsidRPr="00150787">
        <w:rPr>
          <w:bCs/>
          <w:iCs/>
        </w:rPr>
        <w:t xml:space="preserve"> </w:t>
      </w:r>
      <w:r w:rsidR="00150787">
        <w:rPr>
          <w:bCs/>
          <w:iCs/>
        </w:rPr>
        <w:t xml:space="preserve">or increasing charge repulsion. </w:t>
      </w:r>
      <w:r w:rsidR="0075172E">
        <w:rPr>
          <w:bCs/>
          <w:iCs/>
        </w:rPr>
        <w:fldChar w:fldCharType="begin">
          <w:fldData xml:space="preserve">PEVuZE5vdGU+PENpdGU+PEF1dGhvcj5CeWU8L0F1dGhvcj48WWVhcj4yMDEzPC9ZZWFyPjxSZWNO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</w:fldData>
        </w:fldChar>
      </w:r>
      <w:r w:rsidR="006421D1">
        <w:rPr>
          <w:bCs/>
          <w:iCs/>
        </w:rPr>
        <w:instrText xml:space="preserve"> ADDIN EN.CITE </w:instrText>
      </w:r>
      <w:r w:rsidR="0075172E">
        <w:rPr>
          <w:bCs/>
          <w:iCs/>
        </w:rPr>
        <w:fldChar w:fldCharType="begin">
          <w:fldData xml:space="preserve">PEVuZE5vdGU+PENpdGU+PEF1dGhvcj5CeWU8L0F1dGhvcj48WWVhcj4yMDEzPC9ZZWFyPjxSZWNO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</w:fldData>
        </w:fldChar>
      </w:r>
      <w:r w:rsidR="006421D1">
        <w:rPr>
          <w:bCs/>
          <w:iCs/>
        </w:rPr>
        <w:instrText xml:space="preserve"> ADDIN EN.CITE.DATA </w:instrText>
      </w:r>
      <w:r w:rsidR="0075172E">
        <w:rPr>
          <w:bCs/>
          <w:iCs/>
        </w:rPr>
      </w:r>
      <w:r w:rsidR="0075172E">
        <w:rPr>
          <w:bCs/>
          <w:iCs/>
        </w:rPr>
        <w:fldChar w:fldCharType="end"/>
      </w:r>
      <w:r w:rsidR="0075172E">
        <w:rPr>
          <w:bCs/>
          <w:iCs/>
        </w:rPr>
      </w:r>
      <w:r w:rsidR="0075172E">
        <w:rPr>
          <w:bCs/>
          <w:iCs/>
        </w:rPr>
        <w:fldChar w:fldCharType="separate"/>
      </w:r>
      <w:hyperlink w:anchor="_ENREF_63" w:tooltip="Bye, 2013 #288" w:history="1">
        <w:r w:rsidR="00512D09" w:rsidRPr="006421D1">
          <w:rPr>
            <w:bCs/>
            <w:iCs/>
            <w:noProof/>
            <w:vertAlign w:val="superscript"/>
          </w:rPr>
          <w:t>63</w:t>
        </w:r>
      </w:hyperlink>
      <w:r w:rsidR="006421D1" w:rsidRPr="006421D1">
        <w:rPr>
          <w:bCs/>
          <w:iCs/>
          <w:noProof/>
          <w:vertAlign w:val="superscript"/>
        </w:rPr>
        <w:t>,</w:t>
      </w:r>
      <w:hyperlink w:anchor="_ENREF_118" w:tooltip="Rembert, 2012 #327" w:history="1">
        <w:r w:rsidR="00512D09" w:rsidRPr="006421D1">
          <w:rPr>
            <w:bCs/>
            <w:iCs/>
            <w:noProof/>
            <w:vertAlign w:val="superscript"/>
          </w:rPr>
          <w:t>118</w:t>
        </w:r>
      </w:hyperlink>
      <w:r w:rsidR="006421D1" w:rsidRPr="006421D1">
        <w:rPr>
          <w:bCs/>
          <w:iCs/>
          <w:noProof/>
          <w:vertAlign w:val="superscript"/>
        </w:rPr>
        <w:t>,</w:t>
      </w:r>
      <w:hyperlink w:anchor="_ENREF_239" w:tooltip="Bye, 2014 #396" w:history="1">
        <w:r w:rsidR="00512D09" w:rsidRPr="006421D1">
          <w:rPr>
            <w:bCs/>
            <w:iCs/>
            <w:noProof/>
            <w:vertAlign w:val="superscript"/>
          </w:rPr>
          <w:t>239</w:t>
        </w:r>
      </w:hyperlink>
      <w:r w:rsidR="006421D1" w:rsidRPr="006421D1">
        <w:rPr>
          <w:bCs/>
          <w:iCs/>
          <w:noProof/>
          <w:vertAlign w:val="superscript"/>
        </w:rPr>
        <w:t>,</w:t>
      </w:r>
      <w:hyperlink w:anchor="_ENREF_240" w:tooltip="Lund, 2008 #713" w:history="1">
        <w:r w:rsidR="00512D09" w:rsidRPr="006421D1">
          <w:rPr>
            <w:bCs/>
            <w:iCs/>
            <w:noProof/>
            <w:vertAlign w:val="superscript"/>
          </w:rPr>
          <w:t>240</w:t>
        </w:r>
      </w:hyperlink>
      <w:r w:rsidR="0075172E">
        <w:rPr>
          <w:bCs/>
          <w:iCs/>
        </w:rPr>
        <w:fldChar w:fldCharType="end"/>
      </w:r>
      <w:r w:rsidR="008C6B7C">
        <w:rPr>
          <w:bCs/>
          <w:iCs/>
        </w:rPr>
        <w:t xml:space="preserve"> </w:t>
      </w:r>
      <w:r w:rsidR="00773B08">
        <w:rPr>
          <w:bCs/>
          <w:iCs/>
        </w:rPr>
        <w:t>It is possible that there is less association</w:t>
      </w:r>
      <w:r w:rsidR="006C08DB">
        <w:rPr>
          <w:bCs/>
          <w:iCs/>
        </w:rPr>
        <w:t xml:space="preserve"> in this particular case,</w:t>
      </w:r>
      <w:r w:rsidR="00773B08">
        <w:rPr>
          <w:bCs/>
          <w:iCs/>
        </w:rPr>
        <w:t xml:space="preserve"> between thiocyanate and hydrophobic groups on the protein. Consequently, thiocyanate would remain in the bulk and act to increase the hydrophobic effect.  </w:t>
      </w:r>
    </w:p>
    <w:p w:rsidR="00AE4728" w:rsidRDefault="00773B08" w:rsidP="00773B08">
      <w:pPr>
        <w:spacing w:line="480" w:lineRule="auto"/>
        <w:jc w:val="both"/>
      </w:pPr>
      <w:r>
        <w:t>Another effect that needs to be taken into account is screening partial and full charges. Increasing the ionic strength of the solution will reduce electrostatic repulsion and allow proteins to come together. In this particular example, it may be that thiocyanate reduces like charges on the proteins, facilitating prote</w:t>
      </w:r>
      <w:r w:rsidR="009E127D">
        <w:t xml:space="preserve">in crosslinking via the tannin and thereby favourably altering the </w:t>
      </w:r>
      <w:r w:rsidR="00C07BA6" w:rsidRPr="001D171F">
        <w:rPr>
          <w:rFonts w:eastAsiaTheme="minorEastAsia"/>
        </w:rPr>
        <w:t>Δ</w:t>
      </w:r>
      <w:r w:rsidR="00C07BA6">
        <w:rPr>
          <w:rFonts w:eastAsiaTheme="minorEastAsia"/>
          <w:i/>
        </w:rPr>
        <w:t>H</w:t>
      </w:r>
      <w:r w:rsidR="009E127D">
        <w:t xml:space="preserve">. </w:t>
      </w:r>
    </w:p>
    <w:p w:rsidR="001569FC" w:rsidRDefault="001569FC" w:rsidP="00773B08">
      <w:pPr>
        <w:spacing w:line="480" w:lineRule="auto"/>
        <w:jc w:val="both"/>
      </w:pPr>
    </w:p>
    <w:p w:rsidR="001569FC" w:rsidRDefault="001569FC" w:rsidP="00773B08">
      <w:pPr>
        <w:spacing w:line="480" w:lineRule="auto"/>
        <w:jc w:val="both"/>
      </w:pPr>
    </w:p>
    <w:p w:rsidR="001569FC" w:rsidRDefault="001569FC" w:rsidP="00773B08">
      <w:pPr>
        <w:spacing w:line="480" w:lineRule="auto"/>
        <w:jc w:val="both"/>
      </w:pPr>
    </w:p>
    <w:p w:rsidR="001569FC" w:rsidRDefault="001569FC" w:rsidP="00773B08">
      <w:pPr>
        <w:spacing w:line="480" w:lineRule="auto"/>
        <w:jc w:val="both"/>
      </w:pPr>
    </w:p>
    <w:p w:rsidR="000574FF" w:rsidRDefault="00040F10" w:rsidP="001569FC">
      <w:pPr>
        <w:spacing w:line="480" w:lineRule="auto"/>
        <w:jc w:val="both"/>
      </w:pPr>
      <w:r>
        <w:rPr>
          <w:noProof/>
          <w:lang w:eastAsia="en-GB"/>
        </w:rPr>
        <w:lastRenderedPageBreak/>
        <w:pict>
          <v:shape id="_x0000_s1199" type="#_x0000_t202" style="position:absolute;left:0;text-align:left;margin-left:178.15pt;margin-top:-5.45pt;width:87.05pt;height:17.65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6D046F">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noProof/>
          <w:lang w:eastAsia="en-GB"/>
        </w:rPr>
        <w:pict>
          <v:shape id="_x0000_s1198" type="#_x0000_t202" style="position:absolute;left:0;text-align:left;margin-left:182.45pt;margin-top:261.5pt;width:87.05pt;height:17.65pt;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6D046F">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noProof/>
          <w:lang w:eastAsia="en-GB"/>
        </w:rPr>
        <w:pict>
          <v:shape id="Text Box 85" o:spid="_x0000_s1042" type="#_x0000_t202" style="position:absolute;left:0;text-align:left;margin-left:-11pt;margin-top:18.85pt;width:24.05pt;height:232.4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800BC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Pr>
          <w:noProof/>
          <w:lang w:eastAsia="en-GB"/>
        </w:rPr>
        <w:pict>
          <v:shape id="Text Box 66" o:spid="_x0000_s1043" type="#_x0000_t202" style="position:absolute;left:0;text-align:left;margin-left:49.95pt;margin-top:150pt;width:12.15pt;height:24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" strokecolor="white [3212]">
            <v:textbox>
              <w:txbxContent>
                <w:p w:rsidR="003A5686" w:rsidRDefault="003A5686" w:rsidP="00856772"/>
              </w:txbxContent>
            </v:textbox>
          </v:shape>
        </w:pict>
      </w:r>
      <w:r w:rsidR="00AE4728">
        <w:rPr>
          <w:noProof/>
          <w:lang w:eastAsia="en-GB"/>
        </w:rPr>
        <w:drawing>
          <wp:inline distT="0" distB="0" distL="0" distR="0" wp14:anchorId="4CB8E727" wp14:editId="6C88918A">
            <wp:extent cx="5205730" cy="3493237"/>
            <wp:effectExtent l="19050" t="0" r="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773B08" w:rsidRDefault="000574FF" w:rsidP="000104A6">
      <w:pPr>
        <w:pStyle w:val="Caption"/>
        <w:keepNext/>
        <w:spacing w:line="480" w:lineRule="auto"/>
        <w:jc w:val="center"/>
      </w:pPr>
      <w:bookmarkStart w:id="139" w:name="_Ref442880627"/>
      <w:bookmarkStart w:id="140" w:name="_Ref456877661"/>
      <w:r>
        <w:t xml:space="preserve">Figure </w:t>
      </w:r>
      <w:bookmarkEnd w:id="139"/>
      <w:r w:rsidR="0075172E">
        <w:fldChar w:fldCharType="begin"/>
      </w:r>
      <w:r w:rsidR="00EB1DC7">
        <w:instrText xml:space="preserve"> STYLEREF 1 \s </w:instrText>
      </w:r>
      <w:r w:rsidR="0075172E">
        <w:fldChar w:fldCharType="separate"/>
      </w:r>
      <w:r w:rsidR="00CB4EDC">
        <w:rPr>
          <w:noProof/>
        </w:rPr>
        <w:t>3</w:t>
      </w:r>
      <w:r w:rsidR="0075172E">
        <w:fldChar w:fldCharType="end"/>
      </w:r>
      <w:r w:rsidR="00EB1DC7">
        <w:t>.</w:t>
      </w:r>
      <w:r w:rsidR="0075172E">
        <w:fldChar w:fldCharType="begin"/>
      </w:r>
      <w:r w:rsidR="008628F5">
        <w:instrText xml:space="preserve"> SEQ Figure \* ARABIC \s 1 </w:instrText>
      </w:r>
      <w:r w:rsidR="0075172E">
        <w:fldChar w:fldCharType="separate"/>
      </w:r>
      <w:r w:rsidR="00CB4EDC">
        <w:rPr>
          <w:noProof/>
        </w:rPr>
        <w:t>32</w:t>
      </w:r>
      <w:r w:rsidR="0075172E">
        <w:fldChar w:fldCharType="end"/>
      </w:r>
      <w:bookmarkEnd w:id="140"/>
      <w:r>
        <w:t xml:space="preserve">: </w:t>
      </w:r>
      <w:r w:rsidRPr="005F5057">
        <w:t xml:space="preserve">ITC binding isotherm of the interaction between 15 µM BSA and 4.3 mM pentameric </w:t>
      </w:r>
      <w:r>
        <w:t>p</w:t>
      </w:r>
      <w:r w:rsidRPr="005F5057">
        <w:t xml:space="preserve">roanthocyanidin in 10 mM </w:t>
      </w:r>
      <w:r>
        <w:t xml:space="preserve">ammonium </w:t>
      </w:r>
      <w:r w:rsidRPr="005F5057">
        <w:t>acetate</w:t>
      </w:r>
      <w:r>
        <w:t xml:space="preserve"> 50 mM ammonium sulphate</w:t>
      </w:r>
      <w:r w:rsidRPr="005F5057">
        <w:t xml:space="preserve"> pH 4 at 25</w:t>
      </w:r>
      <w:r w:rsidR="006F2757">
        <w:t xml:space="preserve"> </w:t>
      </w:r>
      <w:r w:rsidRPr="005F5057">
        <w:t>°C (</w:t>
      </w:r>
      <w:r w:rsidR="00C57BA9">
        <w:t>closed</w:t>
      </w:r>
      <w:r w:rsidRPr="005F5057">
        <w:t xml:space="preserve"> circles)</w:t>
      </w:r>
      <w:r>
        <w:t xml:space="preserve">. Ammonium acetate into a solution of </w:t>
      </w:r>
      <w:r w:rsidRPr="005F5057">
        <w:t xml:space="preserve">15 µM BSA </w:t>
      </w:r>
      <w:r>
        <w:t xml:space="preserve">(open circles) and </w:t>
      </w:r>
      <w:r w:rsidRPr="005F5057">
        <w:t xml:space="preserve">pentameric </w:t>
      </w:r>
      <w:r>
        <w:t>p</w:t>
      </w:r>
      <w:r w:rsidRPr="005F5057">
        <w:t xml:space="preserve">roanthocyanidin </w:t>
      </w:r>
      <w:r>
        <w:t>dilution into sodium acetate with sulphate (open squares)</w:t>
      </w:r>
      <w:r w:rsidR="004E0F1C">
        <w:t>. Solid line represents single site independent binding model fit.</w:t>
      </w:r>
    </w:p>
    <w:p w:rsidR="000104A6" w:rsidRDefault="001569FC" w:rsidP="00B65749">
      <w:pPr>
        <w:spacing w:line="480" w:lineRule="auto"/>
        <w:jc w:val="both"/>
        <w:rPr>
          <w:bCs/>
          <w:iCs/>
        </w:rPr>
      </w:pPr>
      <w:r>
        <w:rPr>
          <w:bCs/>
          <w:iCs/>
        </w:rPr>
        <w:t xml:space="preserve">Sulphate on the other hand, is suggested to increase hydrophobic interaction by destabilising the waters around polar moieties and at higher concentrations remove water from </w:t>
      </w:r>
      <w:r w:rsidR="00BA7E7A">
        <w:rPr>
          <w:bCs/>
          <w:iCs/>
        </w:rPr>
        <w:t>apolar</w:t>
      </w:r>
      <w:r>
        <w:rPr>
          <w:bCs/>
          <w:iCs/>
        </w:rPr>
        <w:t xml:space="preserve"> moieties favouring hydrophobic collapse, which is supported by NMR and light scattering techniques.</w:t>
      </w:r>
      <w:r w:rsidR="0075172E">
        <w:rPr>
          <w:bCs/>
          <w:iCs/>
        </w:rPr>
        <w:fldChar w:fldCharType="begin">
          <w:fldData xml:space="preserve">PEVuZE5vdGU+PENpdGU+PEF1dGhvcj5aaGFuZzwvQXV0aG9yPjxZZWFyPjIwMDU8L1llYXI+PFJl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</w:fldData>
        </w:fldChar>
      </w:r>
      <w:r w:rsidR="00F80CAD">
        <w:rPr>
          <w:bCs/>
          <w:iCs/>
        </w:rPr>
        <w:instrText xml:space="preserve"> ADDIN EN.CITE </w:instrText>
      </w:r>
      <w:r w:rsidR="0075172E">
        <w:rPr>
          <w:bCs/>
          <w:iCs/>
        </w:rPr>
        <w:fldChar w:fldCharType="begin">
          <w:fldData xml:space="preserve">PEVuZE5vdGU+PENpdGU+PEF1dGhvcj5aaGFuZzwvQXV0aG9yPjxZZWFyPjIwMDU8L1llYXI+PFJl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</w:fldData>
        </w:fldChar>
      </w:r>
      <w:r w:rsidR="00F80CAD">
        <w:rPr>
          <w:bCs/>
          <w:iCs/>
        </w:rPr>
        <w:instrText xml:space="preserve"> ADDIN EN.CITE.DATA </w:instrText>
      </w:r>
      <w:r w:rsidR="0075172E">
        <w:rPr>
          <w:bCs/>
          <w:iCs/>
        </w:rPr>
      </w:r>
      <w:r w:rsidR="0075172E">
        <w:rPr>
          <w:bCs/>
          <w:iCs/>
        </w:rPr>
        <w:fldChar w:fldCharType="end"/>
      </w:r>
      <w:r w:rsidR="0075172E">
        <w:rPr>
          <w:bCs/>
          <w:iCs/>
        </w:rPr>
      </w:r>
      <w:r w:rsidR="0075172E">
        <w:rPr>
          <w:bCs/>
          <w:iCs/>
        </w:rPr>
        <w:fldChar w:fldCharType="separate"/>
      </w:r>
      <w:hyperlink w:anchor="_ENREF_114" w:tooltip="Zhang, 2005 #342" w:history="1">
        <w:r w:rsidR="00512D09" w:rsidRPr="00F80CAD">
          <w:rPr>
            <w:bCs/>
            <w:iCs/>
            <w:noProof/>
            <w:vertAlign w:val="superscript"/>
          </w:rPr>
          <w:t>114</w:t>
        </w:r>
      </w:hyperlink>
      <w:r w:rsidR="00F80CAD" w:rsidRPr="00F80CAD">
        <w:rPr>
          <w:bCs/>
          <w:iCs/>
          <w:noProof/>
          <w:vertAlign w:val="superscript"/>
        </w:rPr>
        <w:t>,</w:t>
      </w:r>
      <w:hyperlink w:anchor="_ENREF_119" w:tooltip="Paterová, 2013 #380" w:history="1">
        <w:r w:rsidR="00512D09" w:rsidRPr="00F80CAD">
          <w:rPr>
            <w:bCs/>
            <w:iCs/>
            <w:noProof/>
            <w:vertAlign w:val="superscript"/>
          </w:rPr>
          <w:t>119</w:t>
        </w:r>
      </w:hyperlink>
      <w:r w:rsidR="0075172E">
        <w:rPr>
          <w:bCs/>
          <w:iCs/>
        </w:rPr>
        <w:fldChar w:fldCharType="end"/>
      </w:r>
      <w:r>
        <w:rPr>
          <w:bCs/>
          <w:iCs/>
        </w:rPr>
        <w:t xml:space="preserve"> Given that the isoelectric point of the protein is just below the pH, BSA would be expected to have a slight positive charge which would act to repel other BSA molecules in solution. Therefore, sulphate may increase tannin-induced precipitation by removing water from hydrophobic and polar moieties in addition to reducing electrostatic repulsion. </w:t>
      </w:r>
    </w:p>
    <w:p w:rsidR="00BA2161" w:rsidRPr="00B65749" w:rsidRDefault="00BA2161" w:rsidP="00B65749">
      <w:pPr>
        <w:spacing w:line="480" w:lineRule="auto"/>
        <w:jc w:val="both"/>
        <w:rPr>
          <w:bCs/>
          <w:iCs/>
        </w:rPr>
      </w:pPr>
      <w:r>
        <w:rPr>
          <w:bCs/>
          <w:iCs/>
        </w:rPr>
        <w:lastRenderedPageBreak/>
        <w:t>The thermodynamic values have been calculated for the interaction between pentameric proanthocyanidin and BSA in the presence of the specified salt</w:t>
      </w:r>
      <w:r w:rsidR="00C07BA6">
        <w:rPr>
          <w:bCs/>
          <w:iCs/>
        </w:rPr>
        <w:t xml:space="preserve"> (</w:t>
      </w:r>
      <w:r w:rsidR="0075172E">
        <w:rPr>
          <w:bCs/>
          <w:iCs/>
        </w:rPr>
        <w:fldChar w:fldCharType="begin"/>
      </w:r>
      <w:r w:rsidR="00C07BA6">
        <w:rPr>
          <w:bCs/>
          <w:iCs/>
        </w:rPr>
        <w:instrText xml:space="preserve"> REF _Ref456877895 \h </w:instrText>
      </w:r>
      <w:r w:rsidR="0075172E">
        <w:rPr>
          <w:bCs/>
          <w:iCs/>
        </w:rPr>
      </w:r>
      <w:r w:rsidR="0075172E">
        <w:rPr>
          <w:bCs/>
          <w:iCs/>
        </w:rPr>
        <w:fldChar w:fldCharType="separate"/>
      </w:r>
      <w:r w:rsidR="00C07BA6">
        <w:t xml:space="preserve">Table </w:t>
      </w:r>
      <w:r w:rsidR="00C07BA6">
        <w:rPr>
          <w:noProof/>
        </w:rPr>
        <w:t>3</w:t>
      </w:r>
      <w:r w:rsidR="00C07BA6">
        <w:t>.</w:t>
      </w:r>
      <w:r w:rsidR="00C07BA6">
        <w:rPr>
          <w:noProof/>
        </w:rPr>
        <w:t>6</w:t>
      </w:r>
      <w:r w:rsidR="0075172E">
        <w:rPr>
          <w:bCs/>
          <w:iCs/>
        </w:rPr>
        <w:fldChar w:fldCharType="end"/>
      </w:r>
      <w:r w:rsidR="00C07BA6">
        <w:rPr>
          <w:bCs/>
          <w:iCs/>
        </w:rPr>
        <w:t>)</w:t>
      </w:r>
      <w:r>
        <w:rPr>
          <w:bCs/>
          <w:iCs/>
        </w:rPr>
        <w:t xml:space="preserve">. </w:t>
      </w:r>
      <w:r w:rsidR="0008764F">
        <w:rPr>
          <w:bCs/>
          <w:iCs/>
        </w:rPr>
        <w:t>A</w:t>
      </w:r>
      <w:r w:rsidR="00C07BA6">
        <w:rPr>
          <w:bCs/>
          <w:iCs/>
        </w:rPr>
        <w:t>s previously stated, there is a</w:t>
      </w:r>
      <w:r w:rsidR="0008764F">
        <w:rPr>
          <w:bCs/>
          <w:iCs/>
        </w:rPr>
        <w:t xml:space="preserve"> </w:t>
      </w:r>
      <w:r w:rsidR="00C07BA6" w:rsidRPr="001D171F">
        <w:rPr>
          <w:rFonts w:eastAsiaTheme="minorEastAsia"/>
        </w:rPr>
        <w:t>Δ</w:t>
      </w:r>
      <w:r w:rsidR="00C07BA6">
        <w:rPr>
          <w:rFonts w:eastAsiaTheme="minorEastAsia"/>
          <w:i/>
        </w:rPr>
        <w:t>H</w:t>
      </w:r>
      <w:r w:rsidR="00C07BA6">
        <w:rPr>
          <w:bCs/>
          <w:iCs/>
        </w:rPr>
        <w:t xml:space="preserve"> </w:t>
      </w:r>
      <w:r w:rsidR="0008764F">
        <w:rPr>
          <w:bCs/>
          <w:iCs/>
        </w:rPr>
        <w:t xml:space="preserve">increase due to the presence of salt. </w:t>
      </w:r>
    </w:p>
    <w:p w:rsidR="000574FF" w:rsidRDefault="00040F10" w:rsidP="000574FF">
      <w:pPr>
        <w:keepNext/>
        <w:spacing w:line="480" w:lineRule="auto"/>
        <w:jc w:val="center"/>
      </w:pPr>
      <w:r>
        <w:rPr>
          <w:bCs/>
          <w:iCs/>
          <w:noProof/>
          <w:lang w:eastAsia="en-GB"/>
        </w:rPr>
        <w:pict>
          <v:shape id="_x0000_s1085" type="#_x0000_t202" style="position:absolute;left:0;text-align:left;margin-left:181.35pt;margin-top:253.55pt;width:87.05pt;height:25.1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B141B9">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iCs/>
          <w:noProof/>
          <w:lang w:eastAsia="en-GB"/>
        </w:rPr>
        <w:pict>
          <v:shape id="_x0000_s1082" type="#_x0000_t202" style="position:absolute;left:0;text-align:left;margin-left:1.5pt;margin-top:71.85pt;width:24.05pt;height:123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layout-flow:vertical;mso-layout-flow-alt:bottom-to-top">
              <w:txbxContent>
                <w:p w:rsidR="003A5686" w:rsidRPr="00311B45" w:rsidRDefault="003A5686" w:rsidP="00311B45">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w:t>
                  </w:r>
                  <w:r>
                    <w:rPr>
                      <w:rFonts w:ascii="Arial" w:hAnsi="Arial" w:cs="Arial"/>
                      <w:b/>
                      <w:color w:val="262626" w:themeColor="text1" w:themeTint="D9"/>
                      <w:sz w:val="18"/>
                      <w:szCs w:val="18"/>
                    </w:rPr>
                    <w:t xml:space="preserve"> </w:t>
                  </w:r>
                </w:p>
              </w:txbxContent>
            </v:textbox>
          </v:shape>
        </w:pict>
      </w:r>
      <w:r w:rsidR="00194448">
        <w:rPr>
          <w:noProof/>
          <w:lang w:eastAsia="en-GB"/>
        </w:rPr>
        <w:drawing>
          <wp:inline distT="0" distB="0" distL="0" distR="0" wp14:anchorId="4E445B2F" wp14:editId="2F6B0440">
            <wp:extent cx="4943475" cy="3354955"/>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 cstate="print"/>
                    <a:srcRect/>
                    <a:stretch>
                      <a:fillRect/>
                    </a:stretch>
                  </pic:blipFill>
                  <pic:spPr bwMode="auto">
                    <a:xfrm>
                      <a:off x="0" y="0"/>
                      <a:ext cx="4945480" cy="3356316"/>
                    </a:xfrm>
                    <a:prstGeom prst="rect">
                      <a:avLst/>
                    </a:prstGeom>
                    <a:noFill/>
                    <a:ln w="9525">
                      <a:noFill/>
                      <a:miter lim="800000"/>
                      <a:headEnd/>
                      <a:tailEnd/>
                    </a:ln>
                  </pic:spPr>
                </pic:pic>
              </a:graphicData>
            </a:graphic>
          </wp:inline>
        </w:drawing>
      </w:r>
    </w:p>
    <w:p w:rsidR="00C10BE0" w:rsidRDefault="000574FF" w:rsidP="00B65749">
      <w:pPr>
        <w:pStyle w:val="Caption"/>
        <w:spacing w:line="480" w:lineRule="auto"/>
        <w:jc w:val="center"/>
      </w:pPr>
      <w:bookmarkStart w:id="141" w:name="_Ref442880915"/>
      <w:bookmarkStart w:id="142" w:name="_Ref456877669"/>
      <w:r>
        <w:t xml:space="preserve">Figure </w:t>
      </w:r>
      <w:bookmarkEnd w:id="141"/>
      <w:r w:rsidR="0075172E">
        <w:fldChar w:fldCharType="begin"/>
      </w:r>
      <w:r w:rsidR="00EB1DC7">
        <w:instrText xml:space="preserve"> STYLEREF 1 \s </w:instrText>
      </w:r>
      <w:r w:rsidR="0075172E">
        <w:fldChar w:fldCharType="separate"/>
      </w:r>
      <w:r w:rsidR="00CB4EDC">
        <w:rPr>
          <w:noProof/>
        </w:rPr>
        <w:t>3</w:t>
      </w:r>
      <w:r w:rsidR="0075172E">
        <w:fldChar w:fldCharType="end"/>
      </w:r>
      <w:r w:rsidR="00EB1DC7">
        <w:t>.</w:t>
      </w:r>
      <w:r w:rsidR="0075172E">
        <w:fldChar w:fldCharType="begin"/>
      </w:r>
      <w:r w:rsidR="008628F5">
        <w:instrText xml:space="preserve"> SEQ Figure \* ARABIC \s 1 </w:instrText>
      </w:r>
      <w:r w:rsidR="0075172E">
        <w:fldChar w:fldCharType="separate"/>
      </w:r>
      <w:r w:rsidR="00CB4EDC">
        <w:rPr>
          <w:noProof/>
        </w:rPr>
        <w:t>33</w:t>
      </w:r>
      <w:r w:rsidR="0075172E">
        <w:fldChar w:fldCharType="end"/>
      </w:r>
      <w:bookmarkEnd w:id="142"/>
      <w:r>
        <w:t xml:space="preserve">: </w:t>
      </w:r>
      <w:r w:rsidRPr="005F5057">
        <w:t xml:space="preserve">ITC binding isotherm of the interaction between 15 µM BSA and 4.3 mM pentameric </w:t>
      </w:r>
      <w:r>
        <w:t>p</w:t>
      </w:r>
      <w:r w:rsidRPr="005F5057">
        <w:t>roanthocyanidin in 10 mM acetate pH 4 at 25</w:t>
      </w:r>
      <w:r w:rsidR="006F2757">
        <w:t xml:space="preserve"> </w:t>
      </w:r>
      <w:r w:rsidRPr="005F5057">
        <w:t>°C (</w:t>
      </w:r>
      <w:r w:rsidR="00BA50F4">
        <w:t>open triangles</w:t>
      </w:r>
      <w:r w:rsidRPr="005F5057">
        <w:t>) with 50 mM  ammonium thiocyanate (</w:t>
      </w:r>
      <w:r w:rsidR="00BA50F4">
        <w:t>open squares</w:t>
      </w:r>
      <w:r w:rsidRPr="005F5057">
        <w:t>) or ammonium sulphate (</w:t>
      </w:r>
      <w:r w:rsidR="00BA50F4">
        <w:t>open circles</w:t>
      </w:r>
      <w:r w:rsidRPr="005F5057">
        <w:t>) respectively.</w:t>
      </w:r>
    </w:p>
    <w:p w:rsidR="00BA2161" w:rsidRDefault="00BA2161" w:rsidP="00BA2161"/>
    <w:p w:rsidR="00BA2161" w:rsidRDefault="00BA2161" w:rsidP="00BA2161"/>
    <w:p w:rsidR="00BA2161" w:rsidRDefault="00BA2161" w:rsidP="00BA2161"/>
    <w:p w:rsidR="00BA2161" w:rsidRDefault="00BA2161" w:rsidP="00BA2161"/>
    <w:p w:rsidR="00BA2161" w:rsidRDefault="00BA2161" w:rsidP="00BA2161"/>
    <w:p w:rsidR="00BA2161" w:rsidRDefault="00BA2161" w:rsidP="00BA2161"/>
    <w:p w:rsidR="00BA2161" w:rsidRDefault="00BA2161" w:rsidP="00BA2161"/>
    <w:p w:rsidR="00BA2161" w:rsidRDefault="00BA2161" w:rsidP="00BA2161"/>
    <w:p w:rsidR="00BA2161" w:rsidRDefault="00BA2161" w:rsidP="00BA2161"/>
    <w:p w:rsidR="00BA2161" w:rsidRDefault="00BA2161" w:rsidP="00BA2161"/>
    <w:p w:rsidR="00BA2161" w:rsidRPr="00BA2161" w:rsidRDefault="00BA2161" w:rsidP="00BA2161"/>
    <w:p w:rsidR="00066430" w:rsidRDefault="00C15C07" w:rsidP="00066430">
      <w:pPr>
        <w:pStyle w:val="Caption"/>
        <w:keepNext/>
        <w:spacing w:line="480" w:lineRule="auto"/>
        <w:jc w:val="center"/>
      </w:pPr>
      <w:bookmarkStart w:id="143" w:name="_Ref456877895"/>
      <w:bookmarkStart w:id="144" w:name="_Ref456877872"/>
      <w:r>
        <w:t xml:space="preserve">Table </w:t>
      </w:r>
      <w:r w:rsidR="0075172E">
        <w:fldChar w:fldCharType="begin"/>
      </w:r>
      <w:r w:rsidR="00AC2227">
        <w:instrText xml:space="preserve"> STYLEREF 1 \s </w:instrText>
      </w:r>
      <w:r w:rsidR="0075172E">
        <w:fldChar w:fldCharType="separate"/>
      </w:r>
      <w:r w:rsidR="00E71593">
        <w:rPr>
          <w:noProof/>
        </w:rPr>
        <w:t>3</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6</w:t>
      </w:r>
      <w:r w:rsidR="0075172E">
        <w:fldChar w:fldCharType="end"/>
      </w:r>
      <w:bookmarkEnd w:id="143"/>
      <w:r w:rsidR="00066430">
        <w:t xml:space="preserve">: </w:t>
      </w:r>
      <w:r w:rsidR="00066430" w:rsidRPr="008E5634">
        <w:t>The temperature, enthalpy Δ</w:t>
      </w:r>
      <w:r w:rsidR="00066430" w:rsidRPr="008E5634">
        <w:rPr>
          <w:i/>
          <w:iCs/>
        </w:rPr>
        <w:t>H</w:t>
      </w:r>
      <w:r w:rsidR="00066430" w:rsidRPr="008E5634">
        <w:rPr>
          <w:iCs/>
        </w:rPr>
        <w:t xml:space="preserve">, entropy </w:t>
      </w:r>
      <w:r w:rsidR="00066430" w:rsidRPr="008E5634">
        <w:rPr>
          <w:i/>
          <w:iCs/>
        </w:rPr>
        <w:t>T</w:t>
      </w:r>
      <w:r w:rsidR="00066430" w:rsidRPr="008E5634">
        <w:rPr>
          <w:iCs/>
        </w:rPr>
        <w:t>Δ</w:t>
      </w:r>
      <w:r w:rsidR="00066430" w:rsidRPr="008E5634">
        <w:rPr>
          <w:i/>
          <w:iCs/>
        </w:rPr>
        <w:t>S</w:t>
      </w:r>
      <w:r w:rsidR="00066430" w:rsidRPr="008E5634">
        <w:rPr>
          <w:iCs/>
        </w:rPr>
        <w:t>, Gibbs free energy Δ</w:t>
      </w:r>
      <w:r w:rsidR="00066430" w:rsidRPr="008E5634">
        <w:rPr>
          <w:i/>
          <w:iCs/>
        </w:rPr>
        <w:t>G</w:t>
      </w:r>
      <w:r w:rsidR="00066430">
        <w:rPr>
          <w:iCs/>
        </w:rPr>
        <w:t xml:space="preserve"> </w:t>
      </w:r>
      <w:r w:rsidR="00066430" w:rsidRPr="008E5634">
        <w:rPr>
          <w:iCs/>
        </w:rPr>
        <w:t xml:space="preserve">and stoichiometry for the </w:t>
      </w:r>
      <w:r w:rsidR="00066430">
        <w:rPr>
          <w:iCs/>
        </w:rPr>
        <w:t>proanthocyanidin pentamer</w:t>
      </w:r>
      <w:r w:rsidR="00066430" w:rsidRPr="008E5634">
        <w:rPr>
          <w:iCs/>
        </w:rPr>
        <w:t>-</w:t>
      </w:r>
      <w:r w:rsidR="00066430">
        <w:rPr>
          <w:iCs/>
        </w:rPr>
        <w:t xml:space="preserve">BSA </w:t>
      </w:r>
      <w:r w:rsidR="00066430" w:rsidRPr="008E5634">
        <w:rPr>
          <w:iCs/>
        </w:rPr>
        <w:t xml:space="preserve"> interaction</w:t>
      </w:r>
      <w:r w:rsidR="00066430">
        <w:rPr>
          <w:iCs/>
        </w:rPr>
        <w:t xml:space="preserve"> in different salts</w:t>
      </w:r>
      <w:r w:rsidR="00066430" w:rsidRPr="008E5634">
        <w:rPr>
          <w:iCs/>
        </w:rPr>
        <w:t xml:space="preserve">. </w:t>
      </w:r>
      <w:r w:rsidR="00066430">
        <w:rPr>
          <w:iCs/>
        </w:rPr>
        <w:t>The standard error (bold) and the confidence intervals (italics) are in brackets.</w:t>
      </w:r>
      <w:bookmarkEnd w:id="144"/>
    </w:p>
    <w:tbl>
      <w:tblPr>
        <w:tblW w:w="0" w:type="auto"/>
        <w:jc w:val="center"/>
        <w:tblLook w:val="04A0" w:firstRow="1" w:lastRow="0" w:firstColumn="1" w:lastColumn="0" w:noHBand="0" w:noVBand="1"/>
      </w:tblPr>
      <w:tblGrid>
        <w:gridCol w:w="2313"/>
        <w:gridCol w:w="770"/>
        <w:gridCol w:w="770"/>
        <w:gridCol w:w="770"/>
        <w:gridCol w:w="1150"/>
      </w:tblGrid>
      <w:tr w:rsidR="00B65749" w:rsidRPr="008E5634" w:rsidTr="00BA2161">
        <w:trPr>
          <w:trHeight w:val="1112"/>
          <w:jc w:val="center"/>
        </w:trPr>
        <w:tc>
          <w:tcPr>
            <w:tcW w:w="0" w:type="auto"/>
            <w:tcBorders>
              <w:top w:val="single" w:sz="4" w:space="0" w:color="auto"/>
              <w:bottom w:val="single" w:sz="4" w:space="0" w:color="auto"/>
            </w:tcBorders>
          </w:tcPr>
          <w:p w:rsidR="00B65749" w:rsidRPr="008E5634" w:rsidRDefault="00BA2161" w:rsidP="00B328E3">
            <w:pPr>
              <w:spacing w:line="480" w:lineRule="auto"/>
              <w:jc w:val="center"/>
              <w:rPr>
                <w:b/>
                <w:bCs/>
                <w:sz w:val="16"/>
                <w:szCs w:val="16"/>
              </w:rPr>
            </w:pPr>
            <w:r>
              <w:rPr>
                <w:b/>
                <w:bCs/>
                <w:sz w:val="16"/>
                <w:szCs w:val="16"/>
              </w:rPr>
              <w:t>Salt</w:t>
            </w:r>
          </w:p>
          <w:p w:rsidR="00B65749" w:rsidRPr="008E5634" w:rsidRDefault="00B65749" w:rsidP="00B328E3">
            <w:pPr>
              <w:spacing w:line="480" w:lineRule="auto"/>
              <w:jc w:val="center"/>
              <w:rPr>
                <w:b/>
                <w:bCs/>
                <w:sz w:val="16"/>
                <w:szCs w:val="16"/>
              </w:rPr>
            </w:pPr>
          </w:p>
        </w:tc>
        <w:tc>
          <w:tcPr>
            <w:tcW w:w="0" w:type="auto"/>
            <w:tcBorders>
              <w:top w:val="single" w:sz="4" w:space="0" w:color="auto"/>
              <w:bottom w:val="single" w:sz="4" w:space="0" w:color="auto"/>
            </w:tcBorders>
          </w:tcPr>
          <w:p w:rsidR="00B65749" w:rsidRPr="008E5634" w:rsidRDefault="00B65749" w:rsidP="00B328E3">
            <w:pPr>
              <w:spacing w:line="480" w:lineRule="auto"/>
              <w:jc w:val="center"/>
              <w:rPr>
                <w:b/>
                <w:bCs/>
                <w:sz w:val="16"/>
                <w:szCs w:val="16"/>
              </w:rPr>
            </w:pPr>
            <w:r>
              <w:rPr>
                <w:b/>
                <w:bCs/>
                <w:sz w:val="16"/>
                <w:szCs w:val="16"/>
              </w:rPr>
              <w:t>-</w:t>
            </w:r>
            <w:r w:rsidRPr="008E5634">
              <w:rPr>
                <w:b/>
                <w:bCs/>
                <w:sz w:val="16"/>
                <w:szCs w:val="16"/>
              </w:rPr>
              <w:t>Δ</w:t>
            </w:r>
            <w:r w:rsidRPr="008E5634">
              <w:rPr>
                <w:b/>
                <w:bCs/>
                <w:i/>
                <w:iCs/>
                <w:sz w:val="16"/>
                <w:szCs w:val="16"/>
              </w:rPr>
              <w:t>H</w:t>
            </w:r>
          </w:p>
          <w:p w:rsidR="00B65749" w:rsidRPr="00DA7437" w:rsidRDefault="00B65749" w:rsidP="00B328E3">
            <w:pPr>
              <w:spacing w:line="480" w:lineRule="auto"/>
              <w:jc w:val="center"/>
              <w:rPr>
                <w:b/>
                <w:bCs/>
                <w:i/>
                <w:iCs/>
                <w:sz w:val="16"/>
                <w:szCs w:val="16"/>
                <w:vertAlign w:val="superscript"/>
              </w:rPr>
            </w:pPr>
            <w:r>
              <w:rPr>
                <w:b/>
                <w:bCs/>
                <w:sz w:val="16"/>
                <w:szCs w:val="16"/>
              </w:rPr>
              <w:t>(kJ/mol)</w:t>
            </w:r>
          </w:p>
        </w:tc>
        <w:tc>
          <w:tcPr>
            <w:tcW w:w="0" w:type="auto"/>
            <w:tcBorders>
              <w:top w:val="single" w:sz="4" w:space="0" w:color="auto"/>
              <w:bottom w:val="single" w:sz="4" w:space="0" w:color="auto"/>
            </w:tcBorders>
          </w:tcPr>
          <w:p w:rsidR="00B65749" w:rsidRPr="008E5634" w:rsidRDefault="00B65749" w:rsidP="00B328E3">
            <w:pPr>
              <w:spacing w:line="480" w:lineRule="auto"/>
              <w:jc w:val="center"/>
              <w:rPr>
                <w:b/>
                <w:bCs/>
                <w:sz w:val="16"/>
                <w:szCs w:val="16"/>
              </w:rPr>
            </w:pPr>
            <w:r>
              <w:rPr>
                <w:b/>
                <w:bCs/>
                <w:i/>
                <w:iCs/>
                <w:sz w:val="16"/>
                <w:szCs w:val="16"/>
              </w:rPr>
              <w:t>-</w:t>
            </w:r>
            <w:r w:rsidRPr="008E5634">
              <w:rPr>
                <w:b/>
                <w:bCs/>
                <w:i/>
                <w:iCs/>
                <w:sz w:val="16"/>
                <w:szCs w:val="16"/>
              </w:rPr>
              <w:t>T</w:t>
            </w:r>
            <w:r w:rsidRPr="008E5634">
              <w:rPr>
                <w:b/>
                <w:bCs/>
                <w:sz w:val="16"/>
                <w:szCs w:val="16"/>
              </w:rPr>
              <w:t>Δ</w:t>
            </w:r>
            <w:r w:rsidRPr="008E5634">
              <w:rPr>
                <w:b/>
                <w:bCs/>
                <w:i/>
                <w:iCs/>
                <w:sz w:val="16"/>
                <w:szCs w:val="16"/>
              </w:rPr>
              <w:t>S</w:t>
            </w:r>
            <w:r w:rsidRPr="008E5634">
              <w:rPr>
                <w:b/>
                <w:bCs/>
                <w:sz w:val="16"/>
                <w:szCs w:val="16"/>
              </w:rPr>
              <w:t> </w:t>
            </w:r>
          </w:p>
          <w:p w:rsidR="00B65749" w:rsidRPr="008E5634" w:rsidRDefault="00B65749" w:rsidP="00B328E3">
            <w:pPr>
              <w:spacing w:line="480" w:lineRule="auto"/>
              <w:jc w:val="center"/>
              <w:rPr>
                <w:b/>
                <w:bCs/>
                <w:sz w:val="16"/>
                <w:szCs w:val="16"/>
              </w:rPr>
            </w:pPr>
            <w:r w:rsidRPr="008E5634">
              <w:rPr>
                <w:b/>
                <w:bCs/>
                <w:sz w:val="16"/>
                <w:szCs w:val="16"/>
              </w:rPr>
              <w:t>(kJ/mol)</w:t>
            </w:r>
          </w:p>
        </w:tc>
        <w:tc>
          <w:tcPr>
            <w:tcW w:w="0" w:type="auto"/>
            <w:tcBorders>
              <w:top w:val="single" w:sz="4" w:space="0" w:color="auto"/>
              <w:bottom w:val="single" w:sz="4" w:space="0" w:color="auto"/>
            </w:tcBorders>
          </w:tcPr>
          <w:p w:rsidR="00B65749" w:rsidRPr="008E5634" w:rsidRDefault="00B65749" w:rsidP="00B328E3">
            <w:pPr>
              <w:spacing w:line="480" w:lineRule="auto"/>
              <w:jc w:val="center"/>
              <w:rPr>
                <w:b/>
                <w:bCs/>
                <w:sz w:val="16"/>
                <w:szCs w:val="16"/>
              </w:rPr>
            </w:pPr>
            <w:r>
              <w:rPr>
                <w:b/>
                <w:bCs/>
                <w:sz w:val="16"/>
                <w:szCs w:val="16"/>
              </w:rPr>
              <w:t>-</w:t>
            </w:r>
            <w:r w:rsidRPr="008E5634">
              <w:rPr>
                <w:b/>
                <w:bCs/>
                <w:sz w:val="16"/>
                <w:szCs w:val="16"/>
              </w:rPr>
              <w:t>Δ</w:t>
            </w:r>
            <w:r w:rsidRPr="008E5634">
              <w:rPr>
                <w:b/>
                <w:bCs/>
                <w:i/>
                <w:iCs/>
                <w:sz w:val="16"/>
                <w:szCs w:val="16"/>
              </w:rPr>
              <w:t>G</w:t>
            </w:r>
          </w:p>
          <w:p w:rsidR="00B65749" w:rsidRPr="008E5634" w:rsidRDefault="00B65749" w:rsidP="00B328E3">
            <w:pPr>
              <w:spacing w:line="480" w:lineRule="auto"/>
              <w:jc w:val="center"/>
              <w:rPr>
                <w:b/>
                <w:bCs/>
                <w:sz w:val="16"/>
                <w:szCs w:val="16"/>
              </w:rPr>
            </w:pPr>
            <w:r w:rsidRPr="008E5634">
              <w:rPr>
                <w:b/>
                <w:bCs/>
                <w:sz w:val="16"/>
                <w:szCs w:val="16"/>
              </w:rPr>
              <w:t xml:space="preserve">(kJ/mol) </w:t>
            </w:r>
          </w:p>
        </w:tc>
        <w:tc>
          <w:tcPr>
            <w:tcW w:w="0" w:type="auto"/>
            <w:tcBorders>
              <w:top w:val="single" w:sz="4" w:space="0" w:color="auto"/>
              <w:bottom w:val="single" w:sz="4" w:space="0" w:color="auto"/>
            </w:tcBorders>
          </w:tcPr>
          <w:p w:rsidR="00B65749" w:rsidRDefault="00B65749" w:rsidP="00B328E3">
            <w:pPr>
              <w:spacing w:line="480" w:lineRule="auto"/>
              <w:jc w:val="center"/>
              <w:rPr>
                <w:b/>
                <w:bCs/>
                <w:sz w:val="16"/>
                <w:szCs w:val="16"/>
              </w:rPr>
            </w:pPr>
            <w:r w:rsidRPr="008E5634">
              <w:rPr>
                <w:b/>
                <w:bCs/>
                <w:sz w:val="16"/>
                <w:szCs w:val="16"/>
              </w:rPr>
              <w:t>Stoichiometry</w:t>
            </w:r>
          </w:p>
          <w:p w:rsidR="00B65749" w:rsidRPr="0050110E" w:rsidRDefault="00B65749" w:rsidP="00B328E3">
            <w:pPr>
              <w:spacing w:line="480" w:lineRule="auto"/>
              <w:jc w:val="center"/>
              <w:rPr>
                <w:b/>
                <w:bCs/>
                <w:i/>
                <w:sz w:val="16"/>
                <w:szCs w:val="16"/>
              </w:rPr>
            </w:pPr>
            <w:r w:rsidRPr="0050110E">
              <w:rPr>
                <w:b/>
                <w:bCs/>
                <w:i/>
                <w:sz w:val="16"/>
                <w:szCs w:val="16"/>
              </w:rPr>
              <w:t>n</w:t>
            </w:r>
          </w:p>
        </w:tc>
      </w:tr>
      <w:tr w:rsidR="00B65749" w:rsidRPr="008E5634" w:rsidTr="00B328E3">
        <w:trPr>
          <w:jc w:val="center"/>
        </w:trPr>
        <w:tc>
          <w:tcPr>
            <w:tcW w:w="0" w:type="auto"/>
          </w:tcPr>
          <w:p w:rsidR="00B65749" w:rsidRPr="00C64A59" w:rsidRDefault="00BA2161" w:rsidP="00B328E3">
            <w:pPr>
              <w:spacing w:line="480" w:lineRule="auto"/>
              <w:jc w:val="center"/>
              <w:rPr>
                <w:bCs/>
                <w:color w:val="000000" w:themeColor="text1"/>
                <w:sz w:val="16"/>
                <w:szCs w:val="16"/>
              </w:rPr>
            </w:pPr>
            <w:r>
              <w:rPr>
                <w:bCs/>
                <w:color w:val="000000" w:themeColor="text1"/>
                <w:sz w:val="16"/>
                <w:szCs w:val="16"/>
              </w:rPr>
              <w:t>10 mM ammonium acetate</w:t>
            </w:r>
          </w:p>
        </w:tc>
        <w:tc>
          <w:tcPr>
            <w:tcW w:w="0" w:type="auto"/>
          </w:tcPr>
          <w:p w:rsidR="00B65749" w:rsidRDefault="002E2B73" w:rsidP="00B328E3">
            <w:pPr>
              <w:spacing w:line="480" w:lineRule="auto"/>
              <w:jc w:val="center"/>
              <w:rPr>
                <w:bCs/>
                <w:color w:val="000000" w:themeColor="text1"/>
                <w:sz w:val="16"/>
                <w:szCs w:val="16"/>
              </w:rPr>
            </w:pPr>
            <w:r>
              <w:rPr>
                <w:bCs/>
                <w:color w:val="000000" w:themeColor="text1"/>
                <w:sz w:val="16"/>
                <w:szCs w:val="16"/>
              </w:rPr>
              <w:t>8.5</w:t>
            </w:r>
          </w:p>
          <w:p w:rsidR="00B65749" w:rsidRPr="00C64A59" w:rsidRDefault="00B65749" w:rsidP="0008764F">
            <w:pPr>
              <w:spacing w:line="480" w:lineRule="auto"/>
              <w:jc w:val="center"/>
              <w:rPr>
                <w:bCs/>
                <w:color w:val="000000" w:themeColor="text1"/>
                <w:sz w:val="16"/>
                <w:szCs w:val="16"/>
              </w:rPr>
            </w:pPr>
            <w:r w:rsidRPr="003D0033">
              <w:rPr>
                <w:bCs/>
                <w:i/>
                <w:color w:val="000000" w:themeColor="text1"/>
                <w:sz w:val="16"/>
                <w:szCs w:val="16"/>
              </w:rPr>
              <w:t>(±</w:t>
            </w:r>
            <w:r w:rsidR="00BF1CE8">
              <w:rPr>
                <w:bCs/>
                <w:i/>
                <w:color w:val="000000" w:themeColor="text1"/>
                <w:sz w:val="16"/>
                <w:szCs w:val="16"/>
              </w:rPr>
              <w:t>0.08</w:t>
            </w:r>
            <w:r>
              <w:rPr>
                <w:bCs/>
                <w:i/>
                <w:color w:val="000000" w:themeColor="text1"/>
                <w:sz w:val="16"/>
                <w:szCs w:val="16"/>
              </w:rPr>
              <w:t>)</w:t>
            </w:r>
          </w:p>
        </w:tc>
        <w:tc>
          <w:tcPr>
            <w:tcW w:w="0" w:type="auto"/>
          </w:tcPr>
          <w:p w:rsidR="00B65749" w:rsidRPr="00C64A59" w:rsidRDefault="0008764F" w:rsidP="00B328E3">
            <w:pPr>
              <w:spacing w:line="480" w:lineRule="auto"/>
              <w:jc w:val="center"/>
              <w:rPr>
                <w:bCs/>
                <w:iCs/>
                <w:color w:val="000000" w:themeColor="text1"/>
                <w:sz w:val="16"/>
                <w:szCs w:val="16"/>
              </w:rPr>
            </w:pPr>
            <w:r>
              <w:rPr>
                <w:bCs/>
                <w:iCs/>
                <w:color w:val="000000" w:themeColor="text1"/>
                <w:sz w:val="16"/>
                <w:szCs w:val="16"/>
              </w:rPr>
              <w:t>14.00</w:t>
            </w:r>
          </w:p>
        </w:tc>
        <w:tc>
          <w:tcPr>
            <w:tcW w:w="0" w:type="auto"/>
          </w:tcPr>
          <w:p w:rsidR="00B65749" w:rsidRDefault="002E2B73" w:rsidP="00B328E3">
            <w:pPr>
              <w:spacing w:line="480" w:lineRule="auto"/>
              <w:jc w:val="center"/>
              <w:rPr>
                <w:bCs/>
                <w:color w:val="000000" w:themeColor="text1"/>
                <w:sz w:val="16"/>
                <w:szCs w:val="16"/>
              </w:rPr>
            </w:pPr>
            <w:r>
              <w:rPr>
                <w:bCs/>
                <w:color w:val="000000" w:themeColor="text1"/>
                <w:sz w:val="16"/>
                <w:szCs w:val="16"/>
              </w:rPr>
              <w:t>22.</w:t>
            </w:r>
            <w:r w:rsidR="0008764F">
              <w:rPr>
                <w:bCs/>
                <w:color w:val="000000" w:themeColor="text1"/>
                <w:sz w:val="16"/>
                <w:szCs w:val="16"/>
              </w:rPr>
              <w:t>2</w:t>
            </w:r>
          </w:p>
          <w:p w:rsidR="00B65749" w:rsidRPr="004E729E" w:rsidRDefault="00B65749" w:rsidP="00B328E3">
            <w:pPr>
              <w:spacing w:line="480" w:lineRule="auto"/>
              <w:jc w:val="center"/>
              <w:rPr>
                <w:bCs/>
                <w:i/>
                <w:color w:val="000000" w:themeColor="text1"/>
                <w:sz w:val="16"/>
                <w:szCs w:val="16"/>
              </w:rPr>
            </w:pPr>
            <w:r w:rsidRPr="003D0033">
              <w:rPr>
                <w:bCs/>
                <w:i/>
                <w:color w:val="000000" w:themeColor="text1"/>
                <w:sz w:val="16"/>
                <w:szCs w:val="16"/>
              </w:rPr>
              <w:t xml:space="preserve">(± </w:t>
            </w:r>
            <w:r w:rsidR="00BF1CE8">
              <w:rPr>
                <w:bCs/>
                <w:i/>
                <w:color w:val="000000" w:themeColor="text1"/>
                <w:sz w:val="16"/>
                <w:szCs w:val="16"/>
              </w:rPr>
              <w:t>6</w:t>
            </w:r>
            <w:r>
              <w:rPr>
                <w:bCs/>
                <w:i/>
                <w:color w:val="000000" w:themeColor="text1"/>
                <w:sz w:val="16"/>
                <w:szCs w:val="16"/>
              </w:rPr>
              <w:t>)</w:t>
            </w:r>
          </w:p>
        </w:tc>
        <w:tc>
          <w:tcPr>
            <w:tcW w:w="0" w:type="auto"/>
          </w:tcPr>
          <w:p w:rsidR="00B65749" w:rsidRDefault="0008764F" w:rsidP="00B328E3">
            <w:pPr>
              <w:spacing w:line="480" w:lineRule="auto"/>
              <w:jc w:val="center"/>
              <w:rPr>
                <w:bCs/>
                <w:color w:val="000000" w:themeColor="text1"/>
                <w:sz w:val="16"/>
                <w:szCs w:val="16"/>
              </w:rPr>
            </w:pPr>
            <w:r>
              <w:rPr>
                <w:bCs/>
                <w:color w:val="000000" w:themeColor="text1"/>
                <w:sz w:val="16"/>
                <w:szCs w:val="16"/>
              </w:rPr>
              <w:t>47.6</w:t>
            </w:r>
          </w:p>
          <w:p w:rsidR="00B65749" w:rsidRPr="00C64A59" w:rsidRDefault="00B65749" w:rsidP="00BF1CE8">
            <w:pPr>
              <w:spacing w:line="480" w:lineRule="auto"/>
              <w:jc w:val="center"/>
              <w:rPr>
                <w:bCs/>
                <w:color w:val="000000" w:themeColor="text1"/>
                <w:sz w:val="16"/>
                <w:szCs w:val="16"/>
              </w:rPr>
            </w:pPr>
            <w:r w:rsidRPr="003D0033">
              <w:rPr>
                <w:bCs/>
                <w:i/>
                <w:color w:val="000000" w:themeColor="text1"/>
                <w:sz w:val="16"/>
                <w:szCs w:val="16"/>
              </w:rPr>
              <w:t xml:space="preserve">(± </w:t>
            </w:r>
            <w:r w:rsidR="00BF1CE8">
              <w:rPr>
                <w:bCs/>
                <w:i/>
                <w:color w:val="000000" w:themeColor="text1"/>
                <w:sz w:val="16"/>
                <w:szCs w:val="16"/>
              </w:rPr>
              <w:t>3</w:t>
            </w:r>
            <w:r>
              <w:rPr>
                <w:bCs/>
                <w:i/>
                <w:color w:val="000000" w:themeColor="text1"/>
                <w:sz w:val="16"/>
                <w:szCs w:val="16"/>
              </w:rPr>
              <w:t>)</w:t>
            </w:r>
          </w:p>
        </w:tc>
      </w:tr>
      <w:tr w:rsidR="00B65749" w:rsidRPr="008E5634" w:rsidTr="00B328E3">
        <w:trPr>
          <w:jc w:val="center"/>
        </w:trPr>
        <w:tc>
          <w:tcPr>
            <w:tcW w:w="0" w:type="auto"/>
          </w:tcPr>
          <w:p w:rsidR="00BA2161" w:rsidRDefault="00BA2161" w:rsidP="00B328E3">
            <w:pPr>
              <w:spacing w:line="480" w:lineRule="auto"/>
              <w:jc w:val="center"/>
              <w:rPr>
                <w:bCs/>
                <w:color w:val="000000" w:themeColor="text1"/>
                <w:sz w:val="16"/>
                <w:szCs w:val="16"/>
              </w:rPr>
            </w:pPr>
            <w:r>
              <w:rPr>
                <w:bCs/>
                <w:color w:val="000000" w:themeColor="text1"/>
                <w:sz w:val="16"/>
                <w:szCs w:val="16"/>
              </w:rPr>
              <w:t xml:space="preserve">10 mM ammonium acetate with </w:t>
            </w:r>
          </w:p>
          <w:p w:rsidR="00B65749" w:rsidRPr="00C64A59" w:rsidRDefault="00BA2161" w:rsidP="00BA2161">
            <w:pPr>
              <w:spacing w:line="480" w:lineRule="auto"/>
              <w:jc w:val="center"/>
              <w:rPr>
                <w:bCs/>
                <w:color w:val="000000" w:themeColor="text1"/>
                <w:sz w:val="16"/>
                <w:szCs w:val="16"/>
              </w:rPr>
            </w:pPr>
            <w:r>
              <w:rPr>
                <w:bCs/>
                <w:color w:val="000000" w:themeColor="text1"/>
                <w:sz w:val="16"/>
                <w:szCs w:val="16"/>
              </w:rPr>
              <w:t>50 mM thiocyanate</w:t>
            </w:r>
          </w:p>
        </w:tc>
        <w:tc>
          <w:tcPr>
            <w:tcW w:w="0" w:type="auto"/>
          </w:tcPr>
          <w:p w:rsidR="00B65749" w:rsidRDefault="002E2B73" w:rsidP="00B328E3">
            <w:pPr>
              <w:spacing w:line="480" w:lineRule="auto"/>
              <w:jc w:val="center"/>
              <w:rPr>
                <w:bCs/>
                <w:color w:val="000000" w:themeColor="text1"/>
                <w:sz w:val="16"/>
                <w:szCs w:val="16"/>
              </w:rPr>
            </w:pPr>
            <w:r>
              <w:rPr>
                <w:bCs/>
                <w:color w:val="000000" w:themeColor="text1"/>
                <w:sz w:val="16"/>
                <w:szCs w:val="16"/>
              </w:rPr>
              <w:t>17.3</w:t>
            </w:r>
          </w:p>
          <w:p w:rsidR="00B65749" w:rsidRPr="003D0033" w:rsidRDefault="00B65749" w:rsidP="00BF1CE8">
            <w:pPr>
              <w:spacing w:line="480" w:lineRule="auto"/>
              <w:jc w:val="center"/>
              <w:rPr>
                <w:bCs/>
                <w:i/>
                <w:color w:val="000000" w:themeColor="text1"/>
                <w:sz w:val="16"/>
                <w:szCs w:val="16"/>
              </w:rPr>
            </w:pPr>
            <w:r w:rsidRPr="003D0033">
              <w:rPr>
                <w:bCs/>
                <w:i/>
                <w:color w:val="000000" w:themeColor="text1"/>
                <w:sz w:val="16"/>
                <w:szCs w:val="16"/>
              </w:rPr>
              <w:t xml:space="preserve"> (±</w:t>
            </w:r>
            <w:r w:rsidR="0008764F">
              <w:rPr>
                <w:bCs/>
                <w:i/>
                <w:color w:val="000000" w:themeColor="text1"/>
                <w:sz w:val="16"/>
                <w:szCs w:val="16"/>
              </w:rPr>
              <w:t>2</w:t>
            </w:r>
            <w:r>
              <w:rPr>
                <w:bCs/>
                <w:i/>
                <w:color w:val="000000" w:themeColor="text1"/>
                <w:sz w:val="16"/>
                <w:szCs w:val="16"/>
              </w:rPr>
              <w:t>)</w:t>
            </w:r>
          </w:p>
        </w:tc>
        <w:tc>
          <w:tcPr>
            <w:tcW w:w="0" w:type="auto"/>
          </w:tcPr>
          <w:p w:rsidR="00B65749" w:rsidRDefault="0008764F" w:rsidP="00B328E3">
            <w:pPr>
              <w:spacing w:line="480" w:lineRule="auto"/>
              <w:jc w:val="center"/>
              <w:rPr>
                <w:bCs/>
                <w:iCs/>
                <w:color w:val="000000" w:themeColor="text1"/>
                <w:sz w:val="16"/>
                <w:szCs w:val="16"/>
              </w:rPr>
            </w:pPr>
            <w:r>
              <w:rPr>
                <w:bCs/>
                <w:iCs/>
                <w:color w:val="000000" w:themeColor="text1"/>
                <w:sz w:val="16"/>
                <w:szCs w:val="16"/>
              </w:rPr>
              <w:t>-4.12</w:t>
            </w:r>
          </w:p>
          <w:p w:rsidR="00B65749" w:rsidRPr="00D22277" w:rsidRDefault="00B65749" w:rsidP="00B328E3">
            <w:pPr>
              <w:spacing w:line="480" w:lineRule="auto"/>
              <w:jc w:val="center"/>
              <w:rPr>
                <w:b/>
                <w:bCs/>
                <w:iCs/>
                <w:color w:val="000000" w:themeColor="text1"/>
                <w:sz w:val="16"/>
                <w:szCs w:val="16"/>
              </w:rPr>
            </w:pPr>
          </w:p>
        </w:tc>
        <w:tc>
          <w:tcPr>
            <w:tcW w:w="0" w:type="auto"/>
          </w:tcPr>
          <w:p w:rsidR="00B65749" w:rsidRPr="004E729E" w:rsidRDefault="0008764F" w:rsidP="00B328E3">
            <w:pPr>
              <w:spacing w:line="480" w:lineRule="auto"/>
              <w:jc w:val="center"/>
              <w:rPr>
                <w:bCs/>
                <w:color w:val="000000" w:themeColor="text1"/>
                <w:sz w:val="16"/>
                <w:szCs w:val="16"/>
              </w:rPr>
            </w:pPr>
            <w:r>
              <w:rPr>
                <w:bCs/>
                <w:color w:val="000000" w:themeColor="text1"/>
                <w:sz w:val="16"/>
                <w:szCs w:val="16"/>
              </w:rPr>
              <w:t>21.</w:t>
            </w:r>
            <w:r w:rsidR="002E2B73">
              <w:rPr>
                <w:bCs/>
                <w:color w:val="000000" w:themeColor="text1"/>
                <w:sz w:val="16"/>
                <w:szCs w:val="16"/>
              </w:rPr>
              <w:t>5</w:t>
            </w:r>
          </w:p>
          <w:p w:rsidR="00B65749" w:rsidRPr="003D0033" w:rsidRDefault="00B65749" w:rsidP="00B328E3">
            <w:pPr>
              <w:spacing w:line="480" w:lineRule="auto"/>
              <w:jc w:val="center"/>
              <w:rPr>
                <w:bCs/>
                <w:i/>
                <w:color w:val="000000" w:themeColor="text1"/>
                <w:sz w:val="16"/>
                <w:szCs w:val="16"/>
              </w:rPr>
            </w:pPr>
            <w:r w:rsidRPr="003D0033">
              <w:rPr>
                <w:bCs/>
                <w:i/>
                <w:color w:val="000000" w:themeColor="text1"/>
                <w:sz w:val="16"/>
                <w:szCs w:val="16"/>
              </w:rPr>
              <w:t xml:space="preserve">(± </w:t>
            </w:r>
            <w:r w:rsidR="00BF1CE8">
              <w:rPr>
                <w:bCs/>
                <w:i/>
                <w:color w:val="000000" w:themeColor="text1"/>
                <w:sz w:val="16"/>
                <w:szCs w:val="16"/>
              </w:rPr>
              <w:t>4</w:t>
            </w:r>
            <w:r w:rsidRPr="003D0033">
              <w:rPr>
                <w:bCs/>
                <w:i/>
                <w:color w:val="000000" w:themeColor="text1"/>
                <w:sz w:val="16"/>
                <w:szCs w:val="16"/>
              </w:rPr>
              <w:t>)</w:t>
            </w:r>
          </w:p>
          <w:p w:rsidR="00B65749" w:rsidRPr="00D22277" w:rsidRDefault="00B65749" w:rsidP="00B328E3">
            <w:pPr>
              <w:spacing w:line="480" w:lineRule="auto"/>
              <w:jc w:val="center"/>
              <w:rPr>
                <w:b/>
                <w:bCs/>
                <w:color w:val="000000" w:themeColor="text1"/>
                <w:sz w:val="16"/>
                <w:szCs w:val="16"/>
              </w:rPr>
            </w:pPr>
          </w:p>
        </w:tc>
        <w:tc>
          <w:tcPr>
            <w:tcW w:w="0" w:type="auto"/>
          </w:tcPr>
          <w:p w:rsidR="00B65749" w:rsidRDefault="0008764F" w:rsidP="00B328E3">
            <w:pPr>
              <w:spacing w:line="480" w:lineRule="auto"/>
              <w:jc w:val="center"/>
              <w:rPr>
                <w:bCs/>
                <w:color w:val="000000" w:themeColor="text1"/>
                <w:sz w:val="16"/>
                <w:szCs w:val="16"/>
              </w:rPr>
            </w:pPr>
            <w:r>
              <w:rPr>
                <w:bCs/>
                <w:color w:val="000000" w:themeColor="text1"/>
                <w:sz w:val="16"/>
                <w:szCs w:val="16"/>
              </w:rPr>
              <w:t>28.5</w:t>
            </w:r>
          </w:p>
          <w:p w:rsidR="00B65749" w:rsidRPr="003D0033" w:rsidRDefault="00B65749" w:rsidP="00BF1CE8">
            <w:pPr>
              <w:spacing w:line="480" w:lineRule="auto"/>
              <w:jc w:val="center"/>
              <w:rPr>
                <w:bCs/>
                <w:i/>
                <w:color w:val="000000" w:themeColor="text1"/>
                <w:sz w:val="16"/>
                <w:szCs w:val="16"/>
              </w:rPr>
            </w:pPr>
            <w:r w:rsidRPr="003D0033">
              <w:rPr>
                <w:bCs/>
                <w:i/>
                <w:color w:val="000000" w:themeColor="text1"/>
                <w:sz w:val="16"/>
                <w:szCs w:val="16"/>
              </w:rPr>
              <w:t xml:space="preserve"> (±</w:t>
            </w:r>
            <w:r w:rsidR="00BF1CE8">
              <w:rPr>
                <w:bCs/>
                <w:i/>
                <w:color w:val="000000" w:themeColor="text1"/>
                <w:sz w:val="16"/>
                <w:szCs w:val="16"/>
              </w:rPr>
              <w:t>2</w:t>
            </w:r>
            <w:r w:rsidRPr="003D0033">
              <w:rPr>
                <w:bCs/>
                <w:i/>
                <w:color w:val="000000" w:themeColor="text1"/>
                <w:sz w:val="16"/>
                <w:szCs w:val="16"/>
              </w:rPr>
              <w:t>)</w:t>
            </w:r>
          </w:p>
        </w:tc>
      </w:tr>
      <w:tr w:rsidR="00B65749" w:rsidRPr="008E5634" w:rsidTr="00B328E3">
        <w:trPr>
          <w:jc w:val="center"/>
        </w:trPr>
        <w:tc>
          <w:tcPr>
            <w:tcW w:w="0" w:type="auto"/>
            <w:tcBorders>
              <w:bottom w:val="single" w:sz="4" w:space="0" w:color="auto"/>
            </w:tcBorders>
          </w:tcPr>
          <w:p w:rsidR="00BA2161" w:rsidRDefault="00BA2161" w:rsidP="00BA2161">
            <w:pPr>
              <w:spacing w:line="480" w:lineRule="auto"/>
              <w:jc w:val="center"/>
              <w:rPr>
                <w:bCs/>
                <w:color w:val="000000" w:themeColor="text1"/>
                <w:sz w:val="16"/>
                <w:szCs w:val="16"/>
              </w:rPr>
            </w:pPr>
            <w:r>
              <w:rPr>
                <w:bCs/>
                <w:color w:val="000000" w:themeColor="text1"/>
                <w:sz w:val="16"/>
                <w:szCs w:val="16"/>
              </w:rPr>
              <w:t xml:space="preserve">10 mM ammonium acetate with </w:t>
            </w:r>
          </w:p>
          <w:p w:rsidR="00B65749" w:rsidRPr="00C64A59" w:rsidRDefault="00BA2161" w:rsidP="00BA2161">
            <w:pPr>
              <w:spacing w:line="480" w:lineRule="auto"/>
              <w:jc w:val="center"/>
              <w:rPr>
                <w:bCs/>
                <w:color w:val="000000" w:themeColor="text1"/>
                <w:sz w:val="16"/>
                <w:szCs w:val="16"/>
              </w:rPr>
            </w:pPr>
            <w:r>
              <w:rPr>
                <w:bCs/>
                <w:color w:val="000000" w:themeColor="text1"/>
                <w:sz w:val="16"/>
                <w:szCs w:val="16"/>
              </w:rPr>
              <w:t>50 mM sulphate</w:t>
            </w:r>
          </w:p>
        </w:tc>
        <w:tc>
          <w:tcPr>
            <w:tcW w:w="0" w:type="auto"/>
            <w:tcBorders>
              <w:bottom w:val="single" w:sz="4" w:space="0" w:color="auto"/>
            </w:tcBorders>
          </w:tcPr>
          <w:p w:rsidR="00B65749" w:rsidRDefault="0008764F" w:rsidP="00B328E3">
            <w:pPr>
              <w:spacing w:line="480" w:lineRule="auto"/>
              <w:jc w:val="center"/>
              <w:rPr>
                <w:bCs/>
                <w:color w:val="000000" w:themeColor="text1"/>
                <w:sz w:val="16"/>
                <w:szCs w:val="16"/>
              </w:rPr>
            </w:pPr>
            <w:r>
              <w:rPr>
                <w:bCs/>
                <w:color w:val="000000" w:themeColor="text1"/>
                <w:sz w:val="16"/>
                <w:szCs w:val="16"/>
              </w:rPr>
              <w:t>20.</w:t>
            </w:r>
            <w:r w:rsidR="002E2B73">
              <w:rPr>
                <w:bCs/>
                <w:color w:val="000000" w:themeColor="text1"/>
                <w:sz w:val="16"/>
                <w:szCs w:val="16"/>
              </w:rPr>
              <w:t>7</w:t>
            </w:r>
          </w:p>
          <w:p w:rsidR="00B65749" w:rsidRPr="003D0033" w:rsidRDefault="00B65749" w:rsidP="00BF1CE8">
            <w:pPr>
              <w:spacing w:line="480" w:lineRule="auto"/>
              <w:jc w:val="center"/>
              <w:rPr>
                <w:bCs/>
                <w:i/>
                <w:color w:val="000000" w:themeColor="text1"/>
                <w:sz w:val="16"/>
                <w:szCs w:val="16"/>
              </w:rPr>
            </w:pPr>
            <w:r w:rsidRPr="003D0033">
              <w:rPr>
                <w:bCs/>
                <w:i/>
                <w:color w:val="000000" w:themeColor="text1"/>
                <w:sz w:val="16"/>
                <w:szCs w:val="16"/>
              </w:rPr>
              <w:t xml:space="preserve"> (±</w:t>
            </w:r>
            <w:r w:rsidR="00BF1CE8">
              <w:rPr>
                <w:bCs/>
                <w:i/>
                <w:color w:val="000000" w:themeColor="text1"/>
                <w:sz w:val="16"/>
                <w:szCs w:val="16"/>
              </w:rPr>
              <w:t>1</w:t>
            </w:r>
            <w:r w:rsidRPr="003D0033">
              <w:rPr>
                <w:bCs/>
                <w:i/>
                <w:color w:val="000000" w:themeColor="text1"/>
                <w:sz w:val="16"/>
                <w:szCs w:val="16"/>
              </w:rPr>
              <w:t>)</w:t>
            </w:r>
          </w:p>
        </w:tc>
        <w:tc>
          <w:tcPr>
            <w:tcW w:w="0" w:type="auto"/>
            <w:tcBorders>
              <w:bottom w:val="single" w:sz="4" w:space="0" w:color="auto"/>
            </w:tcBorders>
          </w:tcPr>
          <w:p w:rsidR="00B65749" w:rsidRDefault="00B65749" w:rsidP="00B328E3">
            <w:pPr>
              <w:spacing w:line="480" w:lineRule="auto"/>
              <w:jc w:val="center"/>
              <w:rPr>
                <w:bCs/>
                <w:iCs/>
                <w:color w:val="000000" w:themeColor="text1"/>
                <w:sz w:val="16"/>
                <w:szCs w:val="16"/>
              </w:rPr>
            </w:pPr>
            <w:r w:rsidRPr="00C64A59">
              <w:rPr>
                <w:bCs/>
                <w:iCs/>
                <w:color w:val="000000" w:themeColor="text1"/>
                <w:sz w:val="16"/>
                <w:szCs w:val="16"/>
              </w:rPr>
              <w:t>-</w:t>
            </w:r>
            <w:r w:rsidR="0008764F">
              <w:rPr>
                <w:bCs/>
                <w:iCs/>
                <w:color w:val="000000" w:themeColor="text1"/>
                <w:sz w:val="16"/>
                <w:szCs w:val="16"/>
              </w:rPr>
              <w:t>2.5</w:t>
            </w:r>
          </w:p>
          <w:p w:rsidR="00B65749" w:rsidRPr="00D22277" w:rsidRDefault="00B65749" w:rsidP="00B328E3">
            <w:pPr>
              <w:spacing w:line="480" w:lineRule="auto"/>
              <w:jc w:val="center"/>
              <w:rPr>
                <w:b/>
                <w:bCs/>
                <w:iCs/>
                <w:color w:val="000000" w:themeColor="text1"/>
                <w:sz w:val="16"/>
                <w:szCs w:val="16"/>
              </w:rPr>
            </w:pPr>
          </w:p>
        </w:tc>
        <w:tc>
          <w:tcPr>
            <w:tcW w:w="0" w:type="auto"/>
            <w:tcBorders>
              <w:bottom w:val="single" w:sz="4" w:space="0" w:color="auto"/>
            </w:tcBorders>
          </w:tcPr>
          <w:p w:rsidR="00B65749" w:rsidRDefault="0008764F" w:rsidP="00B328E3">
            <w:pPr>
              <w:spacing w:line="480" w:lineRule="auto"/>
              <w:jc w:val="center"/>
              <w:rPr>
                <w:bCs/>
                <w:color w:val="000000" w:themeColor="text1"/>
                <w:sz w:val="16"/>
                <w:szCs w:val="16"/>
              </w:rPr>
            </w:pPr>
            <w:r>
              <w:rPr>
                <w:bCs/>
                <w:color w:val="000000" w:themeColor="text1"/>
                <w:sz w:val="16"/>
                <w:szCs w:val="16"/>
              </w:rPr>
              <w:t>23.2</w:t>
            </w:r>
          </w:p>
          <w:p w:rsidR="00B65749" w:rsidRPr="003D0033" w:rsidRDefault="00B65749" w:rsidP="00BF1CE8">
            <w:pPr>
              <w:spacing w:line="480" w:lineRule="auto"/>
              <w:jc w:val="center"/>
              <w:rPr>
                <w:bCs/>
                <w:i/>
                <w:color w:val="000000" w:themeColor="text1"/>
                <w:sz w:val="16"/>
                <w:szCs w:val="16"/>
              </w:rPr>
            </w:pPr>
            <w:r w:rsidRPr="003D0033">
              <w:rPr>
                <w:bCs/>
                <w:i/>
                <w:color w:val="000000" w:themeColor="text1"/>
                <w:sz w:val="16"/>
                <w:szCs w:val="16"/>
              </w:rPr>
              <w:t xml:space="preserve"> (± </w:t>
            </w:r>
            <w:r w:rsidR="00BF1CE8">
              <w:rPr>
                <w:bCs/>
                <w:i/>
                <w:color w:val="000000" w:themeColor="text1"/>
                <w:sz w:val="16"/>
                <w:szCs w:val="16"/>
              </w:rPr>
              <w:t>3</w:t>
            </w:r>
            <w:r w:rsidRPr="003D0033">
              <w:rPr>
                <w:bCs/>
                <w:i/>
                <w:color w:val="000000" w:themeColor="text1"/>
                <w:sz w:val="16"/>
                <w:szCs w:val="16"/>
              </w:rPr>
              <w:t>)</w:t>
            </w:r>
          </w:p>
        </w:tc>
        <w:tc>
          <w:tcPr>
            <w:tcW w:w="0" w:type="auto"/>
            <w:tcBorders>
              <w:bottom w:val="single" w:sz="4" w:space="0" w:color="auto"/>
            </w:tcBorders>
          </w:tcPr>
          <w:p w:rsidR="00B65749" w:rsidRDefault="0008764F" w:rsidP="00B328E3">
            <w:pPr>
              <w:spacing w:line="480" w:lineRule="auto"/>
              <w:jc w:val="center"/>
              <w:rPr>
                <w:bCs/>
                <w:color w:val="000000" w:themeColor="text1"/>
                <w:sz w:val="16"/>
                <w:szCs w:val="16"/>
              </w:rPr>
            </w:pPr>
            <w:r>
              <w:rPr>
                <w:bCs/>
                <w:color w:val="000000" w:themeColor="text1"/>
                <w:sz w:val="16"/>
                <w:szCs w:val="16"/>
              </w:rPr>
              <w:t>24</w:t>
            </w:r>
          </w:p>
          <w:p w:rsidR="00B65749" w:rsidRPr="003D0033" w:rsidRDefault="00B65749" w:rsidP="00BF1CE8">
            <w:pPr>
              <w:spacing w:line="480" w:lineRule="auto"/>
              <w:jc w:val="center"/>
              <w:rPr>
                <w:bCs/>
                <w:i/>
                <w:color w:val="000000" w:themeColor="text1"/>
                <w:sz w:val="16"/>
                <w:szCs w:val="16"/>
              </w:rPr>
            </w:pPr>
            <w:r w:rsidRPr="003D0033">
              <w:rPr>
                <w:bCs/>
                <w:i/>
                <w:color w:val="000000" w:themeColor="text1"/>
                <w:sz w:val="16"/>
                <w:szCs w:val="16"/>
              </w:rPr>
              <w:t xml:space="preserve"> (± </w:t>
            </w:r>
            <w:r w:rsidR="00BF1CE8">
              <w:rPr>
                <w:bCs/>
                <w:i/>
                <w:color w:val="000000" w:themeColor="text1"/>
                <w:sz w:val="16"/>
                <w:szCs w:val="16"/>
              </w:rPr>
              <w:t>1)</w:t>
            </w:r>
          </w:p>
        </w:tc>
      </w:tr>
    </w:tbl>
    <w:p w:rsidR="00D4463C" w:rsidRDefault="00D4463C" w:rsidP="000574FF">
      <w:pPr>
        <w:spacing w:line="480" w:lineRule="auto"/>
        <w:jc w:val="both"/>
      </w:pPr>
    </w:p>
    <w:p w:rsidR="000104A6" w:rsidRDefault="000104A6" w:rsidP="000574FF">
      <w:pPr>
        <w:spacing w:line="480" w:lineRule="auto"/>
        <w:jc w:val="both"/>
      </w:pPr>
    </w:p>
    <w:p w:rsidR="002D72A4" w:rsidRDefault="002D72A4" w:rsidP="000574FF">
      <w:pPr>
        <w:spacing w:line="480" w:lineRule="auto"/>
        <w:jc w:val="both"/>
      </w:pPr>
    </w:p>
    <w:p w:rsidR="002D72A4" w:rsidRDefault="002D72A4" w:rsidP="000574FF">
      <w:pPr>
        <w:spacing w:line="480" w:lineRule="auto"/>
        <w:jc w:val="both"/>
      </w:pPr>
    </w:p>
    <w:p w:rsidR="0008764F" w:rsidRDefault="0008764F" w:rsidP="000574FF">
      <w:pPr>
        <w:spacing w:line="480" w:lineRule="auto"/>
        <w:jc w:val="both"/>
      </w:pPr>
    </w:p>
    <w:p w:rsidR="0008764F" w:rsidRDefault="0008764F" w:rsidP="000574FF">
      <w:pPr>
        <w:spacing w:line="480" w:lineRule="auto"/>
        <w:jc w:val="both"/>
      </w:pPr>
    </w:p>
    <w:p w:rsidR="0008764F" w:rsidRDefault="0008764F" w:rsidP="000574FF">
      <w:pPr>
        <w:spacing w:line="480" w:lineRule="auto"/>
        <w:jc w:val="both"/>
      </w:pPr>
    </w:p>
    <w:p w:rsidR="0008764F" w:rsidRDefault="0008764F" w:rsidP="000574FF">
      <w:pPr>
        <w:spacing w:line="480" w:lineRule="auto"/>
        <w:jc w:val="both"/>
      </w:pPr>
    </w:p>
    <w:p w:rsidR="002D72A4" w:rsidRDefault="002D72A4" w:rsidP="000574FF">
      <w:pPr>
        <w:spacing w:line="480" w:lineRule="auto"/>
        <w:jc w:val="both"/>
      </w:pPr>
    </w:p>
    <w:p w:rsidR="000574FF" w:rsidRDefault="000574FF" w:rsidP="00891CA2">
      <w:pPr>
        <w:pStyle w:val="Heading2"/>
      </w:pPr>
      <w:bookmarkStart w:id="145" w:name="_Toc459130709"/>
      <w:r>
        <w:lastRenderedPageBreak/>
        <w:t>Conclusion</w:t>
      </w:r>
      <w:bookmarkEnd w:id="145"/>
    </w:p>
    <w:p w:rsidR="00891CA2" w:rsidRPr="00891CA2" w:rsidRDefault="00891CA2" w:rsidP="00891CA2"/>
    <w:p w:rsidR="005F3AB5" w:rsidRDefault="00D84EDE" w:rsidP="000574FF">
      <w:pPr>
        <w:spacing w:line="480" w:lineRule="auto"/>
        <w:jc w:val="both"/>
      </w:pPr>
      <w:r>
        <w:t xml:space="preserve">Several tannin-macromolecule ITC studies have suggested that the enthalpy increase at low molar ratios is due to positive cooperativity, that the bound tannin is having a favourable effect on the next binding event. Mechanistically, this is thought to be accomplished by the bound tannin binding to other macromolecules in solution, forming multiple tannin-macromolecule crosslinks. </w:t>
      </w:r>
      <w:hyperlink w:anchor="_ENREF_145" w:tooltip="Prigent, 2009 #450" w:history="1">
        <w:r w:rsidR="00512D09">
          <w:fldChar w:fldCharType="begin">
            <w:fldData xml:space="preserve">PEVuZE5vdGU+PENpdGU+PEF1dGhvcj5QcmlnZW50PC9BdXRob3I+PFllYXI+MjAwOTwvWWVhcj48
UmVjTnVtPjQ1MDwvUmVjTnVtPjxEaXNwbGF5VGV4dD48c3R5bGUgZmFjZT0ic3VwZXJzY3JpcHQi
PjE0NS0xNDc8L3N0eWxlPjwvRGlzcGxheVRleHQ+PHJlY29yZD48cmVjLW51bWJlcj40NTA8L3Jl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dW0+PC9yZWNvcmQ+PC9DaXRlPjxDaXRlPjxBdXRob3I+UGFzY2FsPC9BdXRob3I+PFllYXI+MjAw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</w:fldData>
          </w:fldChar>
        </w:r>
        <w:r w:rsidR="00512D09">
          <w:instrText xml:space="preserve"> ADDIN EN.CITE </w:instrText>
        </w:r>
        <w:r w:rsidR="00512D09">
          <w:fldChar w:fldCharType="begin">
            <w:fldData xml:space="preserve">PEVuZE5vdGU+PENpdGU+PEF1dGhvcj5QcmlnZW50PC9BdXRob3I+PFllYXI+MjAwOTwvWWVhcj48
UmVjTnVtPjQ1MDwvUmVjTnVtPjxEaXNwbGF5VGV4dD48c3R5bGUgZmFjZT0ic3VwZXJzY3JpcHQi
PjE0NS0xNDc8L3N0eWxlPjwvRGlzcGxheVRleHQ+PHJlY29yZD48cmVjLW51bWJlcj40NTA8L3Jl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dW0+PC9yZWNvcmQ+PC9DaXRlPjxDaXRlPjxBdXRob3I+UGFzY2FsPC9BdXRob3I+PFllYXI+MjAw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</w:fldData>
          </w:fldChar>
        </w:r>
        <w:r w:rsidR="00512D09">
          <w:instrText xml:space="preserve"> ADDIN EN.CITE.DATA </w:instrText>
        </w:r>
        <w:r w:rsidR="00512D09">
          <w:fldChar w:fldCharType="end"/>
        </w:r>
        <w:r w:rsidR="00512D09">
          <w:fldChar w:fldCharType="separate"/>
        </w:r>
        <w:r w:rsidR="00512D09" w:rsidRPr="00F80CAD">
          <w:rPr>
            <w:noProof/>
            <w:vertAlign w:val="superscript"/>
          </w:rPr>
          <w:t>145-147</w:t>
        </w:r>
        <w:r w:rsidR="00512D09">
          <w:fldChar w:fldCharType="end"/>
        </w:r>
      </w:hyperlink>
      <w:r w:rsidR="00FD7D1C">
        <w:t xml:space="preserve"> The data presented</w:t>
      </w:r>
      <w:r w:rsidR="00483AF4">
        <w:t xml:space="preserve"> here</w:t>
      </w:r>
      <w:r w:rsidR="004A6AC9">
        <w:t xml:space="preserve"> allows </w:t>
      </w:r>
      <w:r w:rsidR="00FD7D1C">
        <w:t>an extension</w:t>
      </w:r>
      <w:r w:rsidR="004A6AC9">
        <w:t xml:space="preserve"> of the model</w:t>
      </w:r>
      <w:r w:rsidR="00FD7D1C">
        <w:t>, specifically the cause of the enthalp</w:t>
      </w:r>
      <w:r w:rsidR="005F3AB5">
        <w:t xml:space="preserve">y increase at low molar ratios. </w:t>
      </w:r>
      <w:r w:rsidR="00977D76">
        <w:t>Titration of tannins int</w:t>
      </w:r>
      <w:r w:rsidR="005F3AB5">
        <w:t xml:space="preserve">o proteins solutions produced an enthalpy increase at low molar ratios </w:t>
      </w:r>
      <w:r w:rsidR="00977D76">
        <w:t xml:space="preserve">whilst titration of tannins into polyproline did not. The key point being that BSA is more heterogeneous in terms of amino acid composition or </w:t>
      </w:r>
      <w:r w:rsidR="00FD7D1C">
        <w:t>structure</w:t>
      </w:r>
      <w:r w:rsidR="00977D76">
        <w:t xml:space="preserve"> than polyproline. </w:t>
      </w:r>
      <w:r w:rsidR="005F3AB5">
        <w:t xml:space="preserve">The enthalpy increase at low molar ratios </w:t>
      </w:r>
      <w:r w:rsidR="00FD7D1C">
        <w:t>could be a property of crosslinking molecules with different structures, shapes or amino acid compositions</w:t>
      </w:r>
      <w:r w:rsidR="00977D76">
        <w:t>.</w:t>
      </w:r>
      <w:r w:rsidR="004A6AC9">
        <w:t xml:space="preserve"> </w:t>
      </w:r>
      <w:r w:rsidR="005937CD">
        <w:t xml:space="preserve">Alternatively, it may be the case that crosslinking or aggregation is responsible for the </w:t>
      </w:r>
      <w:r w:rsidR="005937CD">
        <w:rPr>
          <w:bCs/>
        </w:rPr>
        <w:t>biphasicity</w:t>
      </w:r>
      <w:r w:rsidR="005937CD">
        <w:t xml:space="preserve">. It is possible that the reason why there were not two stages in the binding isotherm for the polyproline-tannin binding isotherms was due to the ethanol </w:t>
      </w:r>
      <w:r w:rsidR="00A86E1B">
        <w:t>either diminishing</w:t>
      </w:r>
      <w:r w:rsidR="005937CD">
        <w:t xml:space="preserve"> the aggregation or making the crosslinking less favourable. </w:t>
      </w:r>
    </w:p>
    <w:p w:rsidR="00162D81" w:rsidRDefault="005F3AB5" w:rsidP="000574FF">
      <w:pPr>
        <w:spacing w:line="480" w:lineRule="auto"/>
        <w:jc w:val="both"/>
      </w:pPr>
      <w:r>
        <w:t xml:space="preserve">Furthermore, it seems that water plays a key role in tannin-protein interactions. At low molar ratios, the enthalpy change </w:t>
      </w:r>
      <w:r w:rsidR="00162D81">
        <w:t xml:space="preserve">for the first curve </w:t>
      </w:r>
      <w:r>
        <w:t>is positive if the temperature is increased. At higher molar ratios, the enthalpy change</w:t>
      </w:r>
      <w:r w:rsidR="00162D81">
        <w:t xml:space="preserve"> for the second curve</w:t>
      </w:r>
      <w:r>
        <w:t xml:space="preserve"> </w:t>
      </w:r>
      <w:r w:rsidR="00750ED4">
        <w:t xml:space="preserve">and the subsequent plateau are </w:t>
      </w:r>
      <w:r>
        <w:t xml:space="preserve">negative if the temperature is increased. </w:t>
      </w:r>
      <w:r w:rsidR="002124C8">
        <w:t xml:space="preserve">This suggests </w:t>
      </w:r>
      <w:r w:rsidR="00750ED4">
        <w:t>three</w:t>
      </w:r>
      <w:r w:rsidR="00162D81">
        <w:t xml:space="preserve"> stages of interaction </w:t>
      </w:r>
      <w:r w:rsidR="00750ED4">
        <w:t>all with</w:t>
      </w:r>
      <w:r w:rsidR="00162D81">
        <w:t xml:space="preserve"> different binding energetics. The temperature dependence of the first curve suggests polar desolvation; water being removed from polar amino acids on the protein and polar </w:t>
      </w:r>
      <w:r w:rsidR="00750ED4">
        <w:t>alcohols</w:t>
      </w:r>
      <w:r w:rsidR="00162D81">
        <w:t xml:space="preserve"> on the tannin prior to binding. </w:t>
      </w:r>
      <w:r w:rsidR="00750ED4">
        <w:t xml:space="preserve">The binding interactions would most likely therefore encompass hydrogen bonding and van der Waals’ forces. The second curve suggests apolar water desolvation; water being removed from apolar amino acids on </w:t>
      </w:r>
      <w:r w:rsidR="00750ED4">
        <w:lastRenderedPageBreak/>
        <w:t xml:space="preserve">the protein and the apolar carbon skeleton of the tannin phenolic rings prior to binding.  The subsequent binding </w:t>
      </w:r>
      <w:r w:rsidR="006D212B">
        <w:t>interactions</w:t>
      </w:r>
      <w:r w:rsidR="00750ED4">
        <w:t xml:space="preserve"> most likely encompass a range of </w:t>
      </w:r>
      <w:r w:rsidR="006D212B">
        <w:t>mechanisms</w:t>
      </w:r>
      <w:r w:rsidR="00750ED4">
        <w:t xml:space="preserve"> including hydrogen bonding, van der Waals’ forces and hydrophobic interaction. The </w:t>
      </w:r>
      <w:r w:rsidR="00FF244F">
        <w:t xml:space="preserve">enthalpy </w:t>
      </w:r>
      <w:r w:rsidR="00750ED4">
        <w:t xml:space="preserve">plateau is significant of tannins binding to the tannin-coated protein. Most likely, hydrophobic interaction is the main driving force here, but hydrogen bonding and van der Waals’ would also be playing a role. </w:t>
      </w:r>
    </w:p>
    <w:p w:rsidR="00A6460E" w:rsidRPr="00791F76" w:rsidRDefault="009E127D" w:rsidP="000574FF">
      <w:pPr>
        <w:spacing w:line="480" w:lineRule="auto"/>
        <w:jc w:val="both"/>
        <w:rPr>
          <w:bCs/>
        </w:rPr>
      </w:pPr>
      <w:r>
        <w:rPr>
          <w:bCs/>
        </w:rPr>
        <w:t xml:space="preserve">Based on previous work it was suggested that chaotropic anions would increase the endothermicity of the tannin-protein interaction whilst kosmotropes would increase the exothermicity.  Instead, both anions favourably increased the enthalpies of binding. It </w:t>
      </w:r>
      <w:r w:rsidR="005F3AB5">
        <w:rPr>
          <w:bCs/>
        </w:rPr>
        <w:t>is</w:t>
      </w:r>
      <w:r>
        <w:rPr>
          <w:bCs/>
        </w:rPr>
        <w:t xml:space="preserve"> suggested that thiocyanate </w:t>
      </w:r>
      <w:r w:rsidR="00D4463C">
        <w:rPr>
          <w:bCs/>
        </w:rPr>
        <w:t>reduced</w:t>
      </w:r>
      <w:r>
        <w:rPr>
          <w:bCs/>
        </w:rPr>
        <w:t xml:space="preserve"> charge repulsion between the proteins facilitating crosslinking</w:t>
      </w:r>
      <w:r w:rsidR="009F67AE">
        <w:rPr>
          <w:bCs/>
        </w:rPr>
        <w:t xml:space="preserve"> in addition to possibly increasing the surface tension of water thereby increasing the hydrophobic effect</w:t>
      </w:r>
      <w:r>
        <w:rPr>
          <w:bCs/>
        </w:rPr>
        <w:t xml:space="preserve">. </w:t>
      </w:r>
      <w:r w:rsidR="00D4463C">
        <w:rPr>
          <w:bCs/>
        </w:rPr>
        <w:t xml:space="preserve">A dual mechanism </w:t>
      </w:r>
      <w:r w:rsidR="005F3AB5">
        <w:rPr>
          <w:bCs/>
        </w:rPr>
        <w:t>is proposed</w:t>
      </w:r>
      <w:r w:rsidR="00D4463C">
        <w:rPr>
          <w:bCs/>
        </w:rPr>
        <w:t xml:space="preserve"> for sulphate whereby screening reduced electrostatic repulsion between the BSA molecules and water was removed from both polar and </w:t>
      </w:r>
      <w:r w:rsidR="00BA7E7A">
        <w:rPr>
          <w:bCs/>
        </w:rPr>
        <w:t>apolar</w:t>
      </w:r>
      <w:r w:rsidR="00D4463C">
        <w:rPr>
          <w:bCs/>
        </w:rPr>
        <w:t xml:space="preserve"> moieties. </w:t>
      </w:r>
    </w:p>
    <w:p w:rsidR="008E6BF7" w:rsidRDefault="008E6BF7" w:rsidP="008E6BF7">
      <w:pPr>
        <w:spacing w:line="480" w:lineRule="auto"/>
        <w:jc w:val="center"/>
      </w:pPr>
    </w:p>
    <w:p w:rsidR="003661FA" w:rsidRDefault="003661FA" w:rsidP="002B4A15">
      <w:pPr>
        <w:spacing w:line="480" w:lineRule="auto"/>
      </w:pPr>
    </w:p>
    <w:p w:rsidR="006D212B" w:rsidRDefault="006D212B" w:rsidP="002B4A15">
      <w:pPr>
        <w:spacing w:line="480" w:lineRule="auto"/>
      </w:pPr>
    </w:p>
    <w:p w:rsidR="006D212B" w:rsidRDefault="006D212B" w:rsidP="002B4A15">
      <w:pPr>
        <w:spacing w:line="480" w:lineRule="auto"/>
      </w:pPr>
    </w:p>
    <w:p w:rsidR="006D212B" w:rsidRDefault="006D212B" w:rsidP="002B4A15">
      <w:pPr>
        <w:spacing w:line="480" w:lineRule="auto"/>
      </w:pPr>
    </w:p>
    <w:p w:rsidR="006D212B" w:rsidRDefault="006D212B" w:rsidP="002B4A15">
      <w:pPr>
        <w:spacing w:line="480" w:lineRule="auto"/>
      </w:pPr>
    </w:p>
    <w:p w:rsidR="006D212B" w:rsidRDefault="006D212B" w:rsidP="002B4A15">
      <w:pPr>
        <w:spacing w:line="480" w:lineRule="auto"/>
      </w:pPr>
    </w:p>
    <w:p w:rsidR="006D212B" w:rsidRDefault="006D212B" w:rsidP="002B4A15">
      <w:pPr>
        <w:spacing w:line="480" w:lineRule="auto"/>
      </w:pPr>
    </w:p>
    <w:p w:rsidR="008E6BF7" w:rsidRPr="003661FA" w:rsidRDefault="008E6BF7" w:rsidP="003661FA">
      <w:pPr>
        <w:pStyle w:val="Heading1"/>
        <w:jc w:val="center"/>
      </w:pPr>
      <w:bookmarkStart w:id="146" w:name="_Toc459130710"/>
      <w:r w:rsidRPr="003661FA">
        <w:lastRenderedPageBreak/>
        <w:t xml:space="preserve">Chapter </w:t>
      </w:r>
      <w:r w:rsidR="003661FA">
        <w:t>4</w:t>
      </w:r>
      <w:r w:rsidR="003661FA" w:rsidRPr="003661FA">
        <w:t xml:space="preserve">: </w:t>
      </w:r>
      <w:r w:rsidRPr="003661FA">
        <w:t>An Isothermal Titration Calorimetry Study of a Multisite – Electrostatic Binding Interaction between Lysozyme and Phytate</w:t>
      </w:r>
      <w:bookmarkEnd w:id="146"/>
    </w:p>
    <w:p w:rsidR="008E6BF7" w:rsidRDefault="008E6BF7" w:rsidP="008E6BF7">
      <w:pPr>
        <w:spacing w:line="480" w:lineRule="auto"/>
        <w:jc w:val="center"/>
        <w:rPr>
          <w:b/>
        </w:rPr>
      </w:pPr>
    </w:p>
    <w:p w:rsidR="008E6BF7" w:rsidRDefault="008E6BF7"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6D212B" w:rsidRDefault="006D212B" w:rsidP="008E6BF7">
      <w:pPr>
        <w:spacing w:line="480" w:lineRule="auto"/>
        <w:jc w:val="center"/>
        <w:rPr>
          <w:b/>
        </w:rPr>
      </w:pPr>
    </w:p>
    <w:p w:rsidR="003661FA" w:rsidRPr="003661FA" w:rsidRDefault="003661FA" w:rsidP="003661FA"/>
    <w:p w:rsidR="008E6BF7" w:rsidRDefault="008E6BF7" w:rsidP="003661FA">
      <w:pPr>
        <w:pStyle w:val="Heading2"/>
        <w:spacing w:line="480" w:lineRule="auto"/>
        <w:ind w:left="578" w:hanging="578"/>
      </w:pPr>
      <w:bookmarkStart w:id="147" w:name="_Toc459130711"/>
      <w:r w:rsidRPr="00FE71B2">
        <w:lastRenderedPageBreak/>
        <w:t>Summary</w:t>
      </w:r>
      <w:bookmarkEnd w:id="147"/>
    </w:p>
    <w:p w:rsidR="008E6BF7" w:rsidRDefault="008E6BF7" w:rsidP="008E6BF7">
      <w:pPr>
        <w:spacing w:line="480" w:lineRule="auto"/>
        <w:jc w:val="both"/>
      </w:pPr>
      <w:r w:rsidRPr="00FE71B2">
        <w:t xml:space="preserve">Phytate negatively affects the bioavailability of nutrients. To further </w:t>
      </w:r>
      <w:r>
        <w:t>the</w:t>
      </w:r>
      <w:r w:rsidRPr="00FE71B2">
        <w:t xml:space="preserve"> understanding of the molecular mechanisms behind this, Isothermal Titration Calorimetry </w:t>
      </w:r>
      <w:r>
        <w:t>(ITC) was used to</w:t>
      </w:r>
      <w:r w:rsidRPr="00FE71B2">
        <w:t xml:space="preserve"> determine the binding thermodynamics between phytate and the positively charged protein lysozyme in </w:t>
      </w:r>
      <w:r>
        <w:t xml:space="preserve">ammonium </w:t>
      </w:r>
      <w:r w:rsidRPr="00FE71B2">
        <w:t>acetate buffer pH 4 at 10, 25 and 40</w:t>
      </w:r>
      <w:r w:rsidR="006F2757">
        <w:t xml:space="preserve"> </w:t>
      </w:r>
      <w:r w:rsidRPr="00FE71B2">
        <w:t xml:space="preserve">°C. The binding isotherm is biphasic which </w:t>
      </w:r>
      <w:r>
        <w:t>is normally interpreted as favourable (positive) cooperative binding of a ligand to a macromolecule</w:t>
      </w:r>
      <w:r w:rsidRPr="00FE71B2">
        <w:t>.</w:t>
      </w:r>
      <w:r>
        <w:t xml:space="preserve"> However, Nanoparticle Tracking Analysis (NTA) identified small aggregates at low molar ratios used in the ITC study. This suggests that the biphasicity observed in ITC binding isotherms could be due to an aggregation event rather than positive cooperative binding.</w:t>
      </w:r>
    </w:p>
    <w:p w:rsidR="008E6BF7" w:rsidRPr="00FE71B2" w:rsidRDefault="008E6BF7" w:rsidP="008E6BF7">
      <w:pPr>
        <w:spacing w:line="480" w:lineRule="auto"/>
        <w:jc w:val="both"/>
        <w:rPr>
          <w:bCs/>
          <w:iCs/>
        </w:rPr>
      </w:pPr>
      <w:r>
        <w:t>ITC revealed</w:t>
      </w:r>
      <w:r w:rsidRPr="00FE71B2">
        <w:t xml:space="preserve"> </w:t>
      </w:r>
      <w:r>
        <w:t>the interaction to be in the</w:t>
      </w:r>
      <w:r w:rsidRPr="00FE71B2">
        <w:t xml:space="preserve"> micromolar range</w:t>
      </w:r>
      <w:r>
        <w:t xml:space="preserve"> with a favourable contribution</w:t>
      </w:r>
      <w:r w:rsidRPr="00FE71B2">
        <w:t xml:space="preserve"> from the enthalpy </w:t>
      </w:r>
      <w:r>
        <w:t>(</w:t>
      </w:r>
      <w:r w:rsidRPr="00632343">
        <w:rPr>
          <w:bCs/>
        </w:rPr>
        <w:t>Δ</w:t>
      </w:r>
      <w:r w:rsidRPr="00FE71B2">
        <w:rPr>
          <w:bCs/>
          <w:i/>
          <w:iCs/>
        </w:rPr>
        <w:t>H</w:t>
      </w:r>
      <w:r w:rsidRPr="00BA486E">
        <w:rPr>
          <w:bCs/>
          <w:iCs/>
        </w:rPr>
        <w:t>)</w:t>
      </w:r>
      <w:r w:rsidRPr="00FE71B2">
        <w:t xml:space="preserve"> and from entropy (</w:t>
      </w:r>
      <w:r w:rsidRPr="00632343">
        <w:t>T</w:t>
      </w:r>
      <w:r w:rsidRPr="00632343">
        <w:rPr>
          <w:bCs/>
        </w:rPr>
        <w:t>Δ</w:t>
      </w:r>
      <w:r w:rsidRPr="00FE71B2">
        <w:rPr>
          <w:bCs/>
          <w:i/>
          <w:iCs/>
        </w:rPr>
        <w:t>S</w:t>
      </w:r>
      <w:r w:rsidRPr="00FE71B2">
        <w:rPr>
          <w:bCs/>
          <w:iCs/>
        </w:rPr>
        <w:t>)</w:t>
      </w:r>
      <w:r>
        <w:rPr>
          <w:bCs/>
          <w:iCs/>
        </w:rPr>
        <w:t xml:space="preserve"> of binding</w:t>
      </w:r>
      <w:r w:rsidRPr="00FE71B2">
        <w:t>. Increasing the temperature increases the affinity lysozyme has for phytate and increases</w:t>
      </w:r>
      <w:r w:rsidRPr="00FE71B2">
        <w:rPr>
          <w:bCs/>
          <w:iCs/>
        </w:rPr>
        <w:t xml:space="preserve"> the binding stoichiometry (</w:t>
      </w:r>
      <w:r w:rsidRPr="0050110E">
        <w:rPr>
          <w:bCs/>
          <w:i/>
          <w:iCs/>
        </w:rPr>
        <w:t>n</w:t>
      </w:r>
      <w:r w:rsidRPr="00FE71B2">
        <w:rPr>
          <w:bCs/>
          <w:iCs/>
        </w:rPr>
        <w:t>). This suggests crosslinking between lysozyme molecules via a bridging phytate that sterically hinders the binding to other sites on lysozyme</w:t>
      </w:r>
      <w:r>
        <w:rPr>
          <w:bCs/>
          <w:iCs/>
        </w:rPr>
        <w:t>,</w:t>
      </w:r>
      <w:r w:rsidRPr="00FE71B2">
        <w:rPr>
          <w:bCs/>
          <w:iCs/>
        </w:rPr>
        <w:t xml:space="preserve"> and that crosslinking becomes less favourable with increasing temperature. Additionally, the heat capacity of binding </w:t>
      </w:r>
      <w:r>
        <w:rPr>
          <w:bCs/>
          <w:iCs/>
        </w:rPr>
        <w:t>(</w:t>
      </w:r>
      <w:r w:rsidRPr="00FE71B2">
        <w:rPr>
          <w:bCs/>
          <w:i/>
          <w:iCs/>
        </w:rPr>
        <w:t>ΔC</w:t>
      </w:r>
      <w:r w:rsidRPr="00FE71B2">
        <w:rPr>
          <w:bCs/>
          <w:i/>
          <w:iCs/>
          <w:vertAlign w:val="subscript"/>
        </w:rPr>
        <w:t>p</w:t>
      </w:r>
      <w:r>
        <w:rPr>
          <w:bCs/>
          <w:iCs/>
        </w:rPr>
        <w:t>)</w:t>
      </w:r>
      <w:r w:rsidRPr="00FE71B2">
        <w:rPr>
          <w:bCs/>
          <w:iCs/>
        </w:rPr>
        <w:t xml:space="preserve"> was shown to be positive.</w:t>
      </w:r>
      <w:r>
        <w:rPr>
          <w:bCs/>
          <w:iCs/>
        </w:rPr>
        <w:t xml:space="preserve"> This suggests removal of water around polar residues and a lack of hydrophobic interaction between lysozyme and phytate.</w:t>
      </w:r>
      <w:r w:rsidRPr="00FE71B2">
        <w:rPr>
          <w:bCs/>
          <w:iCs/>
        </w:rPr>
        <w:t xml:space="preserve"> The interaction between phytate and lysozyme was weakened in 100 mM ammonium acetate and completely diminished in 300 mM ammonium acetate. This shows that electrostatic interaction is crucial for this particular binding interaction.</w:t>
      </w:r>
    </w:p>
    <w:p w:rsidR="008E6BF7" w:rsidRPr="006677AB" w:rsidRDefault="008E6BF7" w:rsidP="008E6BF7">
      <w:pPr>
        <w:spacing w:line="480" w:lineRule="auto"/>
        <w:jc w:val="both"/>
      </w:pPr>
      <w:r w:rsidRPr="00FE71B2">
        <w:rPr>
          <w:bCs/>
          <w:iCs/>
        </w:rPr>
        <w:t xml:space="preserve">ITC could provide a useful technique to identify the strength and specificity of the interactions between phytate and biological macromolecules both exogenous and endogenous meaning that a better understanding of the antinutritional effects of phytate could be achieved. </w:t>
      </w:r>
      <w:r>
        <w:rPr>
          <w:bCs/>
          <w:iCs/>
        </w:rPr>
        <w:t xml:space="preserve">In addition to this, the effect of temperature on protein-phytate </w:t>
      </w:r>
      <w:r>
        <w:rPr>
          <w:bCs/>
          <w:iCs/>
        </w:rPr>
        <w:lastRenderedPageBreak/>
        <w:t xml:space="preserve">interactions remains unexplored. </w:t>
      </w:r>
      <w:r w:rsidR="00C07BA6">
        <w:rPr>
          <w:bCs/>
          <w:iCs/>
        </w:rPr>
        <w:t>Furthermore,</w:t>
      </w:r>
      <w:r>
        <w:rPr>
          <w:bCs/>
          <w:iCs/>
        </w:rPr>
        <w:t xml:space="preserve"> NTA could assist in providing a mechanistic rationale to ITC binding isotherms that are not purely </w:t>
      </w:r>
      <w:r w:rsidRPr="006677AB">
        <w:rPr>
          <w:bCs/>
          <w:iCs/>
        </w:rPr>
        <w:t>sigmoid</w:t>
      </w:r>
      <w:r>
        <w:rPr>
          <w:bCs/>
          <w:iCs/>
        </w:rPr>
        <w:t>al.</w:t>
      </w: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8E6BF7" w:rsidRDefault="008E6BF7" w:rsidP="008E6BF7">
      <w:pPr>
        <w:spacing w:line="480" w:lineRule="auto"/>
        <w:rPr>
          <w:b/>
        </w:rPr>
      </w:pPr>
    </w:p>
    <w:p w:rsidR="0059143E" w:rsidRDefault="0059143E" w:rsidP="008E6BF7">
      <w:pPr>
        <w:spacing w:line="480" w:lineRule="auto"/>
        <w:rPr>
          <w:b/>
        </w:rPr>
      </w:pPr>
    </w:p>
    <w:p w:rsidR="0059143E" w:rsidRDefault="0059143E" w:rsidP="008E6BF7">
      <w:pPr>
        <w:spacing w:line="480" w:lineRule="auto"/>
        <w:rPr>
          <w:b/>
        </w:rPr>
      </w:pPr>
    </w:p>
    <w:p w:rsidR="0059143E" w:rsidRDefault="0059143E" w:rsidP="008E6BF7">
      <w:pPr>
        <w:spacing w:line="480" w:lineRule="auto"/>
        <w:rPr>
          <w:b/>
        </w:rPr>
      </w:pPr>
    </w:p>
    <w:p w:rsidR="008E6BF7" w:rsidRDefault="008E6BF7" w:rsidP="008E6BF7">
      <w:pPr>
        <w:spacing w:line="480" w:lineRule="auto"/>
        <w:rPr>
          <w:b/>
        </w:rPr>
      </w:pPr>
    </w:p>
    <w:p w:rsidR="008E6BF7" w:rsidRDefault="008E6BF7" w:rsidP="0059143E">
      <w:pPr>
        <w:pStyle w:val="Heading2"/>
        <w:spacing w:line="480" w:lineRule="auto"/>
        <w:ind w:left="578" w:hanging="578"/>
      </w:pPr>
      <w:bookmarkStart w:id="148" w:name="_Toc459130712"/>
      <w:r w:rsidRPr="00B144D3">
        <w:lastRenderedPageBreak/>
        <w:t>Introduction</w:t>
      </w:r>
      <w:bookmarkEnd w:id="148"/>
    </w:p>
    <w:p w:rsidR="008E6BF7" w:rsidRPr="00CC11DE" w:rsidRDefault="008E6BF7" w:rsidP="008E6BF7">
      <w:pPr>
        <w:spacing w:line="480" w:lineRule="auto"/>
        <w:jc w:val="both"/>
      </w:pPr>
      <w:r>
        <w:t>Food science and technology are concerned with a wide variety of issues. Routinely, food chemists want to understand how molecules within food affect the bioavailability of nutrients and techniques regularly used in physical chemistry can help with this.</w:t>
      </w:r>
      <w:hyperlink w:anchor="_ENREF_164" w:tooltip="Li, 2012 #454" w:history="1">
        <w:r w:rsidR="00512D09">
          <w:fldChar w:fldCharType="begin"/>
        </w:r>
        <w:r w:rsidR="00512D09">
          <w:instrText xml:space="preserve"> ADDIN EN.CITE &lt;EndNote&gt;&lt;Cite&gt;&lt;Author&gt;Li&lt;/Author&gt;&lt;Year&gt;2012&lt;/Year&gt;&lt;RecNum&gt;454&lt;/RecNum&gt;&lt;DisplayText&gt;&lt;style face="superscript"&gt;164&lt;/style&gt;&lt;/DisplayText&gt;&lt;record&gt;&lt;rec-number&gt;454&lt;/rec-number&gt;&lt;foreign-keys&gt;&lt;key app="EN" db-id="5trrespwzsdr07efd5tx2w96x22re9s0fsdt"&gt;454&lt;/key&gt;&lt;/foreign-keys&gt;&lt;ref-type name="Journal Article"&gt;17&lt;/ref-type&gt;&lt;contributors&gt;&lt;authors&gt;&lt;author&gt;Li, Meiliang&lt;/author&gt;&lt;author&gt;Jia, Xiaoling&lt;/author&gt;&lt;author&gt;Yang, Jingyun&lt;/author&gt;&lt;author&gt;Deng, Jianjun&lt;/author&gt;&lt;author&gt;Zhao, Guanghua&lt;/author&gt;&lt;/authors&gt;&lt;/contributors&gt;&lt;titles&gt;&lt;title&gt;Effect of tannic acid on properties of soybean (Glycine max) seed ferritin: A model for interaction between naturally-occurring components in foodstuffs&lt;/title&gt;&lt;secondary-title&gt;Food Chemistry&lt;/secondary-title&gt;&lt;/titles&gt;&lt;periodical&gt;&lt;full-title&gt;Food Chemistry&lt;/full-title&gt;&lt;/periodical&gt;&lt;pages&gt;410-415&lt;/pages&gt;&lt;volume&gt;133&lt;/volume&gt;&lt;number&gt;2&lt;/number&gt;&lt;keywords&gt;&lt;keyword&gt;Soybean seed ferritin&lt;/keyword&gt;&lt;keyword&gt;Tannic acid&lt;/keyword&gt;&lt;keyword&gt;Interaction&lt;/keyword&gt;&lt;keyword&gt;Protection&lt;/keyword&gt;&lt;keyword&gt;Iron release&lt;/keyword&gt;&lt;/keywords&gt;&lt;dates&gt;&lt;year&gt;2012&lt;/year&gt;&lt;/dates&gt;&lt;isbn&gt;0308-8146&lt;/isbn&gt;&lt;urls&gt;&lt;related-urls&gt;&lt;url&gt;http://www.sciencedirect.com/science/article/pii/S0308814612000854&lt;/url&gt;&lt;/related-urls&gt;&lt;/urls&gt;&lt;electronic-resource-num&gt;http://dx.doi.org/10.1016/j.foodchem.2012.01.052&lt;/electronic-resource-num&gt;&lt;/record&gt;&lt;/Cite&gt;&lt;/EndNote&gt;</w:instrText>
        </w:r>
        <w:r w:rsidR="00512D09">
          <w:fldChar w:fldCharType="separate"/>
        </w:r>
        <w:r w:rsidR="00512D09" w:rsidRPr="006421D1">
          <w:rPr>
            <w:noProof/>
            <w:vertAlign w:val="superscript"/>
          </w:rPr>
          <w:t>164</w:t>
        </w:r>
        <w:r w:rsidR="00512D09">
          <w:fldChar w:fldCharType="end"/>
        </w:r>
      </w:hyperlink>
      <w:r>
        <w:t xml:space="preserve"> Physical chemistry is the study of chemicals using laws and concepts in physics. Typically</w:t>
      </w:r>
      <w:r w:rsidR="00875CCF">
        <w:t>,</w:t>
      </w:r>
      <w:r>
        <w:t xml:space="preserve"> such systems studied by physical chemists are homogenous and pure meaning the conclusions derived are quantitative. Foods are not homogenous or pure. However, using techniques employed in physical chemistry can help in understanding basic principles which can assist in a greater awareness of how foods interact with biological systems. For this </w:t>
      </w:r>
      <w:r w:rsidR="00FF244F">
        <w:t>reason,</w:t>
      </w:r>
      <w:r>
        <w:t xml:space="preserve"> sodium phytate from rice was used to provide a basic understanding of how phytate may interact with a biological macromolecule. In the subsequent studies potassium phytate was used as the purity is 95% meaning that more quantitative observations can be sought. </w:t>
      </w:r>
    </w:p>
    <w:p w:rsidR="008E6BF7" w:rsidRPr="00B144D3" w:rsidRDefault="008E6BF7" w:rsidP="0059143E">
      <w:pPr>
        <w:pStyle w:val="Heading3"/>
        <w:spacing w:line="480" w:lineRule="auto"/>
      </w:pPr>
      <w:bookmarkStart w:id="149" w:name="_Toc459130713"/>
      <w:r>
        <w:t>Phytate</w:t>
      </w:r>
      <w:bookmarkEnd w:id="149"/>
    </w:p>
    <w:p w:rsidR="008E6BF7" w:rsidRDefault="008E6BF7" w:rsidP="008E6BF7">
      <w:pPr>
        <w:spacing w:line="480" w:lineRule="auto"/>
        <w:jc w:val="both"/>
      </w:pPr>
      <w:r w:rsidRPr="00093658">
        <w:t xml:space="preserve">Phytic acid is a </w:t>
      </w:r>
      <w:r w:rsidRPr="00093658">
        <w:rPr>
          <w:i/>
        </w:rPr>
        <w:t>myo</w:t>
      </w:r>
      <w:r w:rsidRPr="00093658">
        <w:t>-inositol with six orthophosphate groups linked to it by phosphoester bonds</w:t>
      </w:r>
      <w:r>
        <w:t xml:space="preserve"> (</w:t>
      </w:r>
      <w:r w:rsidR="0075172E">
        <w:fldChar w:fldCharType="begin"/>
      </w:r>
      <w:r w:rsidR="007A4246">
        <w:instrText xml:space="preserve"> REF _Ref442881009 \h </w:instrText>
      </w:r>
      <w:r w:rsidR="0075172E">
        <w:fldChar w:fldCharType="separate"/>
      </w:r>
      <w:r w:rsidR="00CB4EDC">
        <w:t xml:space="preserve">Figure </w:t>
      </w:r>
      <w:r w:rsidR="00CB4EDC">
        <w:rPr>
          <w:noProof/>
        </w:rPr>
        <w:t>4</w:t>
      </w:r>
      <w:r w:rsidR="00CB4EDC">
        <w:t>.</w:t>
      </w:r>
      <w:r w:rsidR="00CB4EDC">
        <w:rPr>
          <w:noProof/>
        </w:rPr>
        <w:t>1</w:t>
      </w:r>
      <w:r w:rsidR="0075172E">
        <w:fldChar w:fldCharType="end"/>
      </w:r>
      <w:r>
        <w:t>)</w:t>
      </w:r>
      <w:r w:rsidRPr="00093658">
        <w:t xml:space="preserve">. The dissociated form of the acid, which exists above a pH of 2, named phytate, is </w:t>
      </w:r>
      <w:r>
        <w:t>thought</w:t>
      </w:r>
      <w:r w:rsidRPr="00093658">
        <w:t xml:space="preserve"> to bind to a number of trace metals, colloidal clays and proteins</w:t>
      </w:r>
      <w:r>
        <w:t>.</w:t>
      </w:r>
      <w:hyperlink w:anchor="_ENREF_241" w:tooltip="Bye, 2013 #544" w:history="1">
        <w:r w:rsidR="00512D09" w:rsidRPr="00093658">
          <w:fldChar w:fldCharType="begin">
            <w:fldData xml:space="preserve">PEVuZE5vdGU+PENpdGU+PEF1dGhvcj5CeWU8L0F1dGhvcj48WWVhcj4yMDEzPC9ZZWFyPjxSZWNO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==
</w:fldData>
          </w:fldChar>
        </w:r>
        <w:r w:rsidR="00512D09">
          <w:instrText xml:space="preserve"> ADDIN EN.CITE </w:instrText>
        </w:r>
        <w:r w:rsidR="00512D09">
          <w:fldChar w:fldCharType="begin">
            <w:fldData xml:space="preserve">PEVuZE5vdGU+PENpdGU+PEF1dGhvcj5CeWU8L0F1dGhvcj48WWVhcj4yMDEzPC9ZZWFyPjxSZWNO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==
</w:fldData>
          </w:fldChar>
        </w:r>
        <w:r w:rsidR="00512D09">
          <w:instrText xml:space="preserve"> ADDIN EN.CITE.DATA </w:instrText>
        </w:r>
        <w:r w:rsidR="00512D09">
          <w:fldChar w:fldCharType="end"/>
        </w:r>
        <w:r w:rsidR="00512D09" w:rsidRPr="00093658">
          <w:fldChar w:fldCharType="separate"/>
        </w:r>
        <w:r w:rsidR="00512D09" w:rsidRPr="006421D1">
          <w:rPr>
            <w:noProof/>
            <w:vertAlign w:val="superscript"/>
          </w:rPr>
          <w:t>241-245</w:t>
        </w:r>
        <w:r w:rsidR="00512D09" w:rsidRPr="00093658">
          <w:fldChar w:fldCharType="end"/>
        </w:r>
      </w:hyperlink>
      <w:r w:rsidRPr="00093658">
        <w:t xml:space="preserve"> These studies suggest that </w:t>
      </w:r>
      <w:r w:rsidR="00357988">
        <w:t xml:space="preserve">the </w:t>
      </w:r>
      <w:r w:rsidRPr="00093658">
        <w:t>phytate ion can bind to positively charged proteins and minerals since it occurs as a set of negatively charged species whose charge composition becomes more negative with increasing pH</w:t>
      </w:r>
      <w:r>
        <w:t>.</w:t>
      </w:r>
      <w:r w:rsidR="0075172E" w:rsidRPr="00093658">
        <w:fldChar w:fldCharType="begin">
          <w:fldData xml:space="preserve">PEVuZE5vdGU+PENpdGU+PEF1dGhvcj5Jc2JyYW5kdDwvQXV0aG9yPjxZZWFyPjE5ODA8L1llYXI+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</w:fldData>
        </w:fldChar>
      </w:r>
      <w:r w:rsidR="006421D1">
        <w:instrText xml:space="preserve"> ADDIN EN.CITE </w:instrText>
      </w:r>
      <w:r w:rsidR="0075172E">
        <w:fldChar w:fldCharType="begin">
          <w:fldData xml:space="preserve">PEVuZE5vdGU+PENpdGU+PEF1dGhvcj5Jc2JyYW5kdDwvQXV0aG9yPjxZZWFyPjE5ODA8L1llYXI+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</w:fldData>
        </w:fldChar>
      </w:r>
      <w:r w:rsidR="006421D1">
        <w:instrText xml:space="preserve"> ADDIN EN.CITE.DATA </w:instrText>
      </w:r>
      <w:r w:rsidR="0075172E">
        <w:fldChar w:fldCharType="end"/>
      </w:r>
      <w:r w:rsidR="0075172E" w:rsidRPr="00093658">
        <w:fldChar w:fldCharType="separate"/>
      </w:r>
      <w:hyperlink w:anchor="_ENREF_241" w:tooltip="Bye, 2013 #544" w:history="1">
        <w:r w:rsidR="00512D09" w:rsidRPr="006421D1">
          <w:rPr>
            <w:noProof/>
            <w:vertAlign w:val="superscript"/>
          </w:rPr>
          <w:t>241</w:t>
        </w:r>
      </w:hyperlink>
      <w:r w:rsidR="006421D1" w:rsidRPr="006421D1">
        <w:rPr>
          <w:noProof/>
          <w:vertAlign w:val="superscript"/>
        </w:rPr>
        <w:t>,</w:t>
      </w:r>
      <w:hyperlink w:anchor="_ENREF_246" w:tooltip="Isbrandt, 1980 #543" w:history="1">
        <w:r w:rsidR="00512D09" w:rsidRPr="006421D1">
          <w:rPr>
            <w:noProof/>
            <w:vertAlign w:val="superscript"/>
          </w:rPr>
          <w:t>246</w:t>
        </w:r>
      </w:hyperlink>
      <w:r w:rsidR="006421D1" w:rsidRPr="006421D1">
        <w:rPr>
          <w:noProof/>
          <w:vertAlign w:val="superscript"/>
        </w:rPr>
        <w:t>,</w:t>
      </w:r>
      <w:hyperlink w:anchor="_ENREF_247" w:tooltip="Heighton, 2008 #542" w:history="1">
        <w:r w:rsidR="00512D09" w:rsidRPr="006421D1">
          <w:rPr>
            <w:noProof/>
            <w:vertAlign w:val="superscript"/>
          </w:rPr>
          <w:t>247</w:t>
        </w:r>
      </w:hyperlink>
      <w:r w:rsidR="0075172E" w:rsidRPr="00093658">
        <w:fldChar w:fldCharType="end"/>
      </w:r>
      <w:r w:rsidR="00480BC7">
        <w:t xml:space="preserve"> </w:t>
      </w:r>
      <w:r>
        <w:t>However, it has also been suggested that phytate interacts as kosmotropic anion, removing water from proteins inducing protein-protein interactions rather than direct interaction.</w:t>
      </w:r>
      <w:hyperlink w:anchor="_ENREF_248" w:tooltip="Selle, 2012 #610" w:history="1">
        <w:r w:rsidR="00512D09">
          <w:fldChar w:fldCharType="begin"/>
        </w:r>
        <w:r w:rsidR="00512D09">
          <w:instrText xml:space="preserve"> ADDIN EN.CITE &lt;EndNote&gt;&lt;Cite&gt;&lt;Author&gt;Selle&lt;/Author&gt;&lt;Year&gt;2012&lt;/Year&gt;&lt;RecNum&gt;610&lt;/RecNum&gt;&lt;DisplayText&gt;&lt;style face="superscript"&gt;248&lt;/style&gt;&lt;/DisplayText&gt;&lt;record&gt;&lt;rec-number&gt;610&lt;/rec-number&gt;&lt;foreign-keys&gt;&lt;key app="EN" db-id="5trrespwzsdr07efd5tx2w96x22re9s0fsdt"&gt;610&lt;/key&gt;&lt;/foreign-keys&gt;&lt;ref-type name="Journal Article"&gt;17&lt;/ref-type&gt;&lt;contributors&gt;&lt;authors&gt;&lt;author&gt;Selle, Peter H&lt;/author&gt;&lt;author&gt;Cowieson, Aaron J&lt;/author&gt;&lt;author&gt;Cowieson, Nathan P&lt;/author&gt;&lt;author&gt;Ravindran, V&lt;/author&gt;&lt;/authors&gt;&lt;/contributors&gt;&lt;titles&gt;&lt;title&gt;Protein–phytate interactions in pig and poultry nutrition: a reappraisal&lt;/title&gt;&lt;secondary-title&gt;Nutrition Research Reviews&lt;/secondary-title&gt;&lt;/titles&gt;&lt;periodical&gt;&lt;full-title&gt;Nutrition Research Reviews&lt;/full-title&gt;&lt;/periodical&gt;&lt;pages&gt;1-17&lt;/pages&gt;&lt;volume&gt;25&lt;/volume&gt;&lt;number&gt;01&lt;/number&gt;&lt;dates&gt;&lt;year&gt;2012&lt;/year&gt;&lt;/dates&gt;&lt;isbn&gt;1475-2700&lt;/isbn&gt;&lt;urls&gt;&lt;/urls&gt;&lt;/record&gt;&lt;/Cite&gt;&lt;/EndNote&gt;</w:instrText>
        </w:r>
        <w:r w:rsidR="00512D09">
          <w:fldChar w:fldCharType="separate"/>
        </w:r>
        <w:r w:rsidR="00512D09" w:rsidRPr="006421D1">
          <w:rPr>
            <w:noProof/>
            <w:vertAlign w:val="superscript"/>
          </w:rPr>
          <w:t>248</w:t>
        </w:r>
        <w:r w:rsidR="00512D09">
          <w:fldChar w:fldCharType="end"/>
        </w:r>
      </w:hyperlink>
    </w:p>
    <w:p w:rsidR="008E6BF7" w:rsidRDefault="008E6BF7" w:rsidP="008E6BF7">
      <w:pPr>
        <w:spacing w:line="480" w:lineRule="auto"/>
        <w:jc w:val="both"/>
      </w:pPr>
      <w:r w:rsidRPr="00093658">
        <w:t>Seeds, cereals, legumes and nuts all contain phytate. As such this presents a nutritional problem, as phytate could chelate ions with biological functions</w:t>
      </w:r>
      <w:r>
        <w:t>.</w:t>
      </w:r>
      <w:hyperlink w:anchor="_ENREF_242" w:tooltip="Bebot-Brigaud, 1999 #545" w:history="1">
        <w:r w:rsidR="00512D09" w:rsidRPr="00093658">
          <w:fldChar w:fldCharType="begin"/>
        </w:r>
        <w:r w:rsidR="00512D09">
          <w:instrText xml:space="preserve"> ADDIN EN.CITE &lt;EndNote&gt;&lt;Cite&gt;&lt;Author&gt;Bebot-Brigaud&lt;/Author&gt;&lt;Year&gt;1999&lt;/Year&gt;&lt;RecNum&gt;545&lt;/RecNum&gt;&lt;DisplayText&gt;&lt;style face="superscript"&gt;242&lt;/style&gt;&lt;/DisplayText&gt;&lt;record&gt;&lt;rec-number&gt;545&lt;/rec-number&gt;&lt;foreign-keys&gt;&lt;key app="EN" db-id="5trrespwzsdr07efd5tx2w96x22re9s0fsdt"&gt;545&lt;/key&gt;&lt;/foreign-keys&gt;&lt;ref-type name="Journal Article"&gt;17&lt;/ref-type&gt;&lt;contributors&gt;&lt;authors&gt;&lt;author&gt;Bebot-Brigaud, A&lt;/author&gt;&lt;author&gt;Dange, C&lt;/author&gt;&lt;author&gt;Fauconnier, N&lt;/author&gt;&lt;author&gt;Gérard, C&lt;/author&gt;&lt;/authors&gt;&lt;/contributors&gt;&lt;titles&gt;&lt;title&gt;&lt;style face="normal" font="default" size="100%"&gt;31 P NMR, potentiometric and spectrophotometric studies of phytic acid ionization and complexation properties toward Co&lt;/style&gt;&lt;style face="superscript" font="default" size="100%"&gt;2+&lt;/style&gt;&lt;style face="normal" font="default" size="100%"&gt;, Ni&lt;/style&gt;&lt;style face="superscript" font="default" size="100%"&gt;2+&lt;/style&gt;&lt;style face="normal" font="default" size="100%"&gt;, Cu&lt;/style&gt;&lt;style face="superscript" font="default" size="100%"&gt;2+&lt;/style&gt;&lt;style face="normal" font="default" size="100%"&gt;, Zn&lt;/style&gt;&lt;style face="superscript" font="default" size="100%"&gt;2+&lt;/style&gt;&lt;style face="normal" font="default" size="100%"&gt; and Cd&lt;/style&gt;&lt;style face="superscript" font="default" size="100%"&gt;2+&lt;/style&gt;&lt;/title&gt;&lt;secondary-title&gt;Journal of Inorganic Biochemistry&lt;/secondary-title&gt;&lt;/titles&gt;&lt;periodical&gt;&lt;full-title&gt;Journal of Inorganic Biochemistry&lt;/full-title&gt;&lt;/periodical&gt;&lt;pages&gt;71-78&lt;/pages&gt;&lt;volume&gt;75&lt;/volume&gt;&lt;number&gt;1&lt;/number&gt;&lt;dates&gt;&lt;year&gt;1999&lt;/year&gt;&lt;/dates&gt;&lt;isbn&gt;0162-0134&lt;/isbn&gt;&lt;urls&gt;&lt;/urls&gt;&lt;/record&gt;&lt;/Cite&gt;&lt;/EndNote&gt;</w:instrText>
        </w:r>
        <w:r w:rsidR="00512D09" w:rsidRPr="00093658">
          <w:fldChar w:fldCharType="separate"/>
        </w:r>
        <w:r w:rsidR="00512D09" w:rsidRPr="006421D1">
          <w:rPr>
            <w:noProof/>
            <w:vertAlign w:val="superscript"/>
          </w:rPr>
          <w:t>242</w:t>
        </w:r>
        <w:r w:rsidR="00512D09" w:rsidRPr="00093658">
          <w:fldChar w:fldCharType="end"/>
        </w:r>
      </w:hyperlink>
      <w:r w:rsidRPr="00093658">
        <w:t xml:space="preserve"> It has also been suggested that phytate could form non-digestible complexes with exogenous protein sources and endogenous proteins involved in </w:t>
      </w:r>
      <w:r>
        <w:t>digestion</w:t>
      </w:r>
      <w:r w:rsidRPr="00093658">
        <w:t xml:space="preserve"> causing malnutrition</w:t>
      </w:r>
      <w:r>
        <w:t>.</w:t>
      </w:r>
      <w:hyperlink w:anchor="_ENREF_249" w:tooltip="Vaintraub, 1991 #549" w:history="1">
        <w:r w:rsidR="00512D09" w:rsidRPr="00093658">
          <w:fldChar w:fldCharType="begin">
            <w:fldData xml:space="preserve">PEVuZE5vdGU+PENpdGU+PEF1dGhvcj5WYWludHJhdWI8L0F1dGhvcj48WWVhcj4xOTkxPC9ZZWFy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==
</w:fldData>
          </w:fldChar>
        </w:r>
        <w:r w:rsidR="00512D09">
          <w:instrText xml:space="preserve"> ADDIN EN.CITE </w:instrText>
        </w:r>
        <w:r w:rsidR="00512D09">
          <w:fldChar w:fldCharType="begin">
            <w:fldData xml:space="preserve">PEVuZE5vdGU+PENpdGU+PEF1dGhvcj5WYWludHJhdWI8L0F1dGhvcj48WWVhcj4xOTkxPC9ZZWFy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==
</w:fldData>
          </w:fldChar>
        </w:r>
        <w:r w:rsidR="00512D09">
          <w:instrText xml:space="preserve"> ADDIN EN.CITE.DATA </w:instrText>
        </w:r>
        <w:r w:rsidR="00512D09">
          <w:fldChar w:fldCharType="end"/>
        </w:r>
        <w:r w:rsidR="00512D09" w:rsidRPr="00093658">
          <w:fldChar w:fldCharType="separate"/>
        </w:r>
        <w:r w:rsidR="00512D09" w:rsidRPr="006421D1">
          <w:rPr>
            <w:noProof/>
            <w:vertAlign w:val="superscript"/>
          </w:rPr>
          <w:t>249-251</w:t>
        </w:r>
        <w:r w:rsidR="00512D09" w:rsidRPr="00093658">
          <w:fldChar w:fldCharType="end"/>
        </w:r>
      </w:hyperlink>
      <w:r>
        <w:t xml:space="preserve"> Although </w:t>
      </w:r>
      <w:r>
        <w:lastRenderedPageBreak/>
        <w:t>originally discovered as a form of phosphate storage in plant seeds, it is now known to be present in all eukaryotic cells where it is believed to have a signalling function.</w:t>
      </w:r>
      <w:hyperlink w:anchor="_ENREF_252" w:tooltip="Letcher, 2008 #643" w:history="1">
        <w:r w:rsidR="00512D09">
          <w:fldChar w:fldCharType="begin">
            <w:fldData xml:space="preserve">PEVuZE5vdGU+PENpdGU+PEF1dGhvcj5MZXRjaGVyPC9BdXRob3I+PFllYXI+MjAwODwvWWVhcj48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</w:fldData>
          </w:fldChar>
        </w:r>
        <w:r w:rsidR="00512D09">
          <w:instrText xml:space="preserve"> ADDIN EN.CITE </w:instrText>
        </w:r>
        <w:r w:rsidR="00512D09">
          <w:fldChar w:fldCharType="begin">
            <w:fldData xml:space="preserve">PEVuZE5vdGU+PENpdGU+PEF1dGhvcj5MZXRjaGVyPC9BdXRob3I+PFllYXI+MjAwODwvWWVhcj48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</w:fldData>
          </w:fldChar>
        </w:r>
        <w:r w:rsidR="00512D09">
          <w:instrText xml:space="preserve"> ADDIN EN.CITE.DATA </w:instrText>
        </w:r>
        <w:r w:rsidR="00512D09">
          <w:fldChar w:fldCharType="end"/>
        </w:r>
        <w:r w:rsidR="00512D09">
          <w:fldChar w:fldCharType="separate"/>
        </w:r>
        <w:r w:rsidR="00512D09" w:rsidRPr="006421D1">
          <w:rPr>
            <w:noProof/>
            <w:vertAlign w:val="superscript"/>
          </w:rPr>
          <w:t>252-254</w:t>
        </w:r>
        <w:r w:rsidR="00512D09">
          <w:fldChar w:fldCharType="end"/>
        </w:r>
      </w:hyperlink>
      <w:r>
        <w:t xml:space="preserve"> However, its biological functions and how it interacts with cellular components is still not understood.  </w:t>
      </w:r>
    </w:p>
    <w:p w:rsidR="008E6BF7" w:rsidRDefault="008E6BF7" w:rsidP="008E6BF7">
      <w:pPr>
        <w:keepNext/>
        <w:spacing w:line="480" w:lineRule="auto"/>
        <w:jc w:val="center"/>
      </w:pPr>
      <w:r>
        <w:rPr>
          <w:noProof/>
          <w:lang w:eastAsia="en-GB"/>
        </w:rPr>
        <w:drawing>
          <wp:inline distT="0" distB="0" distL="0" distR="0" wp14:anchorId="378ECD7D" wp14:editId="7C6DFDC3">
            <wp:extent cx="3589020" cy="341376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589020" cy="3413760"/>
                    </a:xfrm>
                    <a:prstGeom prst="rect">
                      <a:avLst/>
                    </a:prstGeom>
                  </pic:spPr>
                </pic:pic>
              </a:graphicData>
            </a:graphic>
          </wp:inline>
        </w:drawing>
      </w:r>
    </w:p>
    <w:p w:rsidR="008E6BF7" w:rsidRDefault="008E6BF7" w:rsidP="008E6BF7">
      <w:pPr>
        <w:pStyle w:val="Caption"/>
        <w:spacing w:line="480" w:lineRule="auto"/>
        <w:jc w:val="center"/>
      </w:pPr>
      <w:bookmarkStart w:id="150" w:name="_Ref442881009"/>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w:t>
      </w:r>
      <w:r w:rsidR="0075172E">
        <w:fldChar w:fldCharType="end"/>
      </w:r>
      <w:bookmarkEnd w:id="150"/>
      <w:r>
        <w:t>: Structure of phytic acid</w:t>
      </w:r>
    </w:p>
    <w:p w:rsidR="008E6BF7" w:rsidRDefault="008E6BF7" w:rsidP="008E6BF7">
      <w:pPr>
        <w:spacing w:line="480" w:lineRule="auto"/>
        <w:jc w:val="both"/>
      </w:pPr>
      <w:r w:rsidRPr="00883120">
        <w:rPr>
          <w:bCs/>
        </w:rPr>
        <w:t xml:space="preserve">The antinutritional effects of phytate are not just limited to the human </w:t>
      </w:r>
      <w:r>
        <w:rPr>
          <w:bCs/>
        </w:rPr>
        <w:t>population</w:t>
      </w:r>
      <w:r w:rsidRPr="00883120">
        <w:rPr>
          <w:bCs/>
        </w:rPr>
        <w:t>. Malnutrition has major ramifications in the farming industry. Pigs and poultry are negatively affected in terms of growth performance due to phytate present in farmyard feed</w:t>
      </w:r>
      <w:r>
        <w:rPr>
          <w:bCs/>
        </w:rPr>
        <w:t>.</w:t>
      </w:r>
      <w:r w:rsidRPr="00883120">
        <w:rPr>
          <w:bCs/>
        </w:rPr>
        <w:t xml:space="preserve"> </w:t>
      </w:r>
      <w:r w:rsidR="0075172E" w:rsidRPr="00883120">
        <w:rPr>
          <w:bCs/>
        </w:rPr>
        <w:fldChar w:fldCharType="begin"/>
      </w:r>
      <w:r w:rsidR="006421D1">
        <w:rPr>
          <w:bCs/>
        </w:rPr>
        <w:instrText xml:space="preserve"> ADDIN EN.CITE &lt;EndNote&gt;&lt;Cite&gt;&lt;Author&gt;Woyengo&lt;/Author&gt;&lt;Year&gt;2013&lt;/Year&gt;&lt;RecNum&gt;552&lt;/RecNum&gt;&lt;DisplayText&gt;&lt;style face="superscript"&gt;255,256&lt;/style&gt;&lt;/DisplayText&gt;&lt;record&gt;&lt;rec-number&gt;552&lt;/rec-number&gt;&lt;foreign-keys&gt;&lt;key app="EN" db-id="5trrespwzsdr07efd5tx2w96x22re9s0fsdt"&gt;552&lt;/key&gt;&lt;/foreign-keys&gt;&lt;ref-type name="Journal Article"&gt;17&lt;/ref-type&gt;&lt;contributors&gt;&lt;authors&gt;&lt;author&gt;Woyengo, TA&lt;/author&gt;&lt;author&gt;Nyachoti, CM&lt;/author&gt;&lt;/authors&gt;&lt;/contributors&gt;&lt;titles&gt;&lt;title&gt;Review: Anti-nutritional effects of phytic acid in diets for pigs and poultry–current knowledge and directions for future research&lt;/title&gt;&lt;secondary-title&gt;Canadian Journal of Animal Science&lt;/secondary-title&gt;&lt;/titles&gt;&lt;periodical&gt;&lt;full-title&gt;Canadian Journal of Animal Science&lt;/full-title&gt;&lt;/periodical&gt;&lt;pages&gt;9-21&lt;/pages&gt;&lt;volume&gt;93&lt;/volume&gt;&lt;number&gt;1&lt;/number&gt;&lt;dates&gt;&lt;year&gt;2013&lt;/year&gt;&lt;/dates&gt;&lt;isbn&gt;0008-3984&lt;/isbn&gt;&lt;urls&gt;&lt;/urls&gt;&lt;/record&gt;&lt;/Cite&gt;&lt;Cite&gt;&lt;Author&gt;Woyengo&lt;/Author&gt;&lt;Year&gt;2014&lt;/Year&gt;&lt;RecNum&gt;553&lt;/RecNum&gt;&lt;record&gt;&lt;rec-number&gt;553&lt;/rec-number&gt;&lt;foreign-keys&gt;&lt;key app="EN" db-id="5trrespwzsdr07efd5tx2w96x22re9s0fsdt"&gt;553&lt;/key&gt;&lt;/foreign-keys&gt;&lt;ref-type name="Journal Article"&gt;17&lt;/ref-type&gt;&lt;contributors&gt;&lt;authors&gt;&lt;author&gt;Woyengo, TA&lt;/author&gt;&lt;author&gt;Beltranena, E&lt;/author&gt;&lt;author&gt;Zijlstra, RT&lt;/author&gt;&lt;/authors&gt;&lt;/contributors&gt;&lt;titles&gt;&lt;title&gt;Nonruminant Nutrition Symposium: Controlling feed cost by including alternative ingredients into pig diets: A review&lt;/title&gt;&lt;secondary-title&gt;Journal of animal science&lt;/secondary-title&gt;&lt;/titles&gt;&lt;periodical&gt;&lt;full-title&gt;Journal of animal science&lt;/full-title&gt;&lt;/periodical&gt;&lt;pages&gt;1293-1305&lt;/pages&gt;&lt;volume&gt;92&lt;/volume&gt;&lt;number&gt;4&lt;/number&gt;&lt;dates&gt;&lt;year&gt;2014&lt;/year&gt;&lt;/dates&gt;&lt;isbn&gt;1525-3163&lt;/isbn&gt;&lt;urls&gt;&lt;/urls&gt;&lt;/record&gt;&lt;/Cite&gt;&lt;/EndNote&gt;</w:instrText>
      </w:r>
      <w:r w:rsidR="0075172E" w:rsidRPr="00883120">
        <w:rPr>
          <w:bCs/>
        </w:rPr>
        <w:fldChar w:fldCharType="separate"/>
      </w:r>
      <w:hyperlink w:anchor="_ENREF_255" w:tooltip="Woyengo, 2013 #552" w:history="1">
        <w:r w:rsidR="00512D09" w:rsidRPr="006421D1">
          <w:rPr>
            <w:bCs/>
            <w:noProof/>
            <w:vertAlign w:val="superscript"/>
          </w:rPr>
          <w:t>255</w:t>
        </w:r>
      </w:hyperlink>
      <w:r w:rsidR="006421D1" w:rsidRPr="006421D1">
        <w:rPr>
          <w:bCs/>
          <w:noProof/>
          <w:vertAlign w:val="superscript"/>
        </w:rPr>
        <w:t>,</w:t>
      </w:r>
      <w:hyperlink w:anchor="_ENREF_256" w:tooltip="Woyengo, 2014 #553" w:history="1">
        <w:r w:rsidR="00512D09" w:rsidRPr="006421D1">
          <w:rPr>
            <w:bCs/>
            <w:noProof/>
            <w:vertAlign w:val="superscript"/>
          </w:rPr>
          <w:t>256</w:t>
        </w:r>
      </w:hyperlink>
      <w:r w:rsidR="0075172E" w:rsidRPr="00883120">
        <w:fldChar w:fldCharType="end"/>
      </w:r>
      <w:r w:rsidR="00357988">
        <w:rPr>
          <w:bCs/>
        </w:rPr>
        <w:t xml:space="preserve"> </w:t>
      </w:r>
      <w:r w:rsidRPr="00883120">
        <w:rPr>
          <w:bCs/>
        </w:rPr>
        <w:t xml:space="preserve">This has led to supplementation of phytase, an enzyme that hydrolyses phosphate esters present on phytate. The global phytase market was evaluated to be worth </w:t>
      </w:r>
      <w:r w:rsidR="00426ACA">
        <w:rPr>
          <w:bCs/>
        </w:rPr>
        <w:t>£</w:t>
      </w:r>
      <w:r w:rsidR="00426ACA" w:rsidRPr="00426ACA">
        <w:rPr>
          <w:rFonts w:cs="Arial"/>
          <w:color w:val="212121"/>
          <w:shd w:val="clear" w:color="auto" w:fill="FFFFFF"/>
        </w:rPr>
        <w:t xml:space="preserve">244 </w:t>
      </w:r>
      <w:r w:rsidR="00426ACA" w:rsidRPr="00426ACA">
        <w:rPr>
          <w:rFonts w:cs="Arial"/>
          <w:color w:val="000000" w:themeColor="text1"/>
          <w:shd w:val="clear" w:color="auto" w:fill="FFFFFF"/>
        </w:rPr>
        <w:t>milion</w:t>
      </w:r>
      <w:r w:rsidR="00426ACA" w:rsidRPr="00426ACA">
        <w:rPr>
          <w:bCs/>
        </w:rPr>
        <w:t xml:space="preserve"> </w:t>
      </w:r>
      <w:r w:rsidRPr="00426ACA">
        <w:rPr>
          <w:bCs/>
        </w:rPr>
        <w:t>annually</w:t>
      </w:r>
      <w:r w:rsidR="00426ACA">
        <w:rPr>
          <w:bCs/>
        </w:rPr>
        <w:t xml:space="preserve"> </w:t>
      </w:r>
      <w:r w:rsidRPr="00883120">
        <w:rPr>
          <w:bCs/>
        </w:rPr>
        <w:t>and account for more than 60% of the total feed enzyme market in 2010</w:t>
      </w:r>
      <w:r w:rsidR="00426ACA">
        <w:rPr>
          <w:bCs/>
        </w:rPr>
        <w:t>.</w:t>
      </w:r>
      <w:hyperlink w:anchor="_ENREF_257" w:tooltip="Lei, 2013 #605" w:history="1">
        <w:r w:rsidR="00512D09" w:rsidRPr="00883120">
          <w:rPr>
            <w:bCs/>
          </w:rPr>
          <w:fldChar w:fldCharType="begin"/>
        </w:r>
        <w:r w:rsidR="00512D09">
          <w:rPr>
            <w:bCs/>
          </w:rPr>
          <w:instrText xml:space="preserve"> ADDIN EN.CITE &lt;EndNote&gt;&lt;Cite&gt;&lt;Author&gt;Lei&lt;/Author&gt;&lt;Year&gt;2013&lt;/Year&gt;&lt;RecNum&gt;605&lt;/RecNum&gt;&lt;DisplayText&gt;&lt;style face="superscript"&gt;257&lt;/style&gt;&lt;/DisplayText&gt;&lt;record&gt;&lt;rec-number&gt;605&lt;/rec-number&gt;&lt;foreign-keys&gt;&lt;key app="EN" db-id="5trrespwzsdr07efd5tx2w96x22re9s0fsdt"&gt;605&lt;/key&gt;&lt;/foreign-keys&gt;&lt;ref-type name="Journal Article"&gt;17&lt;/ref-type&gt;&lt;contributors&gt;&lt;authors&gt;&lt;author&gt;Lei, Xin Gen&lt;/author&gt;&lt;author&gt;Weaver, Jeremy D.&lt;/author&gt;&lt;author&gt;Mullaney, Edward&lt;/author&gt;&lt;author&gt;Ullah, Abul H.&lt;/author&gt;&lt;author&gt;Azain, Michael J.&lt;/author&gt;&lt;/authors&gt;&lt;/contributors&gt;&lt;titles&gt;&lt;title&gt;Phytase, a New Life for an “Old” Enzyme&lt;/title&gt;&lt;secondary-title&gt;Annual Review of Animal Biosciences&lt;/secondary-title&gt;&lt;/titles&gt;&lt;periodical&gt;&lt;full-title&gt;Annual Review of Animal Biosciences&lt;/full-title&gt;&lt;/periodical&gt;&lt;pages&gt;283-309&lt;/pages&gt;&lt;volume&gt;1&lt;/volume&gt;&lt;number&gt;1&lt;/number&gt;&lt;dates&gt;&lt;year&gt;2013&lt;/year&gt;&lt;/dates&gt;&lt;accession-num&gt;25387021&lt;/accession-num&gt;&lt;urls&gt;&lt;related-urls&gt;&lt;url&gt;http://www.annualreviews.org/doi/abs/10.1146/annurev-animal-031412-103717&lt;/url&gt;&lt;/related-urls&gt;&lt;/urls&gt;&lt;electronic-resource-num&gt;doi:10.1146/annurev-animal-031412-103717&lt;/electronic-resource-num&gt;&lt;/record&gt;&lt;/Cite&gt;&lt;/EndNote&gt;</w:instrText>
        </w:r>
        <w:r w:rsidR="00512D09" w:rsidRPr="00883120">
          <w:rPr>
            <w:bCs/>
          </w:rPr>
          <w:fldChar w:fldCharType="separate"/>
        </w:r>
        <w:r w:rsidR="00512D09" w:rsidRPr="006421D1">
          <w:rPr>
            <w:bCs/>
            <w:noProof/>
            <w:vertAlign w:val="superscript"/>
          </w:rPr>
          <w:t>257</w:t>
        </w:r>
        <w:r w:rsidR="00512D09" w:rsidRPr="00883120">
          <w:fldChar w:fldCharType="end"/>
        </w:r>
      </w:hyperlink>
      <w:r w:rsidRPr="00883120">
        <w:rPr>
          <w:bCs/>
        </w:rPr>
        <w:t xml:space="preserve"> However, there is conjecture </w:t>
      </w:r>
      <w:r>
        <w:rPr>
          <w:bCs/>
        </w:rPr>
        <w:t>regarding the mechanism of how the antinutritional effect of phytate is diminished by phytase.</w:t>
      </w:r>
      <w:hyperlink w:anchor="_ENREF_258" w:tooltip="Adeola, 2003 #607" w:history="1">
        <w:r w:rsidR="00512D09">
          <w:rPr>
            <w:bCs/>
          </w:rPr>
          <w:fldChar w:fldCharType="begin"/>
        </w:r>
        <w:r w:rsidR="00512D09">
          <w:rPr>
            <w:bCs/>
          </w:rPr>
          <w:instrText xml:space="preserve"> ADDIN EN.CITE &lt;EndNote&gt;&lt;Cite&gt;&lt;Author&gt;Adeola&lt;/Author&gt;&lt;Year&gt;2003&lt;/Year&gt;&lt;RecNum&gt;607&lt;/RecNum&gt;&lt;DisplayText&gt;&lt;style face="superscript"&gt;258&lt;/style&gt;&lt;/DisplayText&gt;&lt;record&gt;&lt;rec-number&gt;607&lt;/rec-number&gt;&lt;foreign-keys&gt;&lt;key app="EN" db-id="5trrespwzsdr07efd5tx2w96x22re9s0fsdt"&gt;607&lt;/key&gt;&lt;/foreign-keys&gt;&lt;ref-type name="Journal Article"&gt;17&lt;/ref-type&gt;&lt;contributors&gt;&lt;authors&gt;&lt;author&gt;Adeola, O&lt;/author&gt;&lt;author&gt;Sands, JS&lt;/author&gt;&lt;/authors&gt;&lt;/contributors&gt;&lt;titles&gt;&lt;title&gt;Does supplemental dietary microbial phytase improve amino acid utilization? A perspective that it does not&lt;/title&gt;&lt;secondary-title&gt;Journal of animal science&lt;/secondary-title&gt;&lt;/titles&gt;&lt;periodical&gt;&lt;full-title&gt;Journal of animal science&lt;/full-title&gt;&lt;/periodical&gt;&lt;pages&gt;E78-E85&lt;/pages&gt;&lt;volume&gt;81&lt;/volume&gt;&lt;number&gt;14_suppl_2&lt;/number&gt;&lt;dates&gt;&lt;year&gt;2003&lt;/year&gt;&lt;/dates&gt;&lt;isbn&gt;1525-3163&lt;/isbn&gt;&lt;urls&gt;&lt;/urls&gt;&lt;/record&gt;&lt;/Cite&gt;&lt;/EndNote&gt;</w:instrText>
        </w:r>
        <w:r w:rsidR="00512D09">
          <w:rPr>
            <w:bCs/>
          </w:rPr>
          <w:fldChar w:fldCharType="separate"/>
        </w:r>
        <w:r w:rsidR="00512D09" w:rsidRPr="006421D1">
          <w:rPr>
            <w:bCs/>
            <w:noProof/>
            <w:vertAlign w:val="superscript"/>
          </w:rPr>
          <w:t>258</w:t>
        </w:r>
        <w:r w:rsidR="00512D09">
          <w:rPr>
            <w:bCs/>
          </w:rPr>
          <w:fldChar w:fldCharType="end"/>
        </w:r>
      </w:hyperlink>
      <w:r w:rsidRPr="00883120">
        <w:rPr>
          <w:bCs/>
        </w:rPr>
        <w:t xml:space="preserve"> </w:t>
      </w:r>
      <w:r>
        <w:rPr>
          <w:bCs/>
        </w:rPr>
        <w:t xml:space="preserve">Morales </w:t>
      </w:r>
      <w:r w:rsidRPr="00755E0B">
        <w:rPr>
          <w:bCs/>
          <w:i/>
        </w:rPr>
        <w:t>et al</w:t>
      </w:r>
      <w:r w:rsidR="002D4FF8">
        <w:rPr>
          <w:bCs/>
          <w:i/>
        </w:rPr>
        <w:t>.</w:t>
      </w:r>
      <w:r>
        <w:rPr>
          <w:bCs/>
        </w:rPr>
        <w:t xml:space="preserve"> showed that trypsin and chymotrypsin </w:t>
      </w:r>
      <w:r w:rsidRPr="00717F76">
        <w:rPr>
          <w:bCs/>
          <w:i/>
        </w:rPr>
        <w:t>in vivo</w:t>
      </w:r>
      <w:r>
        <w:rPr>
          <w:bCs/>
        </w:rPr>
        <w:t xml:space="preserve"> activities in pigs were mostly unaffected or negatively </w:t>
      </w:r>
      <w:r>
        <w:rPr>
          <w:bCs/>
        </w:rPr>
        <w:lastRenderedPageBreak/>
        <w:t xml:space="preserve">affected by the presence of phytase. </w:t>
      </w:r>
      <w:hyperlink w:anchor="_ENREF_259" w:tooltip="Morales, 2012 #606" w:history="1">
        <w:r w:rsidR="00512D09">
          <w:rPr>
            <w:bCs/>
          </w:rPr>
          <w:fldChar w:fldCharType="begin"/>
        </w:r>
        <w:r w:rsidR="00512D09">
          <w:rPr>
            <w:bCs/>
          </w:rPr>
          <w:instrText xml:space="preserve"> ADDIN EN.CITE &lt;EndNote&gt;&lt;Cite&gt;&lt;Author&gt;Morales&lt;/Author&gt;&lt;Year&gt;2012&lt;/Year&gt;&lt;RecNum&gt;606&lt;/RecNum&gt;&lt;DisplayText&gt;&lt;style face="superscript"&gt;259&lt;/style&gt;&lt;/DisplayText&gt;&lt;record&gt;&lt;rec-number&gt;606&lt;/rec-number&gt;&lt;foreign-keys&gt;&lt;key app="EN" db-id="5trrespwzsdr07efd5tx2w96x22re9s0fsdt"&gt;606&lt;/key&gt;&lt;/foreign-keys&gt;&lt;ref-type name="Journal Article"&gt;17&lt;/ref-type&gt;&lt;contributors&gt;&lt;authors&gt;&lt;author&gt;Morales, A.&lt;/author&gt;&lt;author&gt;García, H.&lt;/author&gt;&lt;author&gt;Sánchez, J. E.&lt;/author&gt;&lt;author&gt;Araiza, B. A.&lt;/author&gt;&lt;author&gt;Zijlstra, R. T.&lt;/author&gt;&lt;author&gt;Cervantes, M.&lt;/author&gt;&lt;/authors&gt;&lt;/contributors&gt;&lt;titles&gt;&lt;title&gt;Apparent ileal amino acid digestibility and activities of trypsin and chymotrypsin in pigs fed sorghum–soybean meal diets supplemented with a microbial phytase&lt;/title&gt;&lt;secondary-title&gt;Animal Feed Science and Technology&lt;/secondary-title&gt;&lt;/titles&gt;&lt;periodical&gt;&lt;full-title&gt;Animal Feed Science and Technology&lt;/full-title&gt;&lt;/periodical&gt;&lt;pages&gt;247-251&lt;/pages&gt;&lt;volume&gt;172&lt;/volume&gt;&lt;number&gt;3–4&lt;/number&gt;&lt;keywords&gt;&lt;keyword&gt;Chymotrypsin&lt;/keyword&gt;&lt;keyword&gt;Digestibility&lt;/keyword&gt;&lt;keyword&gt;Phytase&lt;/keyword&gt;&lt;keyword&gt;Pig&lt;/keyword&gt;&lt;keyword&gt;Trypsin&lt;/keyword&gt;&lt;/keywords&gt;&lt;dates&gt;&lt;year&gt;2012&lt;/year&gt;&lt;/dates&gt;&lt;isbn&gt;0377-8401&lt;/isbn&gt;&lt;urls&gt;&lt;related-urls&gt;&lt;url&gt;http://www.sciencedirect.com/science/article/pii/S0377840112000235&lt;/url&gt;&lt;/related-urls&gt;&lt;/urls&gt;&lt;electronic-resource-num&gt;http://dx.doi.org/10.1016/j.anifeedsci.2012.01.007&lt;/electronic-resource-num&gt;&lt;/record&gt;&lt;/Cite&gt;&lt;/EndNote&gt;</w:instrText>
        </w:r>
        <w:r w:rsidR="00512D09">
          <w:rPr>
            <w:bCs/>
          </w:rPr>
          <w:fldChar w:fldCharType="separate"/>
        </w:r>
        <w:r w:rsidR="00512D09" w:rsidRPr="006421D1">
          <w:rPr>
            <w:bCs/>
            <w:noProof/>
            <w:vertAlign w:val="superscript"/>
          </w:rPr>
          <w:t>259</w:t>
        </w:r>
        <w:r w:rsidR="00512D09">
          <w:rPr>
            <w:bCs/>
          </w:rPr>
          <w:fldChar w:fldCharType="end"/>
        </w:r>
      </w:hyperlink>
      <w:r>
        <w:rPr>
          <w:bCs/>
        </w:rPr>
        <w:t xml:space="preserve"> Onyango </w:t>
      </w:r>
      <w:r w:rsidRPr="002D4FF8">
        <w:rPr>
          <w:bCs/>
          <w:i/>
        </w:rPr>
        <w:t>et al</w:t>
      </w:r>
      <w:r w:rsidR="002D4FF8">
        <w:rPr>
          <w:bCs/>
        </w:rPr>
        <w:t xml:space="preserve">. </w:t>
      </w:r>
      <w:r>
        <w:rPr>
          <w:bCs/>
        </w:rPr>
        <w:t>remains speculative about t</w:t>
      </w:r>
      <w:r w:rsidRPr="003C4B94">
        <w:rPr>
          <w:bCs/>
        </w:rPr>
        <w:t xml:space="preserve">he extent of such inhibition occurring </w:t>
      </w:r>
      <w:r w:rsidRPr="003C4B94">
        <w:rPr>
          <w:bCs/>
          <w:i/>
        </w:rPr>
        <w:t>in vivo</w:t>
      </w:r>
      <w:r w:rsidRPr="003C4B94">
        <w:rPr>
          <w:bCs/>
        </w:rPr>
        <w:t xml:space="preserve"> </w:t>
      </w:r>
      <w:r>
        <w:rPr>
          <w:bCs/>
        </w:rPr>
        <w:t>as it has not yet been verified.</w:t>
      </w:r>
      <w:hyperlink w:anchor="_ENREF_260" w:tooltip="Onyango, 2009 #609" w:history="1">
        <w:r w:rsidR="00512D09">
          <w:rPr>
            <w:bCs/>
          </w:rPr>
          <w:fldChar w:fldCharType="begin"/>
        </w:r>
        <w:r w:rsidR="00512D09">
          <w:rPr>
            <w:bCs/>
          </w:rPr>
          <w:instrText xml:space="preserve"> ADDIN EN.CITE &lt;EndNote&gt;&lt;Cite&gt;&lt;Author&gt;Onyango&lt;/Author&gt;&lt;Year&gt;2009&lt;/Year&gt;&lt;RecNum&gt;609&lt;/RecNum&gt;&lt;DisplayText&gt;&lt;style face="superscript"&gt;260&lt;/style&gt;&lt;/DisplayText&gt;&lt;record&gt;&lt;rec-number&gt;609&lt;/rec-number&gt;&lt;foreign-keys&gt;&lt;key app="EN" db-id="5trrespwzsdr07efd5tx2w96x22re9s0fsdt"&gt;609&lt;/key&gt;&lt;/foreign-keys&gt;&lt;ref-type name="Journal Article"&gt;17&lt;/ref-type&gt;&lt;contributors&gt;&lt;authors&gt;&lt;author&gt;Onyango,Edward M.&lt;/author&gt;&lt;author&gt;Asem,Elikplimi K.&lt;/author&gt;&lt;author&gt;Adeola,Olayiwola&lt;/author&gt;&lt;/authors&gt;&lt;/contributors&gt;&lt;titles&gt;&lt;title&gt;Phytic acid increases mucin and endogenous amino acid losses from the gastrointestinal tract of chickens&lt;/title&gt;&lt;secondary-title&gt;British Journal of Nutrition&lt;/secondary-title&gt;&lt;/titles&gt;&lt;periodical&gt;&lt;full-title&gt;British Journal of Nutrition&lt;/full-title&gt;&lt;/periodical&gt;&lt;pages&gt;836-842&lt;/pages&gt;&lt;volume&gt;101&lt;/volume&gt;&lt;number&gt;06&lt;/number&gt;&lt;keywords&gt;&lt;keyword&gt;Chickens, Endogenous loss, Mucin, Phytic acid&lt;/keyword&gt;&lt;/keywords&gt;&lt;dates&gt;&lt;year&gt;2009&lt;/year&gt;&lt;/dates&gt;&lt;isbn&gt;1475-2662&lt;/isbn&gt;&lt;urls&gt;&lt;related-urls&gt;&lt;url&gt;http://dx.doi.org/10.1017/S0007114508047740&lt;/url&gt;&lt;/related-urls&gt;&lt;/urls&gt;&lt;electronic-resource-num&gt;doi:10.1017/S0007114508047740&lt;/electronic-resource-num&gt;&lt;access-date&gt;2009&lt;/access-date&gt;&lt;/record&gt;&lt;/Cite&gt;&lt;/EndNote&gt;</w:instrText>
        </w:r>
        <w:r w:rsidR="00512D09">
          <w:rPr>
            <w:bCs/>
          </w:rPr>
          <w:fldChar w:fldCharType="separate"/>
        </w:r>
        <w:r w:rsidR="00512D09" w:rsidRPr="006421D1">
          <w:rPr>
            <w:bCs/>
            <w:noProof/>
            <w:vertAlign w:val="superscript"/>
          </w:rPr>
          <w:t>260</w:t>
        </w:r>
        <w:r w:rsidR="00512D09">
          <w:rPr>
            <w:bCs/>
          </w:rPr>
          <w:fldChar w:fldCharType="end"/>
        </w:r>
      </w:hyperlink>
      <w:r w:rsidRPr="00441989">
        <w:t xml:space="preserve"> </w:t>
      </w:r>
    </w:p>
    <w:p w:rsidR="008E6BF7" w:rsidRPr="00904927" w:rsidRDefault="008E6BF7" w:rsidP="008E6BF7">
      <w:pPr>
        <w:spacing w:line="480" w:lineRule="auto"/>
        <w:jc w:val="both"/>
        <w:rPr>
          <w:bCs/>
        </w:rPr>
      </w:pPr>
      <w:r w:rsidRPr="0036492B">
        <w:rPr>
          <w:bCs/>
        </w:rPr>
        <w:t>Although a number of molecular mechanisms have been put forward to explain the antinutritional effects of phytate, there has been little thermodynamic characterisation of any of them with the possible exception of the association constants between phytate and biologically relevant ions and the thermal stability of proteins in the presence of phytate</w:t>
      </w:r>
      <w:r>
        <w:rPr>
          <w:bCs/>
        </w:rPr>
        <w:t>.</w:t>
      </w:r>
      <w:r w:rsidRPr="0036492B">
        <w:rPr>
          <w:bCs/>
        </w:rPr>
        <w:t xml:space="preserve"> </w:t>
      </w:r>
      <w:r w:rsidR="0075172E" w:rsidRPr="0036492B">
        <w:rPr>
          <w:bCs/>
        </w:rPr>
        <w:fldChar w:fldCharType="begin">
          <w:fldData xml:space="preserve">PEVuZE5vdGU+PENpdGU+PEF1dGhvcj5CZWJvdC1CcmlnYXVkPC9BdXRob3I+PFllYXI+MTk5OTwv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</w:fldData>
        </w:fldChar>
      </w:r>
      <w:r w:rsidR="006421D1">
        <w:rPr>
          <w:bCs/>
        </w:rPr>
        <w:instrText xml:space="preserve"> ADDIN EN.CITE </w:instrText>
      </w:r>
      <w:r w:rsidR="0075172E">
        <w:rPr>
          <w:bCs/>
        </w:rPr>
        <w:fldChar w:fldCharType="begin">
          <w:fldData xml:space="preserve">PEVuZE5vdGU+PENpdGU+PEF1dGhvcj5CZWJvdC1CcmlnYXVkPC9BdXRob3I+PFllYXI+MTk5OTwv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</w:fldData>
        </w:fldChar>
      </w:r>
      <w:r w:rsidR="006421D1">
        <w:rPr>
          <w:bCs/>
        </w:rPr>
        <w:instrText xml:space="preserve"> ADDIN EN.CITE.DATA </w:instrText>
      </w:r>
      <w:r w:rsidR="0075172E">
        <w:rPr>
          <w:bCs/>
        </w:rPr>
      </w:r>
      <w:r w:rsidR="0075172E">
        <w:rPr>
          <w:bCs/>
        </w:rPr>
        <w:fldChar w:fldCharType="end"/>
      </w:r>
      <w:r w:rsidR="0075172E" w:rsidRPr="0036492B">
        <w:rPr>
          <w:bCs/>
        </w:rPr>
      </w:r>
      <w:r w:rsidR="0075172E" w:rsidRPr="0036492B">
        <w:rPr>
          <w:bCs/>
        </w:rPr>
        <w:fldChar w:fldCharType="separate"/>
      </w:r>
      <w:hyperlink w:anchor="_ENREF_241" w:tooltip="Bye, 2013 #544" w:history="1">
        <w:r w:rsidR="00512D09" w:rsidRPr="006421D1">
          <w:rPr>
            <w:bCs/>
            <w:noProof/>
            <w:vertAlign w:val="superscript"/>
          </w:rPr>
          <w:t>241</w:t>
        </w:r>
      </w:hyperlink>
      <w:r w:rsidR="006421D1" w:rsidRPr="006421D1">
        <w:rPr>
          <w:bCs/>
          <w:noProof/>
          <w:vertAlign w:val="superscript"/>
        </w:rPr>
        <w:t>,</w:t>
      </w:r>
      <w:hyperlink w:anchor="_ENREF_242" w:tooltip="Bebot-Brigaud, 1999 #545" w:history="1">
        <w:r w:rsidR="00512D09" w:rsidRPr="006421D1">
          <w:rPr>
            <w:bCs/>
            <w:noProof/>
            <w:vertAlign w:val="superscript"/>
          </w:rPr>
          <w:t>242</w:t>
        </w:r>
      </w:hyperlink>
      <w:r w:rsidR="0075172E" w:rsidRPr="0036492B">
        <w:rPr>
          <w:bCs/>
        </w:rPr>
        <w:fldChar w:fldCharType="end"/>
      </w:r>
      <w:r w:rsidR="00480BC7">
        <w:rPr>
          <w:bCs/>
        </w:rPr>
        <w:t xml:space="preserve"> </w:t>
      </w:r>
      <w:r>
        <w:rPr>
          <w:bCs/>
        </w:rPr>
        <w:t xml:space="preserve">Herein </w:t>
      </w:r>
      <w:r w:rsidR="00875CCF">
        <w:rPr>
          <w:bCs/>
        </w:rPr>
        <w:t>lies</w:t>
      </w:r>
      <w:r>
        <w:rPr>
          <w:bCs/>
        </w:rPr>
        <w:t xml:space="preserve"> the problem. Without proper thermodynamic characterisation the strength and specificity of phytate-protein interactions can only be estimated and this is perhaps one of the reasons why there is such conflicting evidence as to the effect of phytase supplemented feed on farmyard nutrition and the interaction of phytate with digestive enzymes. Adeola and Sands suggested that the antinutritional effects of phytate on pig and poultry nutrition is a multifaceted subject and required an understanding of how phytate interacts with minerals, proteins and enzymes </w:t>
      </w:r>
      <w:r w:rsidRPr="0014150A">
        <w:rPr>
          <w:bCs/>
          <w:i/>
        </w:rPr>
        <w:t>in vivo</w:t>
      </w:r>
      <w:r>
        <w:rPr>
          <w:bCs/>
        </w:rPr>
        <w:t xml:space="preserve"> and </w:t>
      </w:r>
      <w:r w:rsidRPr="0014150A">
        <w:rPr>
          <w:bCs/>
          <w:i/>
        </w:rPr>
        <w:t>in vitro</w:t>
      </w:r>
      <w:r>
        <w:rPr>
          <w:bCs/>
        </w:rPr>
        <w:t>.</w:t>
      </w:r>
      <w:r>
        <w:rPr>
          <w:bCs/>
          <w:i/>
        </w:rPr>
        <w:t xml:space="preserve"> </w:t>
      </w:r>
      <w:hyperlink w:anchor="_ENREF_258" w:tooltip="Adeola, 2003 #607" w:history="1">
        <w:r w:rsidR="00512D09" w:rsidRPr="0014150A">
          <w:rPr>
            <w:bCs/>
          </w:rPr>
          <w:fldChar w:fldCharType="begin"/>
        </w:r>
        <w:r w:rsidR="00512D09">
          <w:rPr>
            <w:bCs/>
          </w:rPr>
          <w:instrText xml:space="preserve"> ADDIN EN.CITE &lt;EndNote&gt;&lt;Cite&gt;&lt;Author&gt;Adeola&lt;/Author&gt;&lt;Year&gt;2003&lt;/Year&gt;&lt;RecNum&gt;607&lt;/RecNum&gt;&lt;DisplayText&gt;&lt;style face="superscript"&gt;258&lt;/style&gt;&lt;/DisplayText&gt;&lt;record&gt;&lt;rec-number&gt;607&lt;/rec-number&gt;&lt;foreign-keys&gt;&lt;key app="EN" db-id="5trrespwzsdr07efd5tx2w96x22re9s0fsdt"&gt;607&lt;/key&gt;&lt;/foreign-keys&gt;&lt;ref-type name="Journal Article"&gt;17&lt;/ref-type&gt;&lt;contributors&gt;&lt;authors&gt;&lt;author&gt;Adeola, O&lt;/author&gt;&lt;author&gt;Sands, JS&lt;/author&gt;&lt;/authors&gt;&lt;/contributors&gt;&lt;titles&gt;&lt;title&gt;Does supplemental dietary microbial phytase improve amino acid utilization? A perspective that it does not&lt;/title&gt;&lt;secondary-title&gt;Journal of animal science&lt;/secondary-title&gt;&lt;/titles&gt;&lt;periodical&gt;&lt;full-title&gt;Journal of animal science&lt;/full-title&gt;&lt;/periodical&gt;&lt;pages&gt;E78-E85&lt;/pages&gt;&lt;volume&gt;81&lt;/volume&gt;&lt;number&gt;14_suppl_2&lt;/number&gt;&lt;dates&gt;&lt;year&gt;2003&lt;/year&gt;&lt;/dates&gt;&lt;isbn&gt;1525-3163&lt;/isbn&gt;&lt;urls&gt;&lt;/urls&gt;&lt;/record&gt;&lt;/Cite&gt;&lt;/EndNote&gt;</w:instrText>
        </w:r>
        <w:r w:rsidR="00512D09" w:rsidRPr="0014150A">
          <w:rPr>
            <w:bCs/>
          </w:rPr>
          <w:fldChar w:fldCharType="separate"/>
        </w:r>
        <w:r w:rsidR="00512D09" w:rsidRPr="006421D1">
          <w:rPr>
            <w:bCs/>
            <w:noProof/>
            <w:vertAlign w:val="superscript"/>
          </w:rPr>
          <w:t>258</w:t>
        </w:r>
        <w:r w:rsidR="00512D09" w:rsidRPr="0014150A">
          <w:rPr>
            <w:bCs/>
          </w:rPr>
          <w:fldChar w:fldCharType="end"/>
        </w:r>
      </w:hyperlink>
      <w:r>
        <w:rPr>
          <w:bCs/>
        </w:rPr>
        <w:t xml:space="preserve"> Bruce and Sandst</w:t>
      </w:r>
      <w:r w:rsidRPr="00904927">
        <w:rPr>
          <w:bCs/>
        </w:rPr>
        <w:t>ø</w:t>
      </w:r>
      <w:r>
        <w:rPr>
          <w:bCs/>
        </w:rPr>
        <w:t>l showed t</w:t>
      </w:r>
      <w:r w:rsidRPr="00904927">
        <w:rPr>
          <w:bCs/>
        </w:rPr>
        <w:t xml:space="preserve">he apparent ileal digestibility of </w:t>
      </w:r>
      <w:r>
        <w:rPr>
          <w:bCs/>
        </w:rPr>
        <w:t xml:space="preserve">crude protein was the same with or without 478 unit/kg of phytase. They suggested discrepancies between studies could be due to </w:t>
      </w:r>
      <w:r w:rsidRPr="00904927">
        <w:rPr>
          <w:bCs/>
        </w:rPr>
        <w:t>the diverse binding affinity</w:t>
      </w:r>
      <w:r>
        <w:rPr>
          <w:bCs/>
        </w:rPr>
        <w:t xml:space="preserve"> of inositol phosphates for proteins and minerals.</w:t>
      </w:r>
      <w:hyperlink w:anchor="_ENREF_261" w:tooltip="Bruce, 1995 #631" w:history="1">
        <w:r w:rsidR="00512D09">
          <w:rPr>
            <w:bCs/>
          </w:rPr>
          <w:fldChar w:fldCharType="begin"/>
        </w:r>
        <w:r w:rsidR="00512D09">
          <w:rPr>
            <w:bCs/>
          </w:rPr>
          <w:instrText xml:space="preserve"> ADDIN EN.CITE &lt;EndNote&gt;&lt;Cite&gt;&lt;Author&gt;Bruce&lt;/Author&gt;&lt;Year&gt;1995&lt;/Year&gt;&lt;RecNum&gt;631&lt;/RecNum&gt;&lt;DisplayText&gt;&lt;style face="superscript"&gt;261&lt;/style&gt;&lt;/DisplayText&gt;&lt;record&gt;&lt;rec-number&gt;631&lt;/rec-number&gt;&lt;foreign-keys&gt;&lt;key app="EN" db-id="5trrespwzsdr07efd5tx2w96x22re9s0fsdt"&gt;631&lt;/key&gt;&lt;/foreign-keys&gt;&lt;ref-type name="Journal Article"&gt;17&lt;/ref-type&gt;&lt;contributors&gt;&lt;authors&gt;&lt;author&gt;Bruce, J. A. M.&lt;/author&gt;&lt;author&gt;Sundstøl, F.&lt;/author&gt;&lt;/authors&gt;&lt;/contributors&gt;&lt;titles&gt;&lt;title&gt;The effect of microbial phytase in diets for pigs on apparent ileal and faecal digestibility, pH and flow of digesta measurements in growing pigs fed a high-fibre diet&lt;/title&gt;&lt;secondary-title&gt;Canadian Journal of Animal Science&lt;/secondary-title&gt;&lt;/titles&gt;&lt;periodical&gt;&lt;full-title&gt;Canadian Journal of Animal Science&lt;/full-title&gt;&lt;/periodical&gt;&lt;pages&gt;121-127&lt;/pages&gt;&lt;volume&gt;75&lt;/volume&gt;&lt;number&gt;1&lt;/number&gt;&lt;dates&gt;&lt;year&gt;1995&lt;/year&gt;&lt;pub-dates&gt;&lt;date&gt;1995/03/01&lt;/date&gt;&lt;/pub-dates&gt;&lt;/dates&gt;&lt;publisher&gt;Agricultural Institute of Canada&lt;/publisher&gt;&lt;isbn&gt;0008-3984&lt;/isbn&gt;&lt;urls&gt;&lt;related-urls&gt;&lt;url&gt;http://dx.doi.org/10.4141/cjas95-016&lt;/url&gt;&lt;/related-urls&gt;&lt;/urls&gt;&lt;electronic-resource-num&gt;10.4141/cjas95-016&lt;/electronic-resource-num&gt;&lt;access-date&gt;2015/10/19&lt;/access-date&gt;&lt;/record&gt;&lt;/Cite&gt;&lt;/EndNote&gt;</w:instrText>
        </w:r>
        <w:r w:rsidR="00512D09">
          <w:rPr>
            <w:bCs/>
          </w:rPr>
          <w:fldChar w:fldCharType="separate"/>
        </w:r>
        <w:r w:rsidR="00512D09" w:rsidRPr="006421D1">
          <w:rPr>
            <w:bCs/>
            <w:noProof/>
            <w:vertAlign w:val="superscript"/>
          </w:rPr>
          <w:t>261</w:t>
        </w:r>
        <w:r w:rsidR="00512D09">
          <w:rPr>
            <w:bCs/>
          </w:rPr>
          <w:fldChar w:fldCharType="end"/>
        </w:r>
      </w:hyperlink>
      <w:r>
        <w:rPr>
          <w:bCs/>
        </w:rPr>
        <w:t xml:space="preserve"> </w:t>
      </w:r>
    </w:p>
    <w:p w:rsidR="008E6BF7" w:rsidRDefault="008E6BF7" w:rsidP="008E6BF7">
      <w:pPr>
        <w:spacing w:line="480" w:lineRule="auto"/>
        <w:jc w:val="both"/>
        <w:rPr>
          <w:bCs/>
        </w:rPr>
      </w:pPr>
      <w:r>
        <w:rPr>
          <w:bCs/>
        </w:rPr>
        <w:t>Isothermal Titration C</w:t>
      </w:r>
      <w:r w:rsidRPr="0014150A">
        <w:rPr>
          <w:bCs/>
        </w:rPr>
        <w:t xml:space="preserve">alorimetry </w:t>
      </w:r>
      <w:r>
        <w:rPr>
          <w:bCs/>
        </w:rPr>
        <w:t xml:space="preserve">(ITC) </w:t>
      </w:r>
      <w:r w:rsidRPr="0014150A">
        <w:rPr>
          <w:bCs/>
        </w:rPr>
        <w:t>is a technique that provides enthalpy (</w:t>
      </w:r>
      <w:r w:rsidRPr="0014150A">
        <w:rPr>
          <w:bCs/>
          <w:i/>
        </w:rPr>
        <w:t>Δ</w:t>
      </w:r>
      <w:r w:rsidRPr="0014150A">
        <w:rPr>
          <w:bCs/>
          <w:i/>
          <w:iCs/>
        </w:rPr>
        <w:t>H</w:t>
      </w:r>
      <w:r w:rsidRPr="0014150A">
        <w:rPr>
          <w:bCs/>
          <w:iCs/>
        </w:rPr>
        <w:t>)</w:t>
      </w:r>
      <w:r w:rsidRPr="0014150A">
        <w:rPr>
          <w:bCs/>
        </w:rPr>
        <w:t>, entropy (</w:t>
      </w:r>
      <w:r w:rsidRPr="00DA7437">
        <w:rPr>
          <w:bCs/>
        </w:rPr>
        <w:t>TΔ</w:t>
      </w:r>
      <w:r w:rsidRPr="0014150A">
        <w:rPr>
          <w:bCs/>
          <w:i/>
          <w:iCs/>
        </w:rPr>
        <w:t>S</w:t>
      </w:r>
      <w:r w:rsidRPr="0014150A">
        <w:rPr>
          <w:bCs/>
          <w:iCs/>
        </w:rPr>
        <w:t>)</w:t>
      </w:r>
      <w:r w:rsidRPr="0014150A">
        <w:rPr>
          <w:bCs/>
        </w:rPr>
        <w:t xml:space="preserve"> and Gibbs free energy values (</w:t>
      </w:r>
      <w:r w:rsidRPr="00DA7437">
        <w:rPr>
          <w:bCs/>
        </w:rPr>
        <w:t>Δ</w:t>
      </w:r>
      <w:r w:rsidRPr="0014150A">
        <w:rPr>
          <w:bCs/>
          <w:i/>
          <w:iCs/>
        </w:rPr>
        <w:t>G</w:t>
      </w:r>
      <w:r w:rsidRPr="0014150A">
        <w:rPr>
          <w:bCs/>
          <w:iCs/>
        </w:rPr>
        <w:t>)</w:t>
      </w:r>
      <w:r w:rsidRPr="0014150A">
        <w:rPr>
          <w:bCs/>
        </w:rPr>
        <w:t xml:space="preserve"> of binding by measuring the heat between two interacting partners in solution.  It has been used successfully to characterise a range of binding interactions, </w:t>
      </w:r>
      <w:r>
        <w:rPr>
          <w:bCs/>
        </w:rPr>
        <w:t>including how the β-Propeller p</w:t>
      </w:r>
      <w:r w:rsidRPr="0014150A">
        <w:rPr>
          <w:bCs/>
        </w:rPr>
        <w:t xml:space="preserve">hytase </w:t>
      </w:r>
      <w:r>
        <w:rPr>
          <w:bCs/>
        </w:rPr>
        <w:t>hydrolyses</w:t>
      </w:r>
      <w:r w:rsidRPr="0014150A">
        <w:rPr>
          <w:bCs/>
        </w:rPr>
        <w:t xml:space="preserve"> </w:t>
      </w:r>
      <w:r>
        <w:rPr>
          <w:bCs/>
        </w:rPr>
        <w:t>insoluble</w:t>
      </w:r>
      <w:r w:rsidRPr="0014150A">
        <w:rPr>
          <w:bCs/>
        </w:rPr>
        <w:t xml:space="preserve"> </w:t>
      </w:r>
      <w:r>
        <w:rPr>
          <w:bCs/>
        </w:rPr>
        <w:t xml:space="preserve">calcium phytate-salts and prevents phytate from binding to metal ions. </w:t>
      </w:r>
      <w:hyperlink w:anchor="_ENREF_262" w:tooltip="Kim, 2010 #555" w:history="1">
        <w:r w:rsidR="00512D09">
          <w:rPr>
            <w:bCs/>
          </w:rPr>
          <w:fldChar w:fldCharType="begin"/>
        </w:r>
        <w:r w:rsidR="00512D09">
          <w:rPr>
            <w:bCs/>
          </w:rPr>
          <w:instrText xml:space="preserve"> ADDIN EN.CITE &lt;EndNote&gt;&lt;Cite&gt;&lt;Author&gt;Kim&lt;/Author&gt;&lt;Year&gt;2010&lt;/Year&gt;&lt;RecNum&gt;555&lt;/RecNum&gt;&lt;DisplayText&gt;&lt;style face="superscript"&gt;262&lt;/style&gt;&lt;/DisplayText&gt;&lt;record&gt;&lt;rec-number&gt;555&lt;/rec-number&gt;&lt;foreign-keys&gt;&lt;key app="EN" db-id="5trrespwzsdr07efd5tx2w96x22re9s0fsdt"&gt;555&lt;/key&gt;&lt;/foreign-keys&gt;&lt;ref-type name="Journal Article"&gt;17&lt;/ref-type&gt;&lt;contributors&gt;&lt;authors&gt;&lt;author&gt;Kim, Ok-Hee&lt;/author&gt;&lt;author&gt;Kim, Young-Ok&lt;/author&gt;&lt;author&gt;Shim, Jae-Hoon&lt;/author&gt;&lt;author&gt;Jung, Yun-Shin&lt;/author&gt;&lt;author&gt;Jung, Woo-Jin&lt;/author&gt;&lt;author&gt;Choi, Won-Chan&lt;/author&gt;&lt;author&gt;Lee, Heeseob&lt;/author&gt;&lt;author&gt;Lee, Sang-Jun&lt;/author&gt;&lt;author&gt;Kim, Kyung-Kil&lt;/author&gt;&lt;author&gt;Auh, Joong-Huck&lt;/author&gt;&lt;author&gt;Kim, Hyeonjin&lt;/author&gt;&lt;author&gt;Kim, Jung-Wan&lt;/author&gt;&lt;author&gt;Oh, Tae-Kwang&lt;/author&gt;&lt;author&gt;Oh, Byung-Chul&lt;/author&gt;&lt;/authors&gt;&lt;/contributors&gt;&lt;titles&gt;&lt;title&gt;β-Propeller Phytase Hydrolyzes Insoluble Ca2+-Phytate Salts and Completely Abrogates the Ability of Phytate To Chelate Metal Ions&lt;/title&gt;&lt;secondary-title&gt;Biochemistry&lt;/secondary-title&gt;&lt;/titles&gt;&lt;periodical&gt;&lt;full-title&gt;Biochemistry&lt;/full-title&gt;&lt;abbr-1&gt;Biochemistry&lt;/abbr-1&gt;&lt;/periodical&gt;&lt;pages&gt;10216-10227&lt;/pages&gt;&lt;volume&gt;49&lt;/volume&gt;&lt;number&gt;47&lt;/number&gt;&lt;dates&gt;&lt;year&gt;2010&lt;/year&gt;&lt;pub-dates&gt;&lt;date&gt;2010/11/30&lt;/date&gt;&lt;/pub-dates&gt;&lt;/dates&gt;&lt;publisher&gt;American Chemical Society&lt;/publisher&gt;&lt;isbn&gt;0006-2960&lt;/isbn&gt;&lt;urls&gt;&lt;related-urls&gt;&lt;url&gt;http://dx.doi.org/10.1021/bi1010249&lt;/url&gt;&lt;/related-urls&gt;&lt;/urls&gt;&lt;electronic-resource-num&gt;10.1021/bi1010249&lt;/electronic-resource-num&gt;&lt;/record&gt;&lt;/Cite&gt;&lt;/EndNote&gt;</w:instrText>
        </w:r>
        <w:r w:rsidR="00512D09">
          <w:rPr>
            <w:bCs/>
          </w:rPr>
          <w:fldChar w:fldCharType="separate"/>
        </w:r>
        <w:r w:rsidR="00512D09" w:rsidRPr="006421D1">
          <w:rPr>
            <w:bCs/>
            <w:noProof/>
            <w:vertAlign w:val="superscript"/>
          </w:rPr>
          <w:t>262</w:t>
        </w:r>
        <w:r w:rsidR="00512D09">
          <w:rPr>
            <w:bCs/>
          </w:rPr>
          <w:fldChar w:fldCharType="end"/>
        </w:r>
      </w:hyperlink>
      <w:r>
        <w:rPr>
          <w:bCs/>
        </w:rPr>
        <w:t xml:space="preserve"> More recently, ITC has been used to determine how phytate could interact with the cellular medium to gain a greater understanding its function within cells.</w:t>
      </w:r>
      <w:hyperlink w:anchor="_ENREF_263" w:tooltip="Torres, 2015 #632" w:history="1">
        <w:r w:rsidR="00512D09">
          <w:rPr>
            <w:bCs/>
          </w:rPr>
          <w:fldChar w:fldCharType="begin"/>
        </w:r>
        <w:r w:rsidR="00512D09">
          <w:rPr>
            <w:bCs/>
          </w:rPr>
          <w:instrText xml:space="preserve"> ADDIN EN.CITE &lt;EndNote&gt;&lt;Cite&gt;&lt;Author&gt;Torres&lt;/Author&gt;&lt;Year&gt;2015&lt;/Year&gt;&lt;RecNum&gt;632&lt;/RecNum&gt;&lt;DisplayText&gt;&lt;style face="superscript"&gt;263&lt;/style&gt;&lt;/DisplayText&gt;&lt;record&gt;&lt;rec-number&gt;632&lt;/rec-number&gt;&lt;foreign-keys&gt;&lt;key app="EN" db-id="5trrespwzsdr07efd5tx2w96x22re9s0fsdt"&gt;632&lt;/key&gt;&lt;/foreign-keys&gt;&lt;ref-type name="Journal Article"&gt;17&lt;/ref-type&gt;&lt;contributors&gt;&lt;authors&gt;&lt;author&gt;Torres, Julia&lt;/author&gt;&lt;author&gt;Giorgi, Claudia&lt;/author&gt;&lt;author&gt;Veiga, Nicolas&lt;/author&gt;&lt;author&gt;Kremer, Carlos&lt;/author&gt;&lt;author&gt;Bianchi, Antonio&lt;/author&gt;&lt;/authors&gt;&lt;/contributors&gt;&lt;titles&gt;&lt;title&gt;Interaction of myo-inositol hexakisphosphate with biogenic and synthetic polyamines&lt;/title&gt;&lt;secondary-title&gt;Organic &amp;amp; Biomolecular Chemistry&lt;/secondary-title&gt;&lt;/titles&gt;&lt;periodical&gt;&lt;full-title&gt;Organic &amp;amp; Biomolecular Chemistry&lt;/full-title&gt;&lt;/periodical&gt;&lt;pages&gt;7500-7512&lt;/pages&gt;&lt;volume&gt;13&lt;/volume&gt;&lt;number&gt;27&lt;/number&gt;&lt;dates&gt;&lt;year&gt;2015&lt;/year&gt;&lt;/dates&gt;&lt;publisher&gt;The Royal Society of Chemistry&lt;/publisher&gt;&lt;isbn&gt;1477-0520&lt;/isbn&gt;&lt;work-type&gt;10.1039/C5OB00900F&lt;/work-type&gt;&lt;urls&gt;&lt;related-urls&gt;&lt;url&gt;http://dx.doi.org/10.1039/C5OB00900F&lt;/url&gt;&lt;/related-urls&gt;&lt;/urls&gt;&lt;electronic-resource-num&gt;10.1039/c5ob00900f&lt;/electronic-resource-num&gt;&lt;/record&gt;&lt;/Cite&gt;&lt;/EndNote&gt;</w:instrText>
        </w:r>
        <w:r w:rsidR="00512D09">
          <w:rPr>
            <w:bCs/>
          </w:rPr>
          <w:fldChar w:fldCharType="separate"/>
        </w:r>
        <w:r w:rsidR="00512D09" w:rsidRPr="006421D1">
          <w:rPr>
            <w:bCs/>
            <w:noProof/>
            <w:vertAlign w:val="superscript"/>
          </w:rPr>
          <w:t>263</w:t>
        </w:r>
        <w:r w:rsidR="00512D09">
          <w:rPr>
            <w:bCs/>
          </w:rPr>
          <w:fldChar w:fldCharType="end"/>
        </w:r>
      </w:hyperlink>
      <w:r>
        <w:rPr>
          <w:bCs/>
        </w:rPr>
        <w:t xml:space="preserve">  </w:t>
      </w:r>
    </w:p>
    <w:p w:rsidR="008E6BF7" w:rsidRDefault="008E6BF7" w:rsidP="008E6BF7">
      <w:pPr>
        <w:spacing w:line="480" w:lineRule="auto"/>
        <w:jc w:val="both"/>
        <w:rPr>
          <w:bCs/>
        </w:rPr>
      </w:pPr>
      <w:r>
        <w:rPr>
          <w:bCs/>
        </w:rPr>
        <w:t>However</w:t>
      </w:r>
      <w:r w:rsidR="00875CCF">
        <w:rPr>
          <w:bCs/>
        </w:rPr>
        <w:t>,</w:t>
      </w:r>
      <w:r>
        <w:rPr>
          <w:bCs/>
        </w:rPr>
        <w:t xml:space="preserve"> it has not been used to measure the binding </w:t>
      </w:r>
      <w:r w:rsidRPr="0014150A">
        <w:rPr>
          <w:bCs/>
        </w:rPr>
        <w:t>energetics between positively charged proteins and phytate</w:t>
      </w:r>
      <w:r w:rsidR="00DA7437">
        <w:rPr>
          <w:bCs/>
        </w:rPr>
        <w:t xml:space="preserve"> at different temperatures</w:t>
      </w:r>
      <w:r>
        <w:rPr>
          <w:bCs/>
        </w:rPr>
        <w:t>. Therefore</w:t>
      </w:r>
      <w:r w:rsidR="00875CCF">
        <w:rPr>
          <w:bCs/>
        </w:rPr>
        <w:t>,</w:t>
      </w:r>
      <w:r>
        <w:rPr>
          <w:bCs/>
        </w:rPr>
        <w:t xml:space="preserve"> ITC could help in </w:t>
      </w:r>
      <w:r>
        <w:rPr>
          <w:bCs/>
        </w:rPr>
        <w:lastRenderedPageBreak/>
        <w:t xml:space="preserve">furthering the understanding of the </w:t>
      </w:r>
      <w:r w:rsidRPr="0014150A">
        <w:rPr>
          <w:bCs/>
        </w:rPr>
        <w:t xml:space="preserve">antinutritional </w:t>
      </w:r>
      <w:r>
        <w:rPr>
          <w:bCs/>
        </w:rPr>
        <w:t xml:space="preserve">effects of phytate in addition to determining the role of eukaryotic phytate. </w:t>
      </w:r>
    </w:p>
    <w:p w:rsidR="008E6BF7" w:rsidRPr="0011262A" w:rsidRDefault="009D3D48" w:rsidP="009D3D48">
      <w:pPr>
        <w:pStyle w:val="Heading3"/>
        <w:spacing w:line="480" w:lineRule="auto"/>
      </w:pPr>
      <w:bookmarkStart w:id="151" w:name="_Toc459130714"/>
      <w:r>
        <w:t>Binding M</w:t>
      </w:r>
      <w:r w:rsidR="008E6BF7" w:rsidRPr="0011262A">
        <w:t>odes</w:t>
      </w:r>
      <w:bookmarkEnd w:id="151"/>
    </w:p>
    <w:p w:rsidR="008E6BF7" w:rsidRDefault="008E6BF7" w:rsidP="008E6BF7">
      <w:pPr>
        <w:spacing w:line="480" w:lineRule="auto"/>
        <w:jc w:val="both"/>
        <w:rPr>
          <w:bCs/>
          <w:iCs/>
        </w:rPr>
      </w:pPr>
      <w:r>
        <w:t xml:space="preserve">Most previous studies claiming to have discovered positive cooperativity in various binding systems using ITC have used the presence of a biphasic isotherm with increasingly favourable </w:t>
      </w:r>
      <w:r w:rsidRPr="00DA7437">
        <w:rPr>
          <w:rFonts w:ascii="Times New Roman" w:hAnsi="Times New Roman" w:cs="Times New Roman"/>
        </w:rPr>
        <w:t>Δ</w:t>
      </w:r>
      <w:r w:rsidRPr="001B3B8C">
        <w:rPr>
          <w:i/>
        </w:rPr>
        <w:t>H</w:t>
      </w:r>
      <w:r>
        <w:rPr>
          <w:i/>
        </w:rPr>
        <w:t xml:space="preserve"> </w:t>
      </w:r>
      <w:r w:rsidRPr="001B3B8C">
        <w:t>at low molar ratio</w:t>
      </w:r>
      <w:r>
        <w:rPr>
          <w:i/>
        </w:rPr>
        <w:t xml:space="preserve">s </w:t>
      </w:r>
      <w:r>
        <w:t>as proof.</w:t>
      </w:r>
      <w:r w:rsidRPr="001B3B8C">
        <w:rPr>
          <w:vertAlign w:val="superscript"/>
        </w:rPr>
        <w:t>17-19</w:t>
      </w:r>
      <w:r>
        <w:t xml:space="preserve"> Although the suggested molecular mechanisms behind the positive cooperativity producing these similar isotherms were different i.e. aggregation, crosslinking and subunit interactions</w:t>
      </w:r>
      <w:r w:rsidR="0075172E">
        <w:fldChar w:fldCharType="begin">
          <w:fldData xml:space="preserve">PEVuZE5vdGU+PENpdGU+PEF1dGhvcj5UaGFvPC9BdXRob3I+PFllYXI+MjAxMTwvWWVhcj48UmVj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</w:fldData>
        </w:fldChar>
      </w:r>
      <w:r w:rsidR="006421D1">
        <w:instrText xml:space="preserve"> ADDIN EN.CITE </w:instrText>
      </w:r>
      <w:r w:rsidR="0075172E">
        <w:fldChar w:fldCharType="begin">
          <w:fldData xml:space="preserve">PEVuZE5vdGU+PENpdGU+PEF1dGhvcj5UaGFvPC9BdXRob3I+PFllYXI+MjAxMTwvWWVhcj48UmVj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</w:fldData>
        </w:fldChar>
      </w:r>
      <w:r w:rsidR="006421D1">
        <w:instrText xml:space="preserve"> ADDIN EN.CITE.DATA </w:instrText>
      </w:r>
      <w:r w:rsidR="0075172E">
        <w:fldChar w:fldCharType="end"/>
      </w:r>
      <w:r w:rsidR="0075172E">
        <w:fldChar w:fldCharType="separate"/>
      </w:r>
      <w:hyperlink w:anchor="_ENREF_144" w:tooltip="Poncet-Legrand, 2007 #425" w:history="1">
        <w:r w:rsidR="00512D09" w:rsidRPr="006421D1">
          <w:rPr>
            <w:noProof/>
            <w:vertAlign w:val="superscript"/>
          </w:rPr>
          <w:t>144</w:t>
        </w:r>
      </w:hyperlink>
      <w:r w:rsidR="006421D1" w:rsidRPr="006421D1">
        <w:rPr>
          <w:noProof/>
          <w:vertAlign w:val="superscript"/>
        </w:rPr>
        <w:t>,</w:t>
      </w:r>
      <w:hyperlink w:anchor="_ENREF_264" w:tooltip="Thao, 2011 #595" w:history="1">
        <w:r w:rsidR="00512D09" w:rsidRPr="006421D1">
          <w:rPr>
            <w:noProof/>
            <w:vertAlign w:val="superscript"/>
          </w:rPr>
          <w:t>264</w:t>
        </w:r>
      </w:hyperlink>
      <w:r w:rsidR="006421D1" w:rsidRPr="006421D1">
        <w:rPr>
          <w:noProof/>
          <w:vertAlign w:val="superscript"/>
        </w:rPr>
        <w:t>,</w:t>
      </w:r>
      <w:hyperlink w:anchor="_ENREF_265" w:tooltip="Frazier, 2010 #513" w:history="1">
        <w:r w:rsidR="00512D09" w:rsidRPr="006421D1">
          <w:rPr>
            <w:noProof/>
            <w:vertAlign w:val="superscript"/>
          </w:rPr>
          <w:t>265</w:t>
        </w:r>
      </w:hyperlink>
      <w:r w:rsidR="0075172E">
        <w:fldChar w:fldCharType="end"/>
      </w:r>
      <w:r>
        <w:t xml:space="preserve"> have been used as suggested mechanisms.  A further study by Muscroft-Taylor </w:t>
      </w:r>
      <w:r w:rsidRPr="003C788D">
        <w:rPr>
          <w:i/>
        </w:rPr>
        <w:t>et al</w:t>
      </w:r>
      <w:r w:rsidR="003C788D">
        <w:t>.</w:t>
      </w:r>
      <w:r>
        <w:t xml:space="preserve"> attempted to fit thermodynamic values to a binding isotherm between lysine and an antibiotic target to prove positive cooperativity was occurring due to differing</w:t>
      </w:r>
      <w:r w:rsidR="00AA39DB">
        <w:t xml:space="preserve"> </w:t>
      </w:r>
      <w:r w:rsidR="00FF244F" w:rsidRPr="00DA7437">
        <w:rPr>
          <w:rFonts w:ascii="Times New Roman" w:hAnsi="Times New Roman" w:cs="Times New Roman"/>
        </w:rPr>
        <w:t>Δ</w:t>
      </w:r>
      <w:r w:rsidR="00FF244F" w:rsidRPr="001B3B8C">
        <w:rPr>
          <w:i/>
        </w:rPr>
        <w:t>H</w:t>
      </w:r>
      <w:r w:rsidR="00FF244F" w:rsidRPr="00606C88">
        <w:rPr>
          <w:bCs/>
          <w:iCs/>
        </w:rPr>
        <w:t xml:space="preserve"> </w:t>
      </w:r>
      <w:r w:rsidRPr="00606C88">
        <w:rPr>
          <w:bCs/>
          <w:iCs/>
        </w:rPr>
        <w:t xml:space="preserve">and </w:t>
      </w:r>
      <w:r w:rsidR="00FF244F">
        <w:rPr>
          <w:bCs/>
          <w:iCs/>
        </w:rPr>
        <w:t>T</w:t>
      </w:r>
      <w:r w:rsidR="00FF244F" w:rsidRPr="00DA7437">
        <w:rPr>
          <w:rFonts w:ascii="Times New Roman" w:hAnsi="Times New Roman" w:cs="Times New Roman"/>
        </w:rPr>
        <w:t>Δ</w:t>
      </w:r>
      <w:r w:rsidR="00FF244F">
        <w:rPr>
          <w:i/>
        </w:rPr>
        <w:t>S</w:t>
      </w:r>
      <w:r w:rsidR="00FF244F">
        <w:rPr>
          <w:bCs/>
          <w:iCs/>
        </w:rPr>
        <w:t xml:space="preserve"> </w:t>
      </w:r>
      <w:r>
        <w:rPr>
          <w:bCs/>
          <w:iCs/>
        </w:rPr>
        <w:t>values.</w:t>
      </w:r>
      <w:hyperlink w:anchor="_ENREF_266" w:tooltip="Muscroft-Taylor, 2010 #597" w:history="1">
        <w:r w:rsidR="00512D09">
          <w:rPr>
            <w:bCs/>
            <w:iCs/>
          </w:rPr>
          <w:fldChar w:fldCharType="begin"/>
        </w:r>
        <w:r w:rsidR="00512D09">
          <w:rPr>
            <w:bCs/>
            <w:iCs/>
          </w:rPr>
          <w:instrText xml:space="preserve"> ADDIN EN.CITE &lt;EndNote&gt;&lt;Cite&gt;&lt;Author&gt;Muscroft-Taylor&lt;/Author&gt;&lt;Year&gt;2010&lt;/Year&gt;&lt;RecNum&gt;597&lt;/RecNum&gt;&lt;DisplayText&gt;&lt;style face="superscript"&gt;266&lt;/style&gt;&lt;/DisplayText&gt;&lt;record&gt;&lt;rec-number&gt;597&lt;/rec-number&gt;&lt;foreign-keys&gt;&lt;key app="EN" db-id="5trrespwzsdr07efd5tx2w96x22re9s0fsdt"&gt;597&lt;/key&gt;&lt;/foreign-keys&gt;&lt;ref-type name="Journal Article"&gt;17&lt;/ref-type&gt;&lt;contributors&gt;&lt;authors&gt;&lt;author&gt;Muscroft-Taylor, Andrew C.&lt;/author&gt;&lt;author&gt;Soares da Costa, Tatiana P.&lt;/author&gt;&lt;author&gt;Gerrard, Juliet A.&lt;/author&gt;&lt;/authors&gt;&lt;/contributors&gt;&lt;titles&gt;&lt;title&gt;New insights into the mechanism of dihydrodipicolinate synthase using isothermal titration calorimetry&lt;/title&gt;&lt;secondary-title&gt;Biochimie&lt;/secondary-title&gt;&lt;/titles&gt;&lt;periodical&gt;&lt;full-title&gt;Biochimie&lt;/full-title&gt;&lt;/periodical&gt;&lt;pages&gt;254-262&lt;/pages&gt;&lt;volume&gt;92&lt;/volume&gt;&lt;number&gt;3&lt;/number&gt;&lt;keywords&gt;&lt;keyword&gt;Allosteric binding&lt;/keyword&gt;&lt;keyword&gt;Dihydrodipicolinate synthase&lt;/keyword&gt;&lt;keyword&gt;Enzyme catalysis&lt;/keyword&gt;&lt;keyword&gt;Isothermal titration calorimetry&lt;/keyword&gt;&lt;keyword&gt;Schiff-base&lt;/keyword&gt;&lt;keyword&gt;Thermodynamic characterisation&lt;/keyword&gt;&lt;/keywords&gt;&lt;dates&gt;&lt;year&gt;2010&lt;/year&gt;&lt;/dates&gt;&lt;isbn&gt;0300-9084&lt;/isbn&gt;&lt;urls&gt;&lt;related-urls&gt;&lt;url&gt;http://www.sciencedirect.com/science/article/pii/S0300908409003356&lt;/url&gt;&lt;/related-urls&gt;&lt;/urls&gt;&lt;electronic-resource-num&gt;http://dx.doi.org/10.1016/j.biochi.2009.12.004&lt;/electronic-resource-num&gt;&lt;/record&gt;&lt;/Cite&gt;&lt;/EndNote&gt;</w:instrText>
        </w:r>
        <w:r w:rsidR="00512D09">
          <w:rPr>
            <w:bCs/>
            <w:iCs/>
          </w:rPr>
          <w:fldChar w:fldCharType="separate"/>
        </w:r>
        <w:r w:rsidR="00512D09" w:rsidRPr="006421D1">
          <w:rPr>
            <w:bCs/>
            <w:iCs/>
            <w:noProof/>
            <w:vertAlign w:val="superscript"/>
          </w:rPr>
          <w:t>266</w:t>
        </w:r>
        <w:r w:rsidR="00512D09">
          <w:rPr>
            <w:bCs/>
            <w:iCs/>
          </w:rPr>
          <w:fldChar w:fldCharType="end"/>
        </w:r>
      </w:hyperlink>
      <w:r>
        <w:rPr>
          <w:bCs/>
          <w:iCs/>
        </w:rPr>
        <w:t xml:space="preserve"> </w:t>
      </w:r>
      <w:r w:rsidRPr="005C1FEC">
        <w:rPr>
          <w:bCs/>
          <w:iCs/>
        </w:rPr>
        <w:t xml:space="preserve">That binding of the first lysine molecule to the allosteric site results in expulsion of water molecules and movement of residues to accomplish coordination with adjacent lysine binding site, resulting in an enthalpically stronger interaction but due to protein rigidification an entropically weaker one.  The authors made clear that the binding mode did not invoke the KNF or the MWC models referencing a model of cooperativity that does not require a large difference in </w:t>
      </w:r>
      <w:r w:rsidR="00DA7437" w:rsidRPr="00DA7437">
        <w:rPr>
          <w:bCs/>
          <w:iCs/>
        </w:rPr>
        <w:t>∆</w:t>
      </w:r>
      <w:r w:rsidRPr="005C1FEC">
        <w:rPr>
          <w:bCs/>
          <w:i/>
          <w:iCs/>
        </w:rPr>
        <w:t xml:space="preserve">G </w:t>
      </w:r>
      <w:r w:rsidRPr="005C1FEC">
        <w:rPr>
          <w:bCs/>
          <w:iCs/>
        </w:rPr>
        <w:t xml:space="preserve">between two sites but rather changes in </w:t>
      </w:r>
      <w:r w:rsidR="00FF244F" w:rsidRPr="00DA7437">
        <w:rPr>
          <w:rFonts w:ascii="Times New Roman" w:hAnsi="Times New Roman" w:cs="Times New Roman"/>
        </w:rPr>
        <w:t>Δ</w:t>
      </w:r>
      <w:r w:rsidR="00FF244F" w:rsidRPr="001B3B8C">
        <w:rPr>
          <w:i/>
        </w:rPr>
        <w:t>H</w:t>
      </w:r>
      <w:r w:rsidR="00FF244F" w:rsidRPr="005C1FEC">
        <w:rPr>
          <w:bCs/>
          <w:iCs/>
        </w:rPr>
        <w:t xml:space="preserve"> </w:t>
      </w:r>
      <w:r w:rsidRPr="005C1FEC">
        <w:rPr>
          <w:bCs/>
          <w:iCs/>
        </w:rPr>
        <w:t xml:space="preserve">and </w:t>
      </w:r>
      <w:r w:rsidR="00FF244F">
        <w:rPr>
          <w:bCs/>
          <w:iCs/>
        </w:rPr>
        <w:t>T</w:t>
      </w:r>
      <w:r w:rsidR="00FF244F" w:rsidRPr="00DA7437">
        <w:rPr>
          <w:rFonts w:ascii="Times New Roman" w:hAnsi="Times New Roman" w:cs="Times New Roman"/>
        </w:rPr>
        <w:t>Δ</w:t>
      </w:r>
      <w:r w:rsidR="00FF244F">
        <w:rPr>
          <w:i/>
        </w:rPr>
        <w:t>S</w:t>
      </w:r>
      <w:r>
        <w:rPr>
          <w:bCs/>
          <w:iCs/>
        </w:rPr>
        <w:t>.</w:t>
      </w:r>
      <w:r w:rsidRPr="005C1FEC">
        <w:rPr>
          <w:bCs/>
          <w:iCs/>
        </w:rPr>
        <w:t xml:space="preserve"> </w:t>
      </w:r>
      <w:hyperlink w:anchor="_ENREF_267" w:tooltip="Hunter, 2003 #598" w:history="1">
        <w:r w:rsidR="00512D09" w:rsidRPr="005C1FEC">
          <w:rPr>
            <w:bCs/>
            <w:iCs/>
          </w:rPr>
          <w:fldChar w:fldCharType="begin"/>
        </w:r>
        <w:r w:rsidR="00512D09">
          <w:rPr>
            <w:bCs/>
            <w:iCs/>
          </w:rPr>
          <w:instrText xml:space="preserve"> ADDIN EN.CITE &lt;EndNote&gt;&lt;Cite&gt;&lt;Author&gt;Hunter&lt;/Author&gt;&lt;Year&gt;2003&lt;/Year&gt;&lt;RecNum&gt;598&lt;/RecNum&gt;&lt;DisplayText&gt;&lt;style face="superscript"&gt;267&lt;/style&gt;&lt;/DisplayText&gt;&lt;record&gt;&lt;rec-number&gt;598&lt;/rec-number&gt;&lt;foreign-keys&gt;&lt;key app="EN" db-id="5trrespwzsdr07efd5tx2w96x22re9s0fsdt"&gt;598&lt;/key&gt;&lt;/foreign-keys&gt;&lt;ref-type name="Journal Article"&gt;17&lt;/ref-type&gt;&lt;contributors&gt;&lt;authors&gt;&lt;author&gt;Hunter, Christopher A.&lt;/author&gt;&lt;author&gt;Tomas, Salvador&lt;/author&gt;&lt;/authors&gt;&lt;/contributors&gt;&lt;titles&gt;&lt;title&gt;Cooperativity, Partially Bound States, and Enthalpy-Entropy Compensation&lt;/title&gt;&lt;secondary-title&gt;Chemistry &amp;amp; Biology&lt;/secondary-title&gt;&lt;/titles&gt;&lt;periodical&gt;&lt;full-title&gt;Chemistry &amp;amp; Biology&lt;/full-title&gt;&lt;/periodical&gt;&lt;pages&gt;1023-1032&lt;/pages&gt;&lt;volume&gt;10&lt;/volume&gt;&lt;number&gt;11&lt;/number&gt;&lt;dates&gt;&lt;year&gt;2003&lt;/year&gt;&lt;/dates&gt;&lt;isbn&gt;1074-5521&lt;/isbn&gt;&lt;urls&gt;&lt;related-urls&gt;&lt;url&gt;http://www.sciencedirect.com/science/article/pii/S1074552103002394&lt;/url&gt;&lt;/related-urls&gt;&lt;/urls&gt;&lt;electronic-resource-num&gt;http://dx.doi.org/10.1016/j.chembiol.2003.10.009&lt;/electronic-resource-num&gt;&lt;/record&gt;&lt;/Cite&gt;&lt;/EndNote&gt;</w:instrText>
        </w:r>
        <w:r w:rsidR="00512D09" w:rsidRPr="005C1FEC">
          <w:rPr>
            <w:bCs/>
            <w:iCs/>
          </w:rPr>
          <w:fldChar w:fldCharType="separate"/>
        </w:r>
        <w:r w:rsidR="00512D09" w:rsidRPr="006421D1">
          <w:rPr>
            <w:bCs/>
            <w:iCs/>
            <w:noProof/>
            <w:vertAlign w:val="superscript"/>
          </w:rPr>
          <w:t>267</w:t>
        </w:r>
        <w:r w:rsidR="00512D09" w:rsidRPr="005C1FEC">
          <w:rPr>
            <w:bCs/>
            <w:iCs/>
          </w:rPr>
          <w:fldChar w:fldCharType="end"/>
        </w:r>
      </w:hyperlink>
      <w:r w:rsidRPr="005C1FEC">
        <w:rPr>
          <w:bCs/>
          <w:iCs/>
        </w:rPr>
        <w:t xml:space="preserve">  </w:t>
      </w:r>
    </w:p>
    <w:p w:rsidR="008E6BF7" w:rsidRDefault="008E6BF7" w:rsidP="008E6BF7">
      <w:pPr>
        <w:spacing w:line="480" w:lineRule="auto"/>
        <w:jc w:val="both"/>
        <w:rPr>
          <w:bCs/>
          <w:iCs/>
        </w:rPr>
      </w:pPr>
      <w:r>
        <w:rPr>
          <w:bCs/>
          <w:iCs/>
        </w:rPr>
        <w:t>Recently, a biphasic isotherm similar to those reported to be indicative of positive cooperativity was suggested to be due to negative cooperativity.</w:t>
      </w:r>
      <w:hyperlink w:anchor="_ENREF_268" w:tooltip="Sahún‐Roncero, 2013 #702" w:history="1">
        <w:r w:rsidR="00512D09">
          <w:rPr>
            <w:bCs/>
            <w:iCs/>
          </w:rPr>
          <w:fldChar w:fldCharType="begin"/>
        </w:r>
        <w:r w:rsidR="00512D09">
          <w:rPr>
            <w:bCs/>
            <w:iCs/>
          </w:rPr>
          <w:instrText xml:space="preserve"> ADDIN EN.CITE &lt;EndNote&gt;&lt;Cite&gt;&lt;Author&gt;Sahún‐Roncero&lt;/Author&gt;&lt;Year&gt;2013&lt;/Year&gt;&lt;RecNum&gt;702&lt;/RecNum&gt;&lt;DisplayText&gt;&lt;style face="superscript"&gt;268&lt;/style&gt;&lt;/DisplayText&gt;&lt;record&gt;&lt;rec-number&gt;702&lt;/rec-number&gt;&lt;foreign-keys&gt;&lt;key app="EN" db-id="5trrespwzsdr07efd5tx2w96x22re9s0fsdt"&gt;702&lt;/key&gt;&lt;/foreign-keys&gt;&lt;ref-type name="Journal Article"&gt;17&lt;/ref-type&gt;&lt;contributors&gt;&lt;authors&gt;&lt;author&gt;Sahún‐Roncero, María&lt;/author&gt;&lt;author&gt;Rubio‐Ruiz, Belén&lt;/author&gt;&lt;author&gt;Saladino, Giorgio&lt;/author&gt;&lt;author&gt;Conejo‐García, Ana&lt;/author&gt;&lt;author&gt;Espinosa, Antonio&lt;/author&gt;&lt;author&gt;Velázquez‐Campoy, Adrián&lt;/author&gt;&lt;author&gt;Gervasio, Francesco Luigi&lt;/author&gt;&lt;author&gt;Entrena, Antonio&lt;/author&gt;&lt;author&gt;Hurtado‐Guerrero, Ramon&lt;/author&gt;&lt;/authors&gt;&lt;/contributors&gt;&lt;titles&gt;&lt;title&gt;The mechanism of allosteric coupling in choline kinase α1 revealed by the action of a rationally designed inhibitor&lt;/title&gt;&lt;secondary-title&gt;Angewandte Chemie International Edition&lt;/secondary-title&gt;&lt;/titles&gt;&lt;periodical&gt;&lt;full-title&gt;Angewandte Chemie International Edition&lt;/full-title&gt;&lt;/periodical&gt;&lt;pages&gt;4582-4586&lt;/pages&gt;&lt;volume&gt;52&lt;/volume&gt;&lt;number&gt;17&lt;/number&gt;&lt;dates&gt;&lt;year&gt;2013&lt;/year&gt;&lt;/dates&gt;&lt;isbn&gt;1521-3773&lt;/isbn&gt;&lt;urls&gt;&lt;/urls&gt;&lt;/record&gt;&lt;/Cite&gt;&lt;/EndNote&gt;</w:instrText>
        </w:r>
        <w:r w:rsidR="00512D09">
          <w:rPr>
            <w:bCs/>
            <w:iCs/>
          </w:rPr>
          <w:fldChar w:fldCharType="separate"/>
        </w:r>
        <w:r w:rsidR="00512D09" w:rsidRPr="006421D1">
          <w:rPr>
            <w:bCs/>
            <w:iCs/>
            <w:noProof/>
            <w:vertAlign w:val="superscript"/>
          </w:rPr>
          <w:t>268</w:t>
        </w:r>
        <w:r w:rsidR="00512D09">
          <w:rPr>
            <w:bCs/>
            <w:iCs/>
          </w:rPr>
          <w:fldChar w:fldCharType="end"/>
        </w:r>
      </w:hyperlink>
      <w:r>
        <w:rPr>
          <w:bCs/>
          <w:iCs/>
        </w:rPr>
        <w:t xml:space="preserve">  It was suggested that the </w:t>
      </w:r>
      <w:r w:rsidR="00DA7437">
        <w:rPr>
          <w:bCs/>
          <w:iCs/>
        </w:rPr>
        <w:t>inhibitor</w:t>
      </w:r>
      <w:r>
        <w:rPr>
          <w:bCs/>
          <w:iCs/>
        </w:rPr>
        <w:t xml:space="preserve"> induced negative cooperativity in choline kinase </w:t>
      </w:r>
      <w:r w:rsidRPr="00B01EC7">
        <w:rPr>
          <w:rFonts w:cs="Arial"/>
          <w:bCs/>
          <w:color w:val="252525"/>
          <w:shd w:val="clear" w:color="auto" w:fill="FFFFFF"/>
        </w:rPr>
        <w:t>α1</w:t>
      </w:r>
      <w:r>
        <w:rPr>
          <w:bCs/>
          <w:iCs/>
        </w:rPr>
        <w:t xml:space="preserve"> by breaking the dimer symmetry determined by protein crystallography and molecular dynamic simulations. </w:t>
      </w:r>
    </w:p>
    <w:p w:rsidR="00647082" w:rsidRDefault="00647082" w:rsidP="008E6BF7">
      <w:pPr>
        <w:spacing w:line="480" w:lineRule="auto"/>
        <w:jc w:val="both"/>
        <w:rPr>
          <w:bCs/>
          <w:iCs/>
        </w:rPr>
      </w:pPr>
      <w:r>
        <w:rPr>
          <w:bCs/>
          <w:iCs/>
        </w:rPr>
        <w:t>The previous</w:t>
      </w:r>
      <w:r w:rsidR="00B62F11">
        <w:rPr>
          <w:bCs/>
          <w:iCs/>
        </w:rPr>
        <w:t xml:space="preserve"> chapter suggested that the cause behind the increasingly favourable </w:t>
      </w:r>
      <w:r w:rsidR="00FF244F" w:rsidRPr="00DA7437">
        <w:rPr>
          <w:rFonts w:ascii="Times New Roman" w:hAnsi="Times New Roman" w:cs="Times New Roman"/>
        </w:rPr>
        <w:t>Δ</w:t>
      </w:r>
      <w:r w:rsidR="00FF244F" w:rsidRPr="001B3B8C">
        <w:rPr>
          <w:i/>
        </w:rPr>
        <w:t>H</w:t>
      </w:r>
      <w:r w:rsidR="00FF244F">
        <w:rPr>
          <w:bCs/>
          <w:iCs/>
        </w:rPr>
        <w:t xml:space="preserve"> </w:t>
      </w:r>
      <w:r w:rsidR="00B62F11">
        <w:rPr>
          <w:bCs/>
          <w:iCs/>
        </w:rPr>
        <w:t>values at low molar ratios was due to a crosslinking event. Previous studies have suggested phytate crosslinks lysozyme in solution.</w:t>
      </w:r>
      <w:hyperlink w:anchor="_ENREF_241" w:tooltip="Bye, 2013 #544" w:history="1">
        <w:r w:rsidR="00512D09">
          <w:rPr>
            <w:bCs/>
            <w:iCs/>
          </w:rPr>
          <w:fldChar w:fldCharType="begin"/>
        </w:r>
        <w:r w:rsidR="00512D09">
          <w:rPr>
            <w:bCs/>
            <w:iCs/>
          </w:rPr>
          <w:instrText xml:space="preserve"> ADDIN EN.CITE &lt;EndNote&gt;&lt;Cite&gt;&lt;Author&gt;Bye&lt;/Author&gt;&lt;Year&gt;2013&lt;/Year&gt;&lt;RecNum&gt;544&lt;/RecNum&gt;&lt;DisplayText&gt;&lt;style face="superscript"&gt;241&lt;/style&gt;&lt;/DisplayText&gt;&lt;record&gt;&lt;rec-number&gt;544&lt;/rec-number&gt;&lt;foreign-keys&gt;&lt;key app="EN" db-id="5trrespwzsdr07efd5tx2w96x22re9s0fsdt"&gt;544&lt;/key&gt;&lt;/foreign-keys&gt;&lt;ref-type name="Journal Article"&gt;17&lt;/ref-type&gt;&lt;contributors&gt;&lt;authors&gt;&lt;author&gt;Bye, Jordan W.&lt;/author&gt;&lt;author&gt;Cowieson, Nathan P.&lt;/author&gt;&lt;author&gt;Cowieson, Aaron J.&lt;/author&gt;&lt;author&gt;Selle, Peter H.&lt;/author&gt;&lt;author&gt;Falconer, Robert J.&lt;/author&gt;&lt;/authors&gt;&lt;/contributors&gt;&lt;titles&gt;&lt;title&gt;Dual Effects of Sodium Phytate on the Structural Stability and Solubility of Proteins&lt;/title&gt;&lt;secondary-title&gt;Journal of Agricultural and Food Chemistry&lt;/secondary-title&gt;&lt;/titles&gt;&lt;periodical&gt;&lt;full-title&gt;Journal of Agricultural and Food Chemistry&lt;/full-title&gt;&lt;/periodical&gt;&lt;pages&gt;290-295&lt;/pages&gt;&lt;volume&gt;61&lt;/volume&gt;&lt;number&gt;2&lt;/number&gt;&lt;dates&gt;&lt;year&gt;2013&lt;/year&gt;&lt;pub-dates&gt;&lt;date&gt;2013/01/16&lt;/date&gt;&lt;/pub-dates&gt;&lt;/dates&gt;&lt;publisher&gt;American Chemical Society&lt;/publisher&gt;&lt;isbn&gt;0021-8561&lt;/isbn&gt;&lt;urls&gt;&lt;related-urls&gt;&lt;url&gt;http://dx.doi.org/10.1021/jf303926v&lt;/url&gt;&lt;/related-urls&gt;&lt;/urls&gt;&lt;electronic-resource-num&gt;10.1021/jf303926v&lt;/electronic-resource-num&gt;&lt;/record&gt;&lt;/Cite&gt;&lt;/EndNote&gt;</w:instrText>
        </w:r>
        <w:r w:rsidR="00512D09">
          <w:rPr>
            <w:bCs/>
            <w:iCs/>
          </w:rPr>
          <w:fldChar w:fldCharType="separate"/>
        </w:r>
        <w:r w:rsidR="00512D09" w:rsidRPr="006421D1">
          <w:rPr>
            <w:bCs/>
            <w:iCs/>
            <w:noProof/>
            <w:vertAlign w:val="superscript"/>
          </w:rPr>
          <w:t>241</w:t>
        </w:r>
        <w:r w:rsidR="00512D09">
          <w:rPr>
            <w:bCs/>
            <w:iCs/>
          </w:rPr>
          <w:fldChar w:fldCharType="end"/>
        </w:r>
      </w:hyperlink>
      <w:r w:rsidR="00B62F11">
        <w:rPr>
          <w:bCs/>
          <w:iCs/>
        </w:rPr>
        <w:t xml:space="preserve"> This makes it an excellent study to determine if </w:t>
      </w:r>
      <w:r w:rsidR="00B62F11">
        <w:rPr>
          <w:bCs/>
          <w:iCs/>
        </w:rPr>
        <w:lastRenderedPageBreak/>
        <w:t xml:space="preserve">the cause behind the increasingly more favourable </w:t>
      </w:r>
      <w:r w:rsidR="00FF244F" w:rsidRPr="00DA7437">
        <w:rPr>
          <w:rFonts w:ascii="Times New Roman" w:hAnsi="Times New Roman" w:cs="Times New Roman"/>
        </w:rPr>
        <w:t>Δ</w:t>
      </w:r>
      <w:r w:rsidR="00FF244F" w:rsidRPr="001B3B8C">
        <w:rPr>
          <w:i/>
        </w:rPr>
        <w:t>H</w:t>
      </w:r>
      <w:r w:rsidR="00FF244F">
        <w:rPr>
          <w:bCs/>
          <w:iCs/>
        </w:rPr>
        <w:t xml:space="preserve"> </w:t>
      </w:r>
      <w:r w:rsidR="00B62F11">
        <w:rPr>
          <w:bCs/>
          <w:iCs/>
        </w:rPr>
        <w:t xml:space="preserve">values at low molar ratios is a crosslinking event. Furthermore, lysozyme is a structurally well-characterised protein with hundreds of high-resolution crystal structures in the protein data bank. </w:t>
      </w:r>
    </w:p>
    <w:p w:rsidR="008E6BF7" w:rsidRDefault="008E6BF7" w:rsidP="008E6BF7">
      <w:pPr>
        <w:spacing w:line="480" w:lineRule="auto"/>
        <w:jc w:val="both"/>
      </w:pPr>
      <w:r>
        <w:t>The isoelectric point (pI) of the protein is 11.35.</w:t>
      </w:r>
      <w:hyperlink w:anchor="_ENREF_269" w:tooltip="Wetter, 1951 #736" w:history="1">
        <w:r w:rsidR="00512D09">
          <w:fldChar w:fldCharType="begin"/>
        </w:r>
        <w:r w:rsidR="00512D09">
          <w:instrText xml:space="preserve"> ADDIN EN.CITE &lt;EndNote&gt;&lt;Cite&gt;&lt;Author&gt;Wetter&lt;/Author&gt;&lt;Year&gt;1951&lt;/Year&gt;&lt;RecNum&gt;736&lt;/RecNum&gt;&lt;DisplayText&gt;&lt;style face="superscript"&gt;269&lt;/style&gt;&lt;/DisplayText&gt;&lt;record&gt;&lt;rec-number&gt;736&lt;/rec-number&gt;&lt;foreign-keys&gt;&lt;key app="EN" db-id="5trrespwzsdr07efd5tx2w96x22re9s0fsdt"&gt;736&lt;/key&gt;&lt;/foreign-keys&gt;&lt;ref-type name="Journal Article"&gt;17&lt;/ref-type&gt;&lt;contributors&gt;&lt;authors&gt;&lt;author&gt;Wetter, LR&lt;/author&gt;&lt;author&gt;Deutsch, HFr&lt;/author&gt;&lt;/authors&gt;&lt;/contributors&gt;&lt;titles&gt;&lt;title&gt;Immunological studies on egg white proteins IV. Immunochemical and physical studies of lysozyme&lt;/title&gt;&lt;secondary-title&gt;Journal of Biological Chemistry&lt;/secondary-title&gt;&lt;/titles&gt;&lt;periodical&gt;&lt;full-title&gt;Journal of Biological Chemistry&lt;/full-title&gt;&lt;/periodical&gt;&lt;pages&gt;237-242&lt;/pages&gt;&lt;volume&gt;192&lt;/volume&gt;&lt;number&gt;1&lt;/number&gt;&lt;dates&gt;&lt;year&gt;1951&lt;/year&gt;&lt;/dates&gt;&lt;isbn&gt;0021-9258&lt;/isbn&gt;&lt;urls&gt;&lt;/urls&gt;&lt;/record&gt;&lt;/Cite&gt;&lt;/EndNote&gt;</w:instrText>
        </w:r>
        <w:r w:rsidR="00512D09">
          <w:fldChar w:fldCharType="separate"/>
        </w:r>
        <w:r w:rsidR="00512D09" w:rsidRPr="006421D1">
          <w:rPr>
            <w:noProof/>
            <w:vertAlign w:val="superscript"/>
          </w:rPr>
          <w:t>269</w:t>
        </w:r>
        <w:r w:rsidR="00512D09">
          <w:fldChar w:fldCharType="end"/>
        </w:r>
      </w:hyperlink>
      <w:r>
        <w:t xml:space="preserve"> This is defined as the pH at which the molecule has a net neutral charge. If the pH is below the pI, the protein will carry a net positive charge, as the basic amino acids will bind hydrogen ions. At a pH of 4, which is the pH used in this study, lysozyme will have a net positive charge of 11. Previous studies have indicated the importance of pI in phytate-protein interactions. Co-elution of glycinin and phytate during gel filtration chromatography did not occur at pH 10, 8 and 6. </w:t>
      </w:r>
      <w:hyperlink w:anchor="_ENREF_270" w:tooltip="Okubo, 1976 #618" w:history="1">
        <w:r w:rsidR="00512D09">
          <w:fldChar w:fldCharType="begin"/>
        </w:r>
        <w:r w:rsidR="00512D09">
          <w:instrText xml:space="preserve"> ADDIN EN.CITE &lt;EndNote&gt;&lt;Cite&gt;&lt;Author&gt;Okubo&lt;/Author&gt;&lt;Year&gt;1976&lt;/Year&gt;&lt;RecNum&gt;618&lt;/RecNum&gt;&lt;DisplayText&gt;&lt;style face="superscript"&gt;270&lt;/style&gt;&lt;/DisplayText&gt;&lt;record&gt;&lt;rec-number&gt;618&lt;/rec-number&gt;&lt;foreign-keys&gt;&lt;key app="EN" db-id="5trrespwzsdr07efd5tx2w96x22re9s0fsdt"&gt;618&lt;/key&gt;&lt;/foreign-keys&gt;&lt;ref-type name="Journal Article"&gt;17&lt;/ref-type&gt;&lt;contributors&gt;&lt;authors&gt;&lt;author&gt;Okubo, K&lt;/author&gt;&lt;author&gt;Myers, DV&lt;/author&gt;&lt;author&gt;Iacobucci, GA&lt;/author&gt;&lt;/authors&gt;&lt;/contributors&gt;&lt;titles&gt;&lt;title&gt;Binding of phytic acid to glycinin [Soybeans]&lt;/title&gt;&lt;secondary-title&gt;Cereal Chemistry&lt;/secondary-title&gt;&lt;/titles&gt;&lt;periodical&gt;&lt;full-title&gt;Cereal Chemistry&lt;/full-title&gt;&lt;/periodical&gt;&lt;dates&gt;&lt;year&gt;1976&lt;/year&gt;&lt;/dates&gt;&lt;isbn&gt;0009-0352&lt;/isbn&gt;&lt;urls&gt;&lt;/urls&gt;&lt;/record&gt;&lt;/Cite&gt;&lt;/EndNote&gt;</w:instrText>
        </w:r>
        <w:r w:rsidR="00512D09">
          <w:fldChar w:fldCharType="separate"/>
        </w:r>
        <w:r w:rsidR="00512D09" w:rsidRPr="006421D1">
          <w:rPr>
            <w:noProof/>
            <w:vertAlign w:val="superscript"/>
          </w:rPr>
          <w:t>270</w:t>
        </w:r>
        <w:r w:rsidR="00512D09">
          <w:fldChar w:fldCharType="end"/>
        </w:r>
      </w:hyperlink>
      <w:r>
        <w:t xml:space="preserve"> This was above the pI of the molecule and so the authors suggested that pI was important in the structure activity relationship. </w:t>
      </w:r>
    </w:p>
    <w:p w:rsidR="008E6BF7" w:rsidRPr="00DD507F" w:rsidRDefault="008E6BF7" w:rsidP="0059143E">
      <w:pPr>
        <w:pStyle w:val="Heading2"/>
        <w:spacing w:line="480" w:lineRule="auto"/>
        <w:ind w:left="578" w:hanging="578"/>
      </w:pPr>
      <w:bookmarkStart w:id="152" w:name="_Toc459130715"/>
      <w:r w:rsidRPr="00DD507F">
        <w:t>Materials and Methods</w:t>
      </w:r>
      <w:bookmarkEnd w:id="152"/>
    </w:p>
    <w:p w:rsidR="0059143E" w:rsidRDefault="0059143E" w:rsidP="0059143E">
      <w:pPr>
        <w:pStyle w:val="Heading3"/>
        <w:spacing w:line="480" w:lineRule="auto"/>
        <w:rPr>
          <w:lang w:val="en-US"/>
        </w:rPr>
      </w:pPr>
      <w:bookmarkStart w:id="153" w:name="_Toc459130716"/>
      <w:r>
        <w:rPr>
          <w:lang w:val="en-US"/>
        </w:rPr>
        <w:t>Chemicals and Materials</w:t>
      </w:r>
      <w:bookmarkEnd w:id="153"/>
    </w:p>
    <w:p w:rsidR="008E6BF7" w:rsidRPr="0059143E" w:rsidRDefault="0059143E" w:rsidP="008E6BF7">
      <w:pPr>
        <w:spacing w:line="480" w:lineRule="auto"/>
        <w:jc w:val="both"/>
        <w:rPr>
          <w:b/>
          <w:bCs/>
        </w:rPr>
      </w:pPr>
      <w:r>
        <w:rPr>
          <w:bCs/>
          <w:color w:val="000000" w:themeColor="text1"/>
          <w:lang w:val="en-US"/>
        </w:rPr>
        <w:t xml:space="preserve"> H</w:t>
      </w:r>
      <w:r w:rsidR="008E6BF7" w:rsidRPr="00254EA8">
        <w:rPr>
          <w:bCs/>
          <w:color w:val="000000" w:themeColor="text1"/>
          <w:lang w:val="en-US"/>
        </w:rPr>
        <w:t>en egg white lysozyme, sodium phytate</w:t>
      </w:r>
      <w:r w:rsidR="008E6BF7">
        <w:rPr>
          <w:bCs/>
          <w:color w:val="000000" w:themeColor="text1"/>
          <w:lang w:val="en-US"/>
        </w:rPr>
        <w:t xml:space="preserve"> (≈80% purity)</w:t>
      </w:r>
      <w:r w:rsidR="008E6BF7" w:rsidRPr="00254EA8">
        <w:rPr>
          <w:bCs/>
          <w:color w:val="000000" w:themeColor="text1"/>
          <w:lang w:val="en-US"/>
        </w:rPr>
        <w:t>,</w:t>
      </w:r>
      <w:r w:rsidR="008E6BF7">
        <w:rPr>
          <w:bCs/>
          <w:color w:val="000000" w:themeColor="text1"/>
          <w:lang w:val="en-US"/>
        </w:rPr>
        <w:t xml:space="preserve"> potassium phytate (≥95% purity), acetic acid (</w:t>
      </w:r>
      <w:r w:rsidR="008E6BF7" w:rsidRPr="00613B78">
        <w:rPr>
          <w:bCs/>
          <w:color w:val="000000" w:themeColor="text1"/>
        </w:rPr>
        <w:t>99.8</w:t>
      </w:r>
      <w:r w:rsidR="008E6BF7">
        <w:rPr>
          <w:bCs/>
          <w:color w:val="000000" w:themeColor="text1"/>
        </w:rPr>
        <w:t>%)</w:t>
      </w:r>
      <w:r w:rsidR="008E6BF7" w:rsidRPr="00254EA8">
        <w:rPr>
          <w:bCs/>
          <w:color w:val="000000" w:themeColor="text1"/>
          <w:lang w:val="en-US"/>
        </w:rPr>
        <w:t xml:space="preserve"> ammonium acetate were all sourced from Sigma-Aldrich, Gillingham, U.K. </w:t>
      </w:r>
      <w:r w:rsidR="008E6BF7" w:rsidRPr="00254EA8">
        <w:rPr>
          <w:bCs/>
          <w:color w:val="000000" w:themeColor="text1"/>
        </w:rPr>
        <w:t>Milli-Q water from a Merk-MILLIPORE (Darmstadt, Germany) fountain w</w:t>
      </w:r>
      <w:r w:rsidR="008E6BF7">
        <w:rPr>
          <w:bCs/>
          <w:color w:val="000000" w:themeColor="text1"/>
        </w:rPr>
        <w:t xml:space="preserve">as used to prepare the reagents and a Millex – GS 0.22 µm filter (Merk-MILLIPORE </w:t>
      </w:r>
      <w:r w:rsidR="008E6BF7" w:rsidRPr="00254EA8">
        <w:rPr>
          <w:bCs/>
          <w:color w:val="000000" w:themeColor="text1"/>
        </w:rPr>
        <w:t xml:space="preserve">Darmstadt, Germany) </w:t>
      </w:r>
      <w:r w:rsidR="008E6BF7">
        <w:rPr>
          <w:bCs/>
          <w:color w:val="000000" w:themeColor="text1"/>
        </w:rPr>
        <w:t xml:space="preserve">and a Puradisk™  0.45 µm filter (GE Healthcare, Buckinghamshire, UK)  was used in the aggregation studies to filter larger particles from both the lysozyme and the phytate prior to mixing. A </w:t>
      </w:r>
      <w:r w:rsidR="008E6BF7" w:rsidRPr="00613B78">
        <w:rPr>
          <w:bCs/>
          <w:color w:val="000000" w:themeColor="text1"/>
        </w:rPr>
        <w:t>FiveEasy pH meter </w:t>
      </w:r>
      <w:r w:rsidR="008E6BF7">
        <w:rPr>
          <w:bCs/>
          <w:color w:val="000000" w:themeColor="text1"/>
        </w:rPr>
        <w:t>(</w:t>
      </w:r>
      <w:r w:rsidR="008E6BF7" w:rsidRPr="00C756A3">
        <w:rPr>
          <w:bCs/>
          <w:color w:val="000000" w:themeColor="text1"/>
        </w:rPr>
        <w:t>Me</w:t>
      </w:r>
      <w:r w:rsidR="008E6BF7">
        <w:rPr>
          <w:bCs/>
          <w:color w:val="000000" w:themeColor="text1"/>
        </w:rPr>
        <w:t xml:space="preserve">ttler-Toledo International, Ohio, US) was used to measure the pH of the solutions. A </w:t>
      </w:r>
      <w:r w:rsidR="008E6BF7" w:rsidRPr="00B939FE">
        <w:rPr>
          <w:bCs/>
          <w:color w:val="000000" w:themeColor="text1"/>
        </w:rPr>
        <w:t>Jenway spectrophotometer</w:t>
      </w:r>
      <w:r w:rsidR="008E6BF7">
        <w:rPr>
          <w:bCs/>
          <w:color w:val="000000" w:themeColor="text1"/>
        </w:rPr>
        <w:t xml:space="preserve"> (</w:t>
      </w:r>
      <w:r w:rsidR="008E6BF7" w:rsidRPr="00B939FE">
        <w:rPr>
          <w:bCs/>
          <w:color w:val="000000" w:themeColor="text1"/>
        </w:rPr>
        <w:t>Bibby Scientific Limited</w:t>
      </w:r>
      <w:r w:rsidR="008E6BF7">
        <w:rPr>
          <w:bCs/>
          <w:color w:val="000000" w:themeColor="text1"/>
        </w:rPr>
        <w:t xml:space="preserve">, </w:t>
      </w:r>
      <w:r w:rsidR="008E6BF7" w:rsidRPr="00B939FE">
        <w:rPr>
          <w:bCs/>
          <w:color w:val="000000" w:themeColor="text1"/>
        </w:rPr>
        <w:t>Staffordshire</w:t>
      </w:r>
      <w:r w:rsidR="008E6BF7">
        <w:rPr>
          <w:bCs/>
          <w:color w:val="000000" w:themeColor="text1"/>
        </w:rPr>
        <w:t xml:space="preserve">, UK) was used to measure the absorbance of the solutions. </w:t>
      </w:r>
    </w:p>
    <w:p w:rsidR="0059143E" w:rsidRDefault="0076524B" w:rsidP="0059143E">
      <w:pPr>
        <w:pStyle w:val="Heading3"/>
        <w:spacing w:line="480" w:lineRule="auto"/>
      </w:pPr>
      <w:bookmarkStart w:id="154" w:name="_Toc459130717"/>
      <w:r>
        <w:lastRenderedPageBreak/>
        <w:t>Isothermal T</w:t>
      </w:r>
      <w:r w:rsidR="008E6BF7" w:rsidRPr="00DD507F">
        <w:t>i</w:t>
      </w:r>
      <w:r>
        <w:t xml:space="preserve">tration </w:t>
      </w:r>
      <w:r w:rsidR="00AC34CA">
        <w:t>C</w:t>
      </w:r>
      <w:r w:rsidR="008E6BF7" w:rsidRPr="00DD507F">
        <w:t>alorimetry</w:t>
      </w:r>
      <w:bookmarkEnd w:id="154"/>
    </w:p>
    <w:p w:rsidR="008E6BF7" w:rsidRDefault="008E6BF7" w:rsidP="008E6BF7">
      <w:pPr>
        <w:spacing w:line="480" w:lineRule="auto"/>
        <w:jc w:val="both"/>
        <w:rPr>
          <w:bCs/>
        </w:rPr>
      </w:pPr>
      <w:r>
        <w:rPr>
          <w:b/>
          <w:bCs/>
        </w:rPr>
        <w:t xml:space="preserve"> </w:t>
      </w:r>
      <w:r w:rsidRPr="00DD507F">
        <w:rPr>
          <w:bCs/>
        </w:rPr>
        <w:t xml:space="preserve">A Nano-ITC instrument </w:t>
      </w:r>
      <w:r>
        <w:rPr>
          <w:bCs/>
        </w:rPr>
        <w:t>(</w:t>
      </w:r>
      <w:r w:rsidRPr="006447FA">
        <w:rPr>
          <w:bCs/>
          <w:lang w:val="en-US"/>
        </w:rPr>
        <w:t>TA instruments, Utah, US</w:t>
      </w:r>
      <w:r>
        <w:rPr>
          <w:bCs/>
        </w:rPr>
        <w:t>)</w:t>
      </w:r>
      <w:r w:rsidRPr="00495E7F">
        <w:rPr>
          <w:bCs/>
        </w:rPr>
        <w:t xml:space="preserve"> </w:t>
      </w:r>
      <w:r w:rsidRPr="00DD507F">
        <w:rPr>
          <w:bCs/>
        </w:rPr>
        <w:t xml:space="preserve">was used to measure the binding thermodynamics between </w:t>
      </w:r>
      <w:r>
        <w:rPr>
          <w:bCs/>
        </w:rPr>
        <w:t>phytate</w:t>
      </w:r>
      <w:r w:rsidRPr="00DD507F">
        <w:rPr>
          <w:bCs/>
        </w:rPr>
        <w:t xml:space="preserve"> and </w:t>
      </w:r>
      <w:r>
        <w:rPr>
          <w:bCs/>
        </w:rPr>
        <w:t>lysozyme</w:t>
      </w:r>
      <w:r w:rsidRPr="00DD507F">
        <w:rPr>
          <w:bCs/>
        </w:rPr>
        <w:t xml:space="preserve"> at </w:t>
      </w:r>
      <w:r>
        <w:rPr>
          <w:bCs/>
        </w:rPr>
        <w:t>10, 25 and 40</w:t>
      </w:r>
      <w:r w:rsidR="006F2757">
        <w:rPr>
          <w:bCs/>
        </w:rPr>
        <w:t xml:space="preserve"> </w:t>
      </w:r>
      <w:r>
        <w:rPr>
          <w:bCs/>
        </w:rPr>
        <w:t>°C</w:t>
      </w:r>
      <w:r w:rsidRPr="00DD507F">
        <w:rPr>
          <w:bCs/>
        </w:rPr>
        <w:t xml:space="preserve">. </w:t>
      </w:r>
      <w:r>
        <w:rPr>
          <w:bCs/>
        </w:rPr>
        <w:t>Phytate and lysozyme</w:t>
      </w:r>
      <w:r w:rsidRPr="00DD507F">
        <w:rPr>
          <w:bCs/>
        </w:rPr>
        <w:t xml:space="preserve"> were dissolved in 10 mM </w:t>
      </w:r>
      <w:r>
        <w:rPr>
          <w:bCs/>
        </w:rPr>
        <w:t>ammonium acetate buffer at pH 4, unless otherwise stated. Lysozyme was dialysed overnight in 10 mM ammonium acetate buffer pH 4, unless otherwise stated.</w:t>
      </w:r>
      <w:r w:rsidRPr="00DD507F">
        <w:rPr>
          <w:bCs/>
        </w:rPr>
        <w:t xml:space="preserve"> All solutions were degassed</w:t>
      </w:r>
      <w:r>
        <w:rPr>
          <w:bCs/>
        </w:rPr>
        <w:t xml:space="preserve"> for 20 minutes</w:t>
      </w:r>
      <w:r w:rsidRPr="00DD507F">
        <w:rPr>
          <w:bCs/>
        </w:rPr>
        <w:t xml:space="preserve"> prior to the titrations</w:t>
      </w:r>
      <w:r>
        <w:rPr>
          <w:bCs/>
        </w:rPr>
        <w:t xml:space="preserve"> at either 10, 25 or 40</w:t>
      </w:r>
      <w:r w:rsidR="006F2757">
        <w:rPr>
          <w:bCs/>
        </w:rPr>
        <w:t xml:space="preserve"> </w:t>
      </w:r>
      <w:r w:rsidRPr="00D5497F">
        <w:rPr>
          <w:bCs/>
        </w:rPr>
        <w:t>°C</w:t>
      </w:r>
      <w:r>
        <w:rPr>
          <w:bCs/>
        </w:rPr>
        <w:t xml:space="preserve"> depending on what temperature the ITC study was carried out at</w:t>
      </w:r>
      <w:r w:rsidRPr="00DD507F">
        <w:rPr>
          <w:bCs/>
        </w:rPr>
        <w:t xml:space="preserve">. </w:t>
      </w:r>
      <w:r>
        <w:rPr>
          <w:bCs/>
        </w:rPr>
        <w:t>Six</w:t>
      </w:r>
      <w:r w:rsidRPr="00DD507F">
        <w:rPr>
          <w:bCs/>
        </w:rPr>
        <w:t xml:space="preserve"> mM </w:t>
      </w:r>
      <w:r>
        <w:rPr>
          <w:bCs/>
        </w:rPr>
        <w:t>phytate</w:t>
      </w:r>
      <w:r w:rsidRPr="00DD507F">
        <w:rPr>
          <w:bCs/>
        </w:rPr>
        <w:t xml:space="preserve"> was loaded into the syringe and titrated into the sample cell, which contained </w:t>
      </w:r>
      <w:r>
        <w:rPr>
          <w:bCs/>
        </w:rPr>
        <w:t xml:space="preserve">400 </w:t>
      </w:r>
      <w:r w:rsidRPr="00DD507F">
        <w:rPr>
          <w:bCs/>
        </w:rPr>
        <w:t>µM</w:t>
      </w:r>
      <w:r>
        <w:rPr>
          <w:bCs/>
        </w:rPr>
        <w:t xml:space="preserve"> lysozyme</w:t>
      </w:r>
      <w:r w:rsidRPr="00DD507F">
        <w:rPr>
          <w:bCs/>
        </w:rPr>
        <w:t xml:space="preserve">. </w:t>
      </w:r>
      <w:r>
        <w:rPr>
          <w:bCs/>
        </w:rPr>
        <w:t>Over the course of the titrations, at least 24</w:t>
      </w:r>
      <m:oMath>
        <m:r>
          <w:rPr>
            <w:rFonts w:ascii="Cambria Math" w:hAnsi="Cambria Math"/>
          </w:rPr>
          <m:t xml:space="preserve"> × </m:t>
        </m:r>
      </m:oMath>
      <w:r>
        <w:rPr>
          <w:bCs/>
        </w:rPr>
        <w:t>1.5 µL 6</w:t>
      </w:r>
      <w:r w:rsidRPr="00DD507F">
        <w:rPr>
          <w:bCs/>
        </w:rPr>
        <w:t xml:space="preserve"> mM </w:t>
      </w:r>
      <w:r>
        <w:rPr>
          <w:bCs/>
        </w:rPr>
        <w:t>phytate</w:t>
      </w:r>
      <w:r w:rsidRPr="00DD507F">
        <w:rPr>
          <w:bCs/>
        </w:rPr>
        <w:t xml:space="preserve"> injections into </w:t>
      </w:r>
      <w:r>
        <w:rPr>
          <w:bCs/>
        </w:rPr>
        <w:t xml:space="preserve">400 </w:t>
      </w:r>
      <w:r w:rsidRPr="00DD507F">
        <w:rPr>
          <w:bCs/>
        </w:rPr>
        <w:t xml:space="preserve">µM </w:t>
      </w:r>
      <w:r>
        <w:rPr>
          <w:bCs/>
        </w:rPr>
        <w:t>lysozyme</w:t>
      </w:r>
      <w:r w:rsidRPr="00DD507F">
        <w:rPr>
          <w:bCs/>
        </w:rPr>
        <w:t xml:space="preserve"> were made over the course of the titration. In each titration, the reference cell contained water. The time delay between each injection was </w:t>
      </w:r>
      <w:r>
        <w:rPr>
          <w:bCs/>
        </w:rPr>
        <w:t>variable to ensure equilibration</w:t>
      </w:r>
      <w:r w:rsidRPr="00DD507F">
        <w:rPr>
          <w:bCs/>
        </w:rPr>
        <w:t xml:space="preserve"> and the RPM was set to </w:t>
      </w:r>
      <w:r>
        <w:rPr>
          <w:bCs/>
        </w:rPr>
        <w:t>200</w:t>
      </w:r>
      <w:r w:rsidRPr="00DD507F">
        <w:rPr>
          <w:bCs/>
        </w:rPr>
        <w:t xml:space="preserve"> to ensure thorough mixing of the cell. Data analysis was performed using the NanoAnalyse software</w:t>
      </w:r>
      <w:r w:rsidRPr="00621908">
        <w:rPr>
          <w:bCs/>
          <w:lang w:val="en-US"/>
        </w:rPr>
        <w:t xml:space="preserve"> </w:t>
      </w:r>
      <w:r>
        <w:rPr>
          <w:bCs/>
          <w:lang w:val="en-US"/>
        </w:rPr>
        <w:t>(</w:t>
      </w:r>
      <w:r w:rsidRPr="00621908">
        <w:rPr>
          <w:bCs/>
          <w:lang w:val="en-US"/>
        </w:rPr>
        <w:t>TA instruments, Utah, US</w:t>
      </w:r>
      <w:r>
        <w:rPr>
          <w:bCs/>
        </w:rPr>
        <w:t>)</w:t>
      </w:r>
      <w:r w:rsidRPr="00DD507F">
        <w:rPr>
          <w:bCs/>
        </w:rPr>
        <w:t xml:space="preserve">. The enthalpy of dilution of </w:t>
      </w:r>
      <w:r>
        <w:rPr>
          <w:bCs/>
        </w:rPr>
        <w:t>phytate</w:t>
      </w:r>
      <w:r w:rsidRPr="00DD507F">
        <w:rPr>
          <w:bCs/>
        </w:rPr>
        <w:t xml:space="preserve"> was subtracted from the raw data. By using NanoAnalyse, raw heat data was integrated peak by peak and normalised per mole of injectant to get a plot of observed enthalpy change per mole of </w:t>
      </w:r>
      <w:r>
        <w:rPr>
          <w:bCs/>
        </w:rPr>
        <w:t>phytate</w:t>
      </w:r>
      <w:r w:rsidRPr="00DD507F">
        <w:rPr>
          <w:bCs/>
        </w:rPr>
        <w:t xml:space="preserve"> against </w:t>
      </w:r>
      <w:r>
        <w:rPr>
          <w:bCs/>
        </w:rPr>
        <w:t>phytate</w:t>
      </w:r>
      <w:r w:rsidRPr="00DD507F">
        <w:rPr>
          <w:bCs/>
        </w:rPr>
        <w:t xml:space="preserve">/protein molar ratio. The first </w:t>
      </w:r>
      <w:r>
        <w:rPr>
          <w:bCs/>
        </w:rPr>
        <w:t>injection</w:t>
      </w:r>
      <w:r w:rsidRPr="00DD507F">
        <w:rPr>
          <w:bCs/>
        </w:rPr>
        <w:t xml:space="preserve"> </w:t>
      </w:r>
      <w:r>
        <w:rPr>
          <w:bCs/>
        </w:rPr>
        <w:t>was</w:t>
      </w:r>
      <w:r w:rsidRPr="00DD507F">
        <w:rPr>
          <w:bCs/>
        </w:rPr>
        <w:t xml:space="preserve"> erroneous due to diffusion effects and was subsequently discarded from analysis</w:t>
      </w:r>
      <w:r>
        <w:rPr>
          <w:bCs/>
        </w:rPr>
        <w:t xml:space="preserve"> for the two site model</w:t>
      </w:r>
      <w:r w:rsidRPr="00DD507F">
        <w:rPr>
          <w:bCs/>
        </w:rPr>
        <w:t xml:space="preserve">. </w:t>
      </w:r>
      <w:r>
        <w:rPr>
          <w:bCs/>
        </w:rPr>
        <w:t xml:space="preserve">For analysis for the one site binding model, a number of data points below a molar ratio of 1 were discarded to assist with the fitting procedure to the second curve. </w:t>
      </w:r>
      <w:r w:rsidR="00CD2568">
        <w:rPr>
          <w:bCs/>
        </w:rPr>
        <w:t>Both the standard mean error and the confidence intervals are provided.</w:t>
      </w:r>
      <w:r w:rsidR="005B2B3C" w:rsidRPr="005B2B3C">
        <w:rPr>
          <w:bCs/>
        </w:rPr>
        <w:t xml:space="preserve"> </w:t>
      </w:r>
      <w:r w:rsidR="005B2B3C">
        <w:rPr>
          <w:bCs/>
        </w:rPr>
        <w:t xml:space="preserve">Nano ITC users tend to use confidence intervals as the NanoAnalyse software readily provides this. A confidence interval provides a </w:t>
      </w:r>
      <w:r w:rsidR="009D420F">
        <w:rPr>
          <w:bCs/>
        </w:rPr>
        <w:t>range that</w:t>
      </w:r>
      <w:r w:rsidR="005B2B3C">
        <w:rPr>
          <w:bCs/>
        </w:rPr>
        <w:t xml:space="preserve"> contains the population parameter of interest.  </w:t>
      </w:r>
    </w:p>
    <w:p w:rsidR="0059143E" w:rsidRDefault="008E6BF7" w:rsidP="0059143E">
      <w:pPr>
        <w:pStyle w:val="Heading3"/>
        <w:spacing w:line="480" w:lineRule="auto"/>
      </w:pPr>
      <w:bookmarkStart w:id="155" w:name="_Toc459130718"/>
      <w:r w:rsidRPr="00CC7572">
        <w:t>Nano</w:t>
      </w:r>
      <w:r>
        <w:t>particle</w:t>
      </w:r>
      <w:r w:rsidRPr="00CC7572">
        <w:t xml:space="preserve"> Tracking Analysis</w:t>
      </w:r>
      <w:bookmarkEnd w:id="155"/>
      <w:r w:rsidRPr="00CC7572">
        <w:t xml:space="preserve"> </w:t>
      </w:r>
    </w:p>
    <w:p w:rsidR="008E6BF7" w:rsidRDefault="008E6BF7" w:rsidP="008E6BF7">
      <w:pPr>
        <w:spacing w:line="480" w:lineRule="auto"/>
        <w:jc w:val="both"/>
        <w:rPr>
          <w:bCs/>
        </w:rPr>
      </w:pPr>
      <w:r>
        <w:rPr>
          <w:bCs/>
        </w:rPr>
        <w:t xml:space="preserve"> </w:t>
      </w:r>
      <w:r w:rsidR="00AC34CA">
        <w:rPr>
          <w:bCs/>
        </w:rPr>
        <w:t>Nanoparticle Tracking Analysis (</w:t>
      </w:r>
      <w:r>
        <w:rPr>
          <w:bCs/>
        </w:rPr>
        <w:t>NTA</w:t>
      </w:r>
      <w:r w:rsidR="00AC34CA">
        <w:rPr>
          <w:bCs/>
        </w:rPr>
        <w:t>)</w:t>
      </w:r>
      <w:r w:rsidRPr="00311A93">
        <w:rPr>
          <w:bCs/>
        </w:rPr>
        <w:t xml:space="preserve"> </w:t>
      </w:r>
      <w:r>
        <w:rPr>
          <w:bCs/>
        </w:rPr>
        <w:t xml:space="preserve">(NanoSight Ltd., Wiltshire, UK) can visualise </w:t>
      </w:r>
      <w:r w:rsidRPr="00311A93">
        <w:rPr>
          <w:bCs/>
        </w:rPr>
        <w:t xml:space="preserve">nanoparticles </w:t>
      </w:r>
      <w:r>
        <w:rPr>
          <w:bCs/>
        </w:rPr>
        <w:t>in a liquid suspension.</w:t>
      </w:r>
      <w:r w:rsidRPr="00311A93">
        <w:rPr>
          <w:bCs/>
        </w:rPr>
        <w:t xml:space="preserve"> NTA </w:t>
      </w:r>
      <w:r>
        <w:rPr>
          <w:bCs/>
        </w:rPr>
        <w:t>has 3 basic stages (1) video capture, (2</w:t>
      </w:r>
      <w:r w:rsidRPr="00311A93">
        <w:rPr>
          <w:bCs/>
        </w:rPr>
        <w:t>) sett</w:t>
      </w:r>
      <w:r>
        <w:rPr>
          <w:bCs/>
        </w:rPr>
        <w:t xml:space="preserve">ing of </w:t>
      </w:r>
      <w:r>
        <w:rPr>
          <w:bCs/>
        </w:rPr>
        <w:lastRenderedPageBreak/>
        <w:t>analysis parameters, (3</w:t>
      </w:r>
      <w:r w:rsidRPr="00311A93">
        <w:rPr>
          <w:bCs/>
        </w:rPr>
        <w:t>) tracking analysis. Th</w:t>
      </w:r>
      <w:r>
        <w:rPr>
          <w:bCs/>
        </w:rPr>
        <w:t>e Nanosight (LM14) was used in this experiment</w:t>
      </w:r>
      <w:r w:rsidRPr="00311A93">
        <w:rPr>
          <w:bCs/>
        </w:rPr>
        <w:t xml:space="preserve">. </w:t>
      </w:r>
      <w:r>
        <w:rPr>
          <w:bCs/>
        </w:rPr>
        <w:t xml:space="preserve">The particles scatter light which is visualised using an optical microscope. A video is then made recording the tracks of the particles. </w:t>
      </w:r>
    </w:p>
    <w:p w:rsidR="008E6BF7" w:rsidRDefault="008E6BF7" w:rsidP="008E6BF7">
      <w:pPr>
        <w:spacing w:line="480" w:lineRule="auto"/>
        <w:jc w:val="both"/>
        <w:rPr>
          <w:bCs/>
        </w:rPr>
      </w:pPr>
      <w:r>
        <w:rPr>
          <w:bCs/>
        </w:rPr>
        <w:t xml:space="preserve">Two controls were used in the aggregation studies.  A solution of 6 mM phytate and 400 µM lysozyme were analysed separately using NTA to determine the amount of particles. Before injecting the protein solution into the port, the solution was filtered to remove particles. In the case of the aggregation study where lysozyme and phytate were dissolved in 10 mM ammonium acetate, particles larger than 0.45 µM were filtered using a Puradisc filter. Whilst the aggregation study carried out in 100 mM ammonium acetate, particles larger than 0.22 µM were filtered using Millex-GS filter. </w:t>
      </w:r>
    </w:p>
    <w:p w:rsidR="008E6BF7" w:rsidRDefault="008E6BF7" w:rsidP="008E6BF7">
      <w:pPr>
        <w:spacing w:line="480" w:lineRule="auto"/>
        <w:jc w:val="both"/>
        <w:rPr>
          <w:bCs/>
        </w:rPr>
      </w:pPr>
      <w:r>
        <w:rPr>
          <w:bCs/>
        </w:rPr>
        <w:t xml:space="preserve">To determine the amount of crosslinking between phytate and lysozyme, the solutions were thoroughly mixed and 1 ml of the solution was injected into the cell. </w:t>
      </w:r>
      <w:r w:rsidRPr="00CC7572">
        <w:rPr>
          <w:bCs/>
        </w:rPr>
        <w:t> Tem</w:t>
      </w:r>
      <w:r>
        <w:rPr>
          <w:bCs/>
        </w:rPr>
        <w:t>perature was held constant at 25</w:t>
      </w:r>
      <w:r w:rsidRPr="00CC7572">
        <w:rPr>
          <w:bCs/>
        </w:rPr>
        <w:t> °C during the experiment, using the temperature control on the LM14.</w:t>
      </w:r>
    </w:p>
    <w:p w:rsidR="0059143E" w:rsidRDefault="0059143E" w:rsidP="008E6BF7">
      <w:pPr>
        <w:spacing w:line="480" w:lineRule="auto"/>
        <w:jc w:val="both"/>
        <w:rPr>
          <w:b/>
        </w:rPr>
      </w:pPr>
    </w:p>
    <w:p w:rsidR="00A23F6C" w:rsidRDefault="00A23F6C" w:rsidP="008E6BF7">
      <w:pPr>
        <w:spacing w:line="480" w:lineRule="auto"/>
        <w:jc w:val="both"/>
        <w:rPr>
          <w:b/>
        </w:rPr>
      </w:pPr>
    </w:p>
    <w:p w:rsidR="00A23F6C" w:rsidRDefault="00A23F6C" w:rsidP="008E6BF7">
      <w:pPr>
        <w:spacing w:line="480" w:lineRule="auto"/>
        <w:jc w:val="both"/>
        <w:rPr>
          <w:b/>
        </w:rPr>
      </w:pPr>
    </w:p>
    <w:p w:rsidR="00A23F6C" w:rsidRDefault="00A23F6C" w:rsidP="008E6BF7">
      <w:pPr>
        <w:spacing w:line="480" w:lineRule="auto"/>
        <w:jc w:val="both"/>
        <w:rPr>
          <w:b/>
        </w:rPr>
      </w:pPr>
    </w:p>
    <w:p w:rsidR="00A23F6C" w:rsidRDefault="00A23F6C" w:rsidP="008E6BF7">
      <w:pPr>
        <w:spacing w:line="480" w:lineRule="auto"/>
        <w:jc w:val="both"/>
        <w:rPr>
          <w:b/>
        </w:rPr>
      </w:pPr>
    </w:p>
    <w:p w:rsidR="00A23F6C" w:rsidRDefault="00A23F6C" w:rsidP="008E6BF7">
      <w:pPr>
        <w:spacing w:line="480" w:lineRule="auto"/>
        <w:jc w:val="both"/>
        <w:rPr>
          <w:b/>
        </w:rPr>
      </w:pPr>
    </w:p>
    <w:p w:rsidR="00A23F6C" w:rsidRDefault="00A23F6C" w:rsidP="008E6BF7">
      <w:pPr>
        <w:spacing w:line="480" w:lineRule="auto"/>
        <w:jc w:val="both"/>
        <w:rPr>
          <w:b/>
        </w:rPr>
      </w:pPr>
    </w:p>
    <w:p w:rsidR="008E6BF7" w:rsidRPr="002C1F14" w:rsidRDefault="0059143E" w:rsidP="0059143E">
      <w:pPr>
        <w:pStyle w:val="Heading2"/>
        <w:spacing w:line="480" w:lineRule="auto"/>
        <w:ind w:left="578" w:hanging="578"/>
      </w:pPr>
      <w:bookmarkStart w:id="156" w:name="_Toc459130719"/>
      <w:r>
        <w:lastRenderedPageBreak/>
        <w:t>Results and Discussion</w:t>
      </w:r>
      <w:bookmarkEnd w:id="156"/>
    </w:p>
    <w:p w:rsidR="008E6BF7" w:rsidRDefault="00040F10" w:rsidP="008E6BF7">
      <w:pPr>
        <w:spacing w:line="480" w:lineRule="auto"/>
        <w:jc w:val="both"/>
        <w:rPr>
          <w:bCs/>
        </w:rPr>
      </w:pPr>
      <w:r>
        <w:rPr>
          <w:bCs/>
          <w:noProof/>
          <w:lang w:eastAsia="en-GB"/>
        </w:rPr>
        <w:pict>
          <v:shape id="_x0000_s1104" type="#_x0000_t202" style="position:absolute;left:0;text-align:left;margin-left:183.05pt;margin-top:111.2pt;width:87.05pt;height:17.6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27A1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8E6BF7" w:rsidRPr="002C1F14">
        <w:rPr>
          <w:bCs/>
        </w:rPr>
        <w:t xml:space="preserve">The thermodynamic parameters of </w:t>
      </w:r>
      <w:r w:rsidR="008E6BF7">
        <w:rPr>
          <w:bCs/>
        </w:rPr>
        <w:t>potassium phytate-lysozyme</w:t>
      </w:r>
      <w:r w:rsidR="008E6BF7" w:rsidRPr="002C1F14">
        <w:rPr>
          <w:bCs/>
        </w:rPr>
        <w:t xml:space="preserve"> interaction were measured using ITC at 10</w:t>
      </w:r>
      <w:r w:rsidR="008E6BF7">
        <w:rPr>
          <w:bCs/>
        </w:rPr>
        <w:t xml:space="preserve">, </w:t>
      </w:r>
      <w:r w:rsidR="008E6BF7" w:rsidRPr="002C1F14">
        <w:rPr>
          <w:bCs/>
        </w:rPr>
        <w:t>25</w:t>
      </w:r>
      <w:r w:rsidR="008E6BF7">
        <w:rPr>
          <w:bCs/>
        </w:rPr>
        <w:t xml:space="preserve"> and 40</w:t>
      </w:r>
      <w:r w:rsidR="006F2757">
        <w:rPr>
          <w:bCs/>
        </w:rPr>
        <w:t xml:space="preserve"> </w:t>
      </w:r>
      <w:r w:rsidR="008E6BF7" w:rsidRPr="002C1F14">
        <w:rPr>
          <w:bCs/>
        </w:rPr>
        <w:t>°C</w:t>
      </w:r>
      <w:r w:rsidR="008E6BF7">
        <w:rPr>
          <w:bCs/>
        </w:rPr>
        <w:t xml:space="preserve"> (</w:t>
      </w:r>
      <w:r w:rsidR="00343A08">
        <w:rPr>
          <w:bCs/>
        </w:rPr>
        <w:t>Figure 4.2,</w:t>
      </w:r>
      <w:r w:rsidR="007A4246">
        <w:rPr>
          <w:bCs/>
        </w:rPr>
        <w:t xml:space="preserve"> </w:t>
      </w:r>
      <w:r w:rsidR="0075172E">
        <w:rPr>
          <w:bCs/>
        </w:rPr>
        <w:fldChar w:fldCharType="begin"/>
      </w:r>
      <w:r w:rsidR="007A4246">
        <w:rPr>
          <w:bCs/>
        </w:rPr>
        <w:instrText xml:space="preserve"> REF _Ref442881118 \h </w:instrText>
      </w:r>
      <w:r w:rsidR="0075172E">
        <w:rPr>
          <w:bCs/>
        </w:rPr>
      </w:r>
      <w:r w:rsidR="0075172E">
        <w:rPr>
          <w:bCs/>
        </w:rPr>
        <w:fldChar w:fldCharType="separate"/>
      </w:r>
      <w:r w:rsidR="00CB4EDC">
        <w:t xml:space="preserve">Figure </w:t>
      </w:r>
      <w:r w:rsidR="00CB4EDC">
        <w:rPr>
          <w:noProof/>
        </w:rPr>
        <w:t>4</w:t>
      </w:r>
      <w:r w:rsidR="00CB4EDC">
        <w:t>.</w:t>
      </w:r>
      <w:r w:rsidR="00CB4EDC">
        <w:rPr>
          <w:noProof/>
        </w:rPr>
        <w:t>3</w:t>
      </w:r>
      <w:r w:rsidR="0075172E">
        <w:rPr>
          <w:bCs/>
        </w:rPr>
        <w:fldChar w:fldCharType="end"/>
      </w:r>
      <w:r w:rsidR="007A4246">
        <w:rPr>
          <w:bCs/>
        </w:rPr>
        <w:t xml:space="preserve"> and </w:t>
      </w:r>
      <w:r w:rsidR="0075172E">
        <w:rPr>
          <w:bCs/>
        </w:rPr>
        <w:fldChar w:fldCharType="begin"/>
      </w:r>
      <w:r w:rsidR="007A4246">
        <w:rPr>
          <w:bCs/>
        </w:rPr>
        <w:instrText xml:space="preserve"> REF _Ref442881120 \h </w:instrText>
      </w:r>
      <w:r w:rsidR="0075172E">
        <w:rPr>
          <w:bCs/>
        </w:rPr>
      </w:r>
      <w:r w:rsidR="0075172E">
        <w:rPr>
          <w:bCs/>
        </w:rPr>
        <w:fldChar w:fldCharType="separate"/>
      </w:r>
      <w:r w:rsidR="00CB4EDC">
        <w:t xml:space="preserve">Figure </w:t>
      </w:r>
      <w:r w:rsidR="00CB4EDC">
        <w:rPr>
          <w:noProof/>
        </w:rPr>
        <w:t>4</w:t>
      </w:r>
      <w:r w:rsidR="00CB4EDC">
        <w:t>.</w:t>
      </w:r>
      <w:r w:rsidR="00CB4EDC">
        <w:rPr>
          <w:noProof/>
        </w:rPr>
        <w:t>4</w:t>
      </w:r>
      <w:r w:rsidR="0075172E">
        <w:rPr>
          <w:bCs/>
        </w:rPr>
        <w:fldChar w:fldCharType="end"/>
      </w:r>
      <w:r w:rsidR="008E6BF7">
        <w:rPr>
          <w:bCs/>
        </w:rPr>
        <w:t>)</w:t>
      </w:r>
      <w:r w:rsidR="008E6BF7" w:rsidRPr="002C1F14">
        <w:rPr>
          <w:bCs/>
        </w:rPr>
        <w:t xml:space="preserve">. </w:t>
      </w:r>
      <w:r w:rsidR="008E6BF7">
        <w:rPr>
          <w:bCs/>
        </w:rPr>
        <w:t>The thermodynamic parameters of sodium phytate-lysozyme interaction were also measured using ITC at 25 and 40</w:t>
      </w:r>
      <w:r w:rsidR="006F2757">
        <w:rPr>
          <w:bCs/>
        </w:rPr>
        <w:t xml:space="preserve"> </w:t>
      </w:r>
      <w:r w:rsidR="008E6BF7" w:rsidRPr="002C1F14">
        <w:rPr>
          <w:bCs/>
        </w:rPr>
        <w:t>°C</w:t>
      </w:r>
      <w:r w:rsidR="008E6BF7">
        <w:rPr>
          <w:bCs/>
        </w:rPr>
        <w:t xml:space="preserve">. </w:t>
      </w:r>
    </w:p>
    <w:p w:rsidR="008E6BF7" w:rsidRDefault="00040F10" w:rsidP="008E6BF7">
      <w:pPr>
        <w:keepNext/>
        <w:spacing w:line="480" w:lineRule="auto"/>
        <w:jc w:val="center"/>
      </w:pPr>
      <w:r>
        <w:rPr>
          <w:bCs/>
          <w:noProof/>
          <w:lang w:eastAsia="en-GB"/>
        </w:rPr>
        <w:pict>
          <v:shape id="_x0000_s1107" type="#_x0000_t202" style="position:absolute;left:0;text-align:left;margin-left:1pt;margin-top:11.4pt;width:26.15pt;height:232.4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C27A17">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Pr>
          <w:noProof/>
          <w:lang w:eastAsia="en-GB"/>
        </w:rPr>
        <w:pict>
          <v:shape id="_x0000_s1103" type="#_x0000_t202" style="position:absolute;left:0;text-align:left;margin-left:183.05pt;margin-top:253.95pt;width:87.05pt;height:17.6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27A17">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noProof/>
          <w:lang w:eastAsia="en-GB"/>
        </w:rPr>
        <w:pict>
          <v:shape id="Text Box 68" o:spid="_x0000_s1044" type="#_x0000_t202" style="position:absolute;left:0;text-align:left;margin-left:65.85pt;margin-top:138.75pt;width:12.15pt;height:54.7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" strokecolor="white [3212]">
            <v:textbox>
              <w:txbxContent>
                <w:p w:rsidR="003A5686" w:rsidRDefault="003A5686" w:rsidP="00856772"/>
              </w:txbxContent>
            </v:textbox>
          </v:shape>
        </w:pict>
      </w:r>
      <w:r w:rsidR="00194448">
        <w:rPr>
          <w:noProof/>
          <w:lang w:eastAsia="en-GB"/>
        </w:rPr>
        <w:drawing>
          <wp:inline distT="0" distB="0" distL="0" distR="0" wp14:anchorId="22AD1B60" wp14:editId="65FFFD53">
            <wp:extent cx="5205730" cy="3353524"/>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srcRect/>
                    <a:stretch>
                      <a:fillRect/>
                    </a:stretch>
                  </pic:blipFill>
                  <pic:spPr bwMode="auto">
                    <a:xfrm>
                      <a:off x="0" y="0"/>
                      <a:ext cx="5205730" cy="3353524"/>
                    </a:xfrm>
                    <a:prstGeom prst="rect">
                      <a:avLst/>
                    </a:prstGeom>
                    <a:noFill/>
                    <a:ln w="9525">
                      <a:noFill/>
                      <a:miter lim="800000"/>
                      <a:headEnd/>
                      <a:tailEnd/>
                    </a:ln>
                  </pic:spPr>
                </pic:pic>
              </a:graphicData>
            </a:graphic>
          </wp:inline>
        </w:drawing>
      </w:r>
    </w:p>
    <w:p w:rsidR="00094CCC" w:rsidRDefault="008E6BF7" w:rsidP="00865E4B">
      <w:pPr>
        <w:pStyle w:val="Caption"/>
        <w:spacing w:line="480" w:lineRule="auto"/>
        <w:jc w:val="center"/>
      </w:pPr>
      <w:bookmarkStart w:id="157" w:name="_Ref442881115"/>
      <w:r>
        <w:t>Figure</w:t>
      </w:r>
      <w:bookmarkEnd w:id="157"/>
      <w:r w:rsidR="00C54F08">
        <w:t xml:space="preserv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w:t>
      </w:r>
      <w:r w:rsidR="0075172E">
        <w:fldChar w:fldCharType="end"/>
      </w:r>
      <w:r>
        <w:t xml:space="preserve">: Upper: Thermogram for the interaction between </w:t>
      </w:r>
      <w:r w:rsidRPr="00940180">
        <w:t xml:space="preserve">6 mM potassium phytate and 0.4 mM lysozyme </w:t>
      </w:r>
      <w:r>
        <w:t xml:space="preserve">in 10 mM ammonium acetate pH 4 at </w:t>
      </w:r>
      <w:r w:rsidRPr="00940180">
        <w:t>10</w:t>
      </w:r>
      <w:r w:rsidRPr="00940180">
        <w:sym w:font="Mathematica1" w:char="F0B0"/>
      </w:r>
      <w:r w:rsidRPr="00940180">
        <w:t>C</w:t>
      </w:r>
      <w:r>
        <w:t xml:space="preserve"> Lower: </w:t>
      </w:r>
      <w:r w:rsidRPr="00940180">
        <w:t>ITC binding isotherm for the</w:t>
      </w:r>
      <w:r w:rsidR="00124DE9">
        <w:t xml:space="preserve"> </w:t>
      </w:r>
      <w:r>
        <w:t>same interaction (closed triangles)</w:t>
      </w:r>
      <w:r w:rsidRPr="00940180">
        <w:t xml:space="preserve">. </w:t>
      </w:r>
      <w:r>
        <w:t>A</w:t>
      </w:r>
      <w:r w:rsidRPr="00940180">
        <w:t>cetate titrated into lysozyme</w:t>
      </w:r>
      <w:r>
        <w:t xml:space="preserve"> </w:t>
      </w:r>
      <w:r w:rsidRPr="00940180">
        <w:t xml:space="preserve">(Crosses). </w:t>
      </w:r>
      <w:r>
        <w:t>P</w:t>
      </w:r>
      <w:r w:rsidRPr="00940180">
        <w:t>hytate titrated into acetate</w:t>
      </w:r>
      <w:r>
        <w:t xml:space="preserve"> </w:t>
      </w:r>
      <w:r w:rsidRPr="00940180">
        <w:t xml:space="preserve">(Open </w:t>
      </w:r>
      <w:r>
        <w:t>triangles)</w:t>
      </w:r>
      <w:r w:rsidRPr="00940180">
        <w:t>.</w:t>
      </w:r>
      <w:r w:rsidR="00865E4B" w:rsidRPr="00865E4B">
        <w:t xml:space="preserve"> </w:t>
      </w:r>
      <w:r w:rsidR="00865E4B">
        <w:t>The solid line represents single site binding model fit.</w:t>
      </w:r>
    </w:p>
    <w:p w:rsidR="00094CCC" w:rsidRDefault="00094CCC" w:rsidP="00094CCC"/>
    <w:p w:rsidR="00865E4B" w:rsidRDefault="00865E4B" w:rsidP="00094CCC"/>
    <w:p w:rsidR="00865E4B" w:rsidRDefault="00865E4B" w:rsidP="00094CCC"/>
    <w:p w:rsidR="00865E4B" w:rsidRDefault="00865E4B" w:rsidP="00094CCC"/>
    <w:p w:rsidR="00865E4B" w:rsidRDefault="00865E4B" w:rsidP="00094CCC"/>
    <w:p w:rsidR="00865E4B" w:rsidRDefault="00865E4B" w:rsidP="00094CCC"/>
    <w:p w:rsidR="00865E4B" w:rsidRDefault="00865E4B" w:rsidP="00094CCC"/>
    <w:p w:rsidR="00865E4B" w:rsidRDefault="00865E4B" w:rsidP="00094CCC"/>
    <w:p w:rsidR="00865E4B" w:rsidRDefault="00865E4B" w:rsidP="00094CCC"/>
    <w:p w:rsidR="00094CCC" w:rsidRDefault="00094CCC" w:rsidP="00094CCC"/>
    <w:p w:rsidR="00094CCC" w:rsidRDefault="00040F10" w:rsidP="00094CCC">
      <w:r>
        <w:rPr>
          <w:noProof/>
          <w:lang w:eastAsia="en-GB"/>
        </w:rPr>
        <w:pict>
          <v:shape id="_x0000_s1105" type="#_x0000_t202" style="position:absolute;margin-left:178.4pt;margin-top:21.3pt;width:87.05pt;height:17.6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27A1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p>
    <w:p w:rsidR="008E6BF7" w:rsidRDefault="00040F10" w:rsidP="00865E4B">
      <w:pPr>
        <w:keepNext/>
        <w:spacing w:line="480" w:lineRule="auto"/>
        <w:jc w:val="center"/>
      </w:pPr>
      <w:r>
        <w:rPr>
          <w:noProof/>
          <w:lang w:eastAsia="en-GB"/>
        </w:rPr>
        <w:pict>
          <v:shape id="_x0000_s1106" type="#_x0000_t202" style="position:absolute;left:0;text-align:left;margin-left:184.15pt;margin-top:256.8pt;width:87.05pt;height:17.6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27A17">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noProof/>
          <w:lang w:eastAsia="en-GB"/>
        </w:rPr>
        <w:pict>
          <v:shape id="_x0000_s1108" type="#_x0000_t202" style="position:absolute;left:0;text-align:left;margin-left:3.8pt;margin-top:13.45pt;width:26.15pt;height:232.4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C27A17">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Pr>
          <w:noProof/>
          <w:lang w:eastAsia="en-GB"/>
        </w:rPr>
        <w:pict>
          <v:shape id="Text Box 69" o:spid="_x0000_s1045" type="#_x0000_t202" style="position:absolute;left:0;text-align:left;margin-left:71.7pt;margin-top:137.25pt;width:12.15pt;height:53.2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" strokecolor="white [3212]">
            <v:textbox>
              <w:txbxContent>
                <w:p w:rsidR="003A5686" w:rsidRDefault="003A5686" w:rsidP="00856772"/>
              </w:txbxContent>
            </v:textbox>
          </v:shape>
        </w:pict>
      </w:r>
      <w:r w:rsidR="00194448">
        <w:rPr>
          <w:noProof/>
          <w:lang w:eastAsia="en-GB"/>
        </w:rPr>
        <w:drawing>
          <wp:inline distT="0" distB="0" distL="0" distR="0" wp14:anchorId="28A655FC" wp14:editId="103D6F8E">
            <wp:extent cx="5206004" cy="335520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srcRect b="3679"/>
                    <a:stretch>
                      <a:fillRect/>
                    </a:stretch>
                  </pic:blipFill>
                  <pic:spPr bwMode="auto">
                    <a:xfrm>
                      <a:off x="0" y="0"/>
                      <a:ext cx="5206004" cy="3355200"/>
                    </a:xfrm>
                    <a:prstGeom prst="rect">
                      <a:avLst/>
                    </a:prstGeom>
                    <a:noFill/>
                    <a:ln w="9525">
                      <a:noFill/>
                      <a:miter lim="800000"/>
                      <a:headEnd/>
                      <a:tailEnd/>
                    </a:ln>
                  </pic:spPr>
                </pic:pic>
              </a:graphicData>
            </a:graphic>
          </wp:inline>
        </w:drawing>
      </w:r>
    </w:p>
    <w:p w:rsidR="008E6BF7" w:rsidRDefault="008E6BF7" w:rsidP="008E6BF7">
      <w:pPr>
        <w:pStyle w:val="Caption"/>
        <w:spacing w:line="480" w:lineRule="auto"/>
        <w:jc w:val="center"/>
      </w:pPr>
      <w:bookmarkStart w:id="158" w:name="_Ref442881118"/>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3</w:t>
      </w:r>
      <w:r w:rsidR="0075172E">
        <w:fldChar w:fldCharType="end"/>
      </w:r>
      <w:bookmarkEnd w:id="158"/>
      <w:r>
        <w:t>:</w:t>
      </w:r>
      <w:r w:rsidRPr="003361E9">
        <w:t xml:space="preserve"> </w:t>
      </w:r>
      <w:r>
        <w:t>Upper: The</w:t>
      </w:r>
      <w:r w:rsidR="00D31B90">
        <w:t>r</w:t>
      </w:r>
      <w:r>
        <w:t xml:space="preserve">mogram for the interaction of 6 mM potassium phytate and </w:t>
      </w:r>
      <w:r w:rsidRPr="003361E9">
        <w:t>0.4 mM lysozyme in 10 mM ammonium acetate pH 4 at 25</w:t>
      </w:r>
      <w:r w:rsidRPr="003361E9">
        <w:sym w:font="Mathematica1" w:char="F0B0"/>
      </w:r>
      <w:r w:rsidRPr="003361E9">
        <w:t>C.</w:t>
      </w:r>
      <w:r w:rsidRPr="00806861">
        <w:t xml:space="preserve"> </w:t>
      </w:r>
      <w:r>
        <w:t xml:space="preserve">Lower: </w:t>
      </w:r>
      <w:r w:rsidRPr="003361E9">
        <w:t xml:space="preserve">ITC binding isotherm for the </w:t>
      </w:r>
      <w:r>
        <w:t xml:space="preserve">same </w:t>
      </w:r>
      <w:r w:rsidRPr="003361E9">
        <w:t xml:space="preserve">interaction </w:t>
      </w:r>
      <w:r>
        <w:t>(closed triangles)</w:t>
      </w:r>
      <w:r w:rsidRPr="003361E9">
        <w:t>.</w:t>
      </w:r>
      <w:r w:rsidRPr="00806861">
        <w:t xml:space="preserve"> </w:t>
      </w:r>
      <w:r>
        <w:t>A</w:t>
      </w:r>
      <w:r w:rsidRPr="00940180">
        <w:t>cetate titrated into lysozyme</w:t>
      </w:r>
      <w:r>
        <w:t xml:space="preserve"> </w:t>
      </w:r>
      <w:r w:rsidRPr="00940180">
        <w:t xml:space="preserve">(Crosses). </w:t>
      </w:r>
      <w:r>
        <w:t>P</w:t>
      </w:r>
      <w:r w:rsidRPr="00940180">
        <w:t>hytate titrated acetate</w:t>
      </w:r>
      <w:r>
        <w:t xml:space="preserve"> </w:t>
      </w:r>
      <w:r w:rsidRPr="00940180">
        <w:t xml:space="preserve">(Open </w:t>
      </w:r>
      <w:r>
        <w:t>triangles)</w:t>
      </w:r>
      <w:r w:rsidRPr="00940180">
        <w:t>.</w:t>
      </w:r>
      <w:r w:rsidR="00865E4B" w:rsidRPr="00865E4B">
        <w:t xml:space="preserve"> </w:t>
      </w:r>
      <w:r w:rsidR="00865E4B">
        <w:t>The solid line represents single site binding model fit.</w:t>
      </w:r>
    </w:p>
    <w:p w:rsidR="008E6BF7" w:rsidRDefault="00040F10" w:rsidP="008E6BF7">
      <w:pPr>
        <w:pStyle w:val="Caption"/>
        <w:keepNext/>
        <w:spacing w:line="480" w:lineRule="auto"/>
        <w:jc w:val="center"/>
      </w:pPr>
      <w:r>
        <w:rPr>
          <w:bCs w:val="0"/>
          <w:noProof/>
          <w:lang w:eastAsia="en-GB"/>
        </w:rPr>
        <w:lastRenderedPageBreak/>
        <w:pict>
          <v:shape id="_x0000_s1102" type="#_x0000_t202" style="position:absolute;left:0;text-align:left;margin-left:167.8pt;margin-top:-4.2pt;width:87.05pt;height:17.6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27A1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Cs w:val="0"/>
          <w:noProof/>
          <w:lang w:eastAsia="en-GB"/>
        </w:rPr>
        <w:pict>
          <v:shape id="_x0000_s1109" type="#_x0000_t202" style="position:absolute;left:0;text-align:left;margin-left:-1.1pt;margin-top:20.15pt;width:26.15pt;height:219.7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C27A17">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sidR="00C27A17">
        <w:rPr>
          <w:b w:val="0"/>
          <w:bCs w:val="0"/>
          <w:noProof/>
          <w:lang w:eastAsia="en-GB"/>
        </w:rPr>
        <w:drawing>
          <wp:inline distT="0" distB="0" distL="0" distR="0" wp14:anchorId="1FED473F" wp14:editId="6CD2F940">
            <wp:extent cx="5167008" cy="3355200"/>
            <wp:effectExtent l="19050" t="0" r="0" b="0"/>
            <wp:docPr id="3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cstate="print"/>
                    <a:srcRect/>
                    <a:stretch>
                      <a:fillRect/>
                    </a:stretch>
                  </pic:blipFill>
                  <pic:spPr bwMode="auto">
                    <a:xfrm>
                      <a:off x="0" y="0"/>
                      <a:ext cx="5167008" cy="3355200"/>
                    </a:xfrm>
                    <a:prstGeom prst="rect">
                      <a:avLst/>
                    </a:prstGeom>
                    <a:noFill/>
                    <a:ln w="9525">
                      <a:noFill/>
                      <a:miter lim="800000"/>
                      <a:headEnd/>
                      <a:tailEnd/>
                    </a:ln>
                  </pic:spPr>
                </pic:pic>
              </a:graphicData>
            </a:graphic>
          </wp:inline>
        </w:drawing>
      </w:r>
      <w:r>
        <w:rPr>
          <w:bCs w:val="0"/>
          <w:noProof/>
          <w:lang w:eastAsia="en-GB"/>
        </w:rPr>
        <w:pict>
          <v:shape id="_x0000_s1101" type="#_x0000_t202" style="position:absolute;left:0;text-align:left;margin-left:171.55pt;margin-top:252.8pt;width:87.05pt;height:17.6pt;z-index:251761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27A17">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noProof/>
          <w:lang w:eastAsia="en-GB"/>
        </w:rPr>
        <w:pict>
          <v:shape id="Text Box 70" o:spid="_x0000_s1046" type="#_x0000_t202" style="position:absolute;left:0;text-align:left;margin-left:58.2pt;margin-top:141pt;width:20.4pt;height:33.75pt;z-index:251722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" strokecolor="white [3212]">
            <v:textbox>
              <w:txbxContent>
                <w:p w:rsidR="003A5686" w:rsidRDefault="003A5686" w:rsidP="00856772"/>
              </w:txbxContent>
            </v:textbox>
          </v:shape>
        </w:pict>
      </w:r>
    </w:p>
    <w:p w:rsidR="008E6BF7" w:rsidRPr="003C57F3" w:rsidRDefault="008E6BF7" w:rsidP="008E6BF7">
      <w:pPr>
        <w:pStyle w:val="Caption"/>
        <w:spacing w:line="480" w:lineRule="auto"/>
        <w:jc w:val="center"/>
      </w:pPr>
      <w:bookmarkStart w:id="159" w:name="_Ref442881120"/>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4</w:t>
      </w:r>
      <w:r w:rsidR="0075172E">
        <w:fldChar w:fldCharType="end"/>
      </w:r>
      <w:bookmarkEnd w:id="159"/>
      <w:r w:rsidRPr="003C57F3">
        <w:t xml:space="preserve"> </w:t>
      </w:r>
      <w:r>
        <w:t xml:space="preserve">Upper: Thermogram: </w:t>
      </w:r>
      <w:r w:rsidRPr="003C57F3">
        <w:t xml:space="preserve">interaction of 6 mM </w:t>
      </w:r>
      <w:r>
        <w:t xml:space="preserve">potassium </w:t>
      </w:r>
      <w:r w:rsidRPr="003C57F3">
        <w:t>phytate and 0.4 mM lysozyme in 10 mM ammonium acetate pH 4 at 40</w:t>
      </w:r>
      <w:r w:rsidRPr="003C57F3">
        <w:sym w:font="Mathematica1" w:char="F0B0"/>
      </w:r>
      <w:r w:rsidRPr="003C57F3">
        <w:t>C</w:t>
      </w:r>
      <w:r>
        <w:t xml:space="preserve">. Lower: </w:t>
      </w:r>
      <w:r w:rsidRPr="003C57F3">
        <w:t xml:space="preserve">ITC binding isotherm for the </w:t>
      </w:r>
      <w:r>
        <w:t xml:space="preserve">same </w:t>
      </w:r>
      <w:r w:rsidRPr="003C57F3">
        <w:t xml:space="preserve">interaction </w:t>
      </w:r>
      <w:r>
        <w:t>(closed triangles)</w:t>
      </w:r>
      <w:r w:rsidRPr="003C57F3">
        <w:t xml:space="preserve">. </w:t>
      </w:r>
      <w:r>
        <w:t>A</w:t>
      </w:r>
      <w:r w:rsidRPr="00940180">
        <w:t>cetate titrated into 0.4 mM lysozyme</w:t>
      </w:r>
      <w:r>
        <w:t xml:space="preserve"> </w:t>
      </w:r>
      <w:r w:rsidRPr="00940180">
        <w:t xml:space="preserve">(Crosses). </w:t>
      </w:r>
      <w:r>
        <w:t>P</w:t>
      </w:r>
      <w:r w:rsidRPr="00940180">
        <w:t>hytate titrated into acetate</w:t>
      </w:r>
      <w:r>
        <w:t xml:space="preserve"> </w:t>
      </w:r>
      <w:r w:rsidRPr="00940180">
        <w:t xml:space="preserve">(Open </w:t>
      </w:r>
      <w:r>
        <w:t>triangles)</w:t>
      </w:r>
      <w:r w:rsidRPr="00940180">
        <w:t>.</w:t>
      </w:r>
      <w:r w:rsidR="00865E4B">
        <w:t xml:space="preserve"> The solid line represents single site binding model fit.</w:t>
      </w:r>
    </w:p>
    <w:p w:rsidR="008E6BF7" w:rsidRDefault="008E6BF7" w:rsidP="008E6BF7">
      <w:pPr>
        <w:spacing w:line="480" w:lineRule="auto"/>
        <w:jc w:val="both"/>
        <w:rPr>
          <w:bCs/>
        </w:rPr>
      </w:pPr>
      <w:r w:rsidRPr="003C57F3">
        <w:rPr>
          <w:bCs/>
        </w:rPr>
        <w:t xml:space="preserve">Titration of </w:t>
      </w:r>
      <w:r w:rsidR="00EA428D">
        <w:rPr>
          <w:bCs/>
        </w:rPr>
        <w:t xml:space="preserve">ammonium </w:t>
      </w:r>
      <w:r>
        <w:rPr>
          <w:bCs/>
        </w:rPr>
        <w:t xml:space="preserve">acetate </w:t>
      </w:r>
      <w:r w:rsidRPr="003C57F3">
        <w:rPr>
          <w:bCs/>
        </w:rPr>
        <w:t xml:space="preserve">buffer into lysozyme and </w:t>
      </w:r>
      <w:r>
        <w:rPr>
          <w:bCs/>
        </w:rPr>
        <w:t xml:space="preserve">potassium </w:t>
      </w:r>
      <w:r w:rsidRPr="003C57F3">
        <w:rPr>
          <w:bCs/>
        </w:rPr>
        <w:t xml:space="preserve">phytate into buffer showed a negligible </w:t>
      </w:r>
      <w:r w:rsidRPr="00852983">
        <w:rPr>
          <w:bCs/>
        </w:rPr>
        <w:t>Δ</w:t>
      </w:r>
      <w:r w:rsidRPr="003C57F3">
        <w:rPr>
          <w:bCs/>
          <w:i/>
        </w:rPr>
        <w:t>H</w:t>
      </w:r>
      <w:r w:rsidRPr="003C57F3">
        <w:rPr>
          <w:bCs/>
        </w:rPr>
        <w:t>. All 3 titrations showed evidence of two stages of interaction, the first stage shows increasingly exothermic Δ</w:t>
      </w:r>
      <w:r w:rsidRPr="003C57F3">
        <w:rPr>
          <w:bCs/>
          <w:i/>
          <w:iCs/>
        </w:rPr>
        <w:t xml:space="preserve">H </w:t>
      </w:r>
      <w:r w:rsidRPr="003C57F3">
        <w:rPr>
          <w:bCs/>
          <w:iCs/>
        </w:rPr>
        <w:t xml:space="preserve">with each injection producing an upward curvature </w:t>
      </w:r>
      <w:r w:rsidRPr="003C57F3">
        <w:rPr>
          <w:bCs/>
        </w:rPr>
        <w:t xml:space="preserve">below 1 phytate-lysozyme molar ratios. </w:t>
      </w:r>
      <w:r>
        <w:rPr>
          <w:bCs/>
        </w:rPr>
        <w:t>There is then a plateau in the exothermicity which finishes at ≈ 1.2 molar ratios at 10</w:t>
      </w:r>
      <w:r>
        <w:rPr>
          <w:bCs/>
        </w:rPr>
        <w:sym w:font="Mathematica1" w:char="F0B0"/>
      </w:r>
      <w:r>
        <w:rPr>
          <w:bCs/>
        </w:rPr>
        <w:t>C but 25 and 40</w:t>
      </w:r>
      <w:r>
        <w:rPr>
          <w:bCs/>
        </w:rPr>
        <w:sym w:font="Mathematica1" w:char="F0B0"/>
      </w:r>
      <w:r>
        <w:rPr>
          <w:bCs/>
        </w:rPr>
        <w:t xml:space="preserve">C ≈1.8 molar ratios. </w:t>
      </w:r>
      <w:r w:rsidRPr="003C57F3">
        <w:rPr>
          <w:bCs/>
        </w:rPr>
        <w:t>The second stage shows a less favourable exothermic Δ</w:t>
      </w:r>
      <w:r w:rsidRPr="003C57F3">
        <w:rPr>
          <w:bCs/>
          <w:i/>
          <w:iCs/>
        </w:rPr>
        <w:t xml:space="preserve">H </w:t>
      </w:r>
      <w:r w:rsidRPr="003C57F3">
        <w:rPr>
          <w:bCs/>
          <w:iCs/>
        </w:rPr>
        <w:t>with each injection. Increasing the temperature from 10 to 40 °C increased the size of the curve in the 1</w:t>
      </w:r>
      <w:r w:rsidRPr="003C57F3">
        <w:rPr>
          <w:bCs/>
          <w:iCs/>
          <w:vertAlign w:val="superscript"/>
        </w:rPr>
        <w:t>st</w:t>
      </w:r>
      <w:r w:rsidRPr="003C57F3">
        <w:rPr>
          <w:bCs/>
          <w:iCs/>
        </w:rPr>
        <w:t xml:space="preserve"> stage</w:t>
      </w:r>
      <w:r>
        <w:rPr>
          <w:bCs/>
          <w:iCs/>
        </w:rPr>
        <w:t xml:space="preserve"> </w:t>
      </w:r>
      <w:r w:rsidR="00426ACA">
        <w:rPr>
          <w:bCs/>
          <w:iCs/>
        </w:rPr>
        <w:t xml:space="preserve">and increased the endothermicity </w:t>
      </w:r>
      <w:r w:rsidR="007A4246">
        <w:rPr>
          <w:bCs/>
          <w:iCs/>
        </w:rPr>
        <w:t>(</w:t>
      </w:r>
      <w:r w:rsidR="0075172E">
        <w:rPr>
          <w:bCs/>
          <w:iCs/>
        </w:rPr>
        <w:fldChar w:fldCharType="begin"/>
      </w:r>
      <w:r w:rsidR="00257D70">
        <w:rPr>
          <w:bCs/>
          <w:iCs/>
        </w:rPr>
        <w:instrText xml:space="preserve"> REF _Ref442881924 \h </w:instrText>
      </w:r>
      <w:r w:rsidR="0075172E">
        <w:rPr>
          <w:bCs/>
          <w:iCs/>
        </w:rPr>
      </w:r>
      <w:r w:rsidR="0075172E">
        <w:rPr>
          <w:bCs/>
          <w:iCs/>
        </w:rPr>
        <w:fldChar w:fldCharType="separate"/>
      </w:r>
      <w:r w:rsidR="00CB4EDC">
        <w:t xml:space="preserve">Figure </w:t>
      </w:r>
      <w:r w:rsidR="00CB4EDC">
        <w:rPr>
          <w:noProof/>
        </w:rPr>
        <w:t>4</w:t>
      </w:r>
      <w:r w:rsidR="00CB4EDC">
        <w:t>.</w:t>
      </w:r>
      <w:r w:rsidR="00CB4EDC">
        <w:rPr>
          <w:noProof/>
        </w:rPr>
        <w:t>5</w:t>
      </w:r>
      <w:r w:rsidR="0075172E">
        <w:rPr>
          <w:bCs/>
          <w:iCs/>
        </w:rPr>
        <w:fldChar w:fldCharType="end"/>
      </w:r>
      <w:r>
        <w:rPr>
          <w:bCs/>
          <w:iCs/>
        </w:rPr>
        <w:t xml:space="preserve">). </w:t>
      </w:r>
      <w:r w:rsidRPr="003C57F3">
        <w:rPr>
          <w:bCs/>
        </w:rPr>
        <w:t xml:space="preserve">Titration </w:t>
      </w:r>
      <w:r>
        <w:rPr>
          <w:bCs/>
        </w:rPr>
        <w:t>of</w:t>
      </w:r>
      <w:r w:rsidRPr="003C57F3">
        <w:rPr>
          <w:bCs/>
        </w:rPr>
        <w:t xml:space="preserve"> </w:t>
      </w:r>
      <w:r>
        <w:rPr>
          <w:bCs/>
        </w:rPr>
        <w:t xml:space="preserve">sodium </w:t>
      </w:r>
      <w:r w:rsidRPr="003C57F3">
        <w:rPr>
          <w:bCs/>
        </w:rPr>
        <w:t>phytate into</w:t>
      </w:r>
      <w:r>
        <w:rPr>
          <w:bCs/>
        </w:rPr>
        <w:t xml:space="preserve"> ammonium acetate</w:t>
      </w:r>
      <w:r w:rsidRPr="003C57F3">
        <w:rPr>
          <w:bCs/>
        </w:rPr>
        <w:t xml:space="preserve"> buffer</w:t>
      </w:r>
      <w:r>
        <w:rPr>
          <w:bCs/>
        </w:rPr>
        <w:t xml:space="preserve"> also</w:t>
      </w:r>
      <w:r w:rsidRPr="003C57F3">
        <w:rPr>
          <w:bCs/>
        </w:rPr>
        <w:t xml:space="preserve"> showed a negligible </w:t>
      </w:r>
      <w:r w:rsidRPr="00852983">
        <w:rPr>
          <w:bCs/>
        </w:rPr>
        <w:t>Δ</w:t>
      </w:r>
      <w:r w:rsidRPr="003C57F3">
        <w:rPr>
          <w:bCs/>
          <w:i/>
        </w:rPr>
        <w:t>H</w:t>
      </w:r>
      <w:r w:rsidRPr="003C57F3">
        <w:rPr>
          <w:bCs/>
        </w:rPr>
        <w:t xml:space="preserve">. </w:t>
      </w:r>
      <w:r>
        <w:rPr>
          <w:bCs/>
        </w:rPr>
        <w:t>The binding isotherm shown here for the interaction between sodium phytate and lysozyme is similar to that obtained for the potassium phytate-lysozyme interaction</w:t>
      </w:r>
      <w:r w:rsidR="007A4246">
        <w:rPr>
          <w:bCs/>
        </w:rPr>
        <w:t xml:space="preserve"> at 25</w:t>
      </w:r>
      <w:r w:rsidR="006F2757">
        <w:rPr>
          <w:bCs/>
        </w:rPr>
        <w:t xml:space="preserve"> </w:t>
      </w:r>
      <w:r w:rsidR="007A4246">
        <w:rPr>
          <w:bCs/>
        </w:rPr>
        <w:t>°C (</w:t>
      </w:r>
      <w:r w:rsidR="0075172E">
        <w:rPr>
          <w:bCs/>
        </w:rPr>
        <w:fldChar w:fldCharType="begin"/>
      </w:r>
      <w:r w:rsidR="007A4246">
        <w:rPr>
          <w:bCs/>
        </w:rPr>
        <w:instrText xml:space="preserve"> REF _Ref442881276 \h </w:instrText>
      </w:r>
      <w:r w:rsidR="0075172E">
        <w:rPr>
          <w:bCs/>
        </w:rPr>
      </w:r>
      <w:r w:rsidR="0075172E">
        <w:rPr>
          <w:bCs/>
        </w:rPr>
        <w:fldChar w:fldCharType="separate"/>
      </w:r>
      <w:r w:rsidR="00CB4EDC">
        <w:t xml:space="preserve">Figure </w:t>
      </w:r>
      <w:r w:rsidR="00CB4EDC">
        <w:rPr>
          <w:noProof/>
        </w:rPr>
        <w:t>4</w:t>
      </w:r>
      <w:r w:rsidR="00CB4EDC">
        <w:t>.</w:t>
      </w:r>
      <w:r w:rsidR="00CB4EDC">
        <w:rPr>
          <w:noProof/>
        </w:rPr>
        <w:t>6</w:t>
      </w:r>
      <w:r w:rsidR="0075172E">
        <w:rPr>
          <w:bCs/>
        </w:rPr>
        <w:fldChar w:fldCharType="end"/>
      </w:r>
      <w:r w:rsidR="007A4246">
        <w:rPr>
          <w:bCs/>
        </w:rPr>
        <w:t>)</w:t>
      </w:r>
      <w:r>
        <w:rPr>
          <w:bCs/>
        </w:rPr>
        <w:t xml:space="preserve">. </w:t>
      </w:r>
      <w:r w:rsidR="007A4246">
        <w:rPr>
          <w:bCs/>
        </w:rPr>
        <w:t>Performing the titration at 40</w:t>
      </w:r>
      <w:r w:rsidR="006F2757">
        <w:rPr>
          <w:bCs/>
        </w:rPr>
        <w:t xml:space="preserve"> </w:t>
      </w:r>
      <w:r w:rsidR="007A4246">
        <w:rPr>
          <w:bCs/>
        </w:rPr>
        <w:t xml:space="preserve">°C </w:t>
      </w:r>
      <w:r w:rsidR="00CE38B1">
        <w:rPr>
          <w:bCs/>
        </w:rPr>
        <w:t>decreased the exothermicity of the binding interaction (</w:t>
      </w:r>
      <w:r w:rsidR="00426ACA">
        <w:rPr>
          <w:bCs/>
        </w:rPr>
        <w:t>Figure 4.7</w:t>
      </w:r>
      <w:r w:rsidR="00CE38B1">
        <w:rPr>
          <w:bCs/>
        </w:rPr>
        <w:t xml:space="preserve">).   </w:t>
      </w:r>
    </w:p>
    <w:p w:rsidR="00A23F6C" w:rsidRDefault="00A23F6C" w:rsidP="008E6BF7">
      <w:pPr>
        <w:spacing w:line="480" w:lineRule="auto"/>
        <w:jc w:val="both"/>
        <w:rPr>
          <w:bCs/>
        </w:rPr>
      </w:pPr>
    </w:p>
    <w:p w:rsidR="00A23F6C" w:rsidRDefault="00A23F6C" w:rsidP="008E6BF7">
      <w:pPr>
        <w:spacing w:line="480" w:lineRule="auto"/>
        <w:jc w:val="both"/>
        <w:rPr>
          <w:bCs/>
        </w:rPr>
      </w:pPr>
    </w:p>
    <w:p w:rsidR="00A23F6C" w:rsidRDefault="00A23F6C" w:rsidP="008E6BF7">
      <w:pPr>
        <w:spacing w:line="480" w:lineRule="auto"/>
        <w:jc w:val="both"/>
        <w:rPr>
          <w:bCs/>
        </w:rPr>
      </w:pPr>
    </w:p>
    <w:p w:rsidR="00A23F6C" w:rsidRPr="007A4246" w:rsidRDefault="00A23F6C" w:rsidP="008E6BF7">
      <w:pPr>
        <w:spacing w:line="480" w:lineRule="auto"/>
        <w:jc w:val="both"/>
        <w:rPr>
          <w:bCs/>
        </w:rPr>
      </w:pPr>
    </w:p>
    <w:p w:rsidR="007A4246" w:rsidRDefault="00194448" w:rsidP="007A4246">
      <w:pPr>
        <w:keepNext/>
        <w:spacing w:line="480" w:lineRule="auto"/>
        <w:jc w:val="center"/>
      </w:pPr>
      <w:r>
        <w:rPr>
          <w:noProof/>
          <w:lang w:eastAsia="en-GB"/>
        </w:rPr>
        <w:drawing>
          <wp:inline distT="0" distB="0" distL="0" distR="0" wp14:anchorId="74B10362" wp14:editId="45DBBF9C">
            <wp:extent cx="5205730" cy="368633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cstate="print"/>
                    <a:srcRect/>
                    <a:stretch>
                      <a:fillRect/>
                    </a:stretch>
                  </pic:blipFill>
                  <pic:spPr bwMode="auto">
                    <a:xfrm>
                      <a:off x="0" y="0"/>
                      <a:ext cx="5205730" cy="3686335"/>
                    </a:xfrm>
                    <a:prstGeom prst="rect">
                      <a:avLst/>
                    </a:prstGeom>
                    <a:noFill/>
                    <a:ln w="9525">
                      <a:noFill/>
                      <a:miter lim="800000"/>
                      <a:headEnd/>
                      <a:tailEnd/>
                    </a:ln>
                  </pic:spPr>
                </pic:pic>
              </a:graphicData>
            </a:graphic>
          </wp:inline>
        </w:drawing>
      </w:r>
    </w:p>
    <w:p w:rsidR="007A4246" w:rsidRPr="003C57F3" w:rsidRDefault="007A4246" w:rsidP="007A4246">
      <w:pPr>
        <w:pStyle w:val="Caption"/>
        <w:spacing w:line="480" w:lineRule="auto"/>
        <w:jc w:val="center"/>
      </w:pPr>
      <w:bookmarkStart w:id="160" w:name="_Ref442881330"/>
      <w:bookmarkStart w:id="161" w:name="_Ref442881924"/>
      <w:r>
        <w:t>Figure</w:t>
      </w:r>
      <w:bookmarkEnd w:id="160"/>
      <w:r>
        <w:t xml:space="preserv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5</w:t>
      </w:r>
      <w:r w:rsidR="0075172E">
        <w:fldChar w:fldCharType="end"/>
      </w:r>
      <w:bookmarkEnd w:id="161"/>
      <w:r>
        <w:t xml:space="preserve">: </w:t>
      </w:r>
      <w:r w:rsidRPr="00E6265B">
        <w:t xml:space="preserve">ITC binding isotherm for the interaction of 6 mM </w:t>
      </w:r>
      <w:r>
        <w:t xml:space="preserve">potassium </w:t>
      </w:r>
      <w:r w:rsidRPr="00E6265B">
        <w:t>phytate and 0.4 mM lysozyme in 10 mM ammonium acetate pH 4. 10</w:t>
      </w:r>
      <w:r w:rsidRPr="00E6265B">
        <w:sym w:font="Mathematica1" w:char="F0B0"/>
      </w:r>
      <w:r w:rsidRPr="00E6265B">
        <w:t>C</w:t>
      </w:r>
      <w:r>
        <w:t xml:space="preserve"> </w:t>
      </w:r>
      <w:r w:rsidRPr="00E6265B">
        <w:t>(</w:t>
      </w:r>
      <w:r w:rsidR="00BA50F4">
        <w:t>open triangles</w:t>
      </w:r>
      <w:r>
        <w:t xml:space="preserve">), </w:t>
      </w:r>
      <w:r w:rsidRPr="00E6265B">
        <w:t>25</w:t>
      </w:r>
      <w:r w:rsidRPr="00E6265B">
        <w:sym w:font="Mathematica1" w:char="F0B0"/>
      </w:r>
      <w:r w:rsidRPr="00E6265B">
        <w:t>C</w:t>
      </w:r>
      <w:r>
        <w:t xml:space="preserve"> </w:t>
      </w:r>
      <w:r w:rsidRPr="00E6265B">
        <w:t>(</w:t>
      </w:r>
      <w:r w:rsidR="00BA50F4">
        <w:t>closed circles</w:t>
      </w:r>
      <w:r w:rsidRPr="00E6265B">
        <w:t>) 40</w:t>
      </w:r>
      <w:r w:rsidRPr="00E6265B">
        <w:sym w:font="Mathematica1" w:char="F0B0"/>
      </w:r>
      <w:r w:rsidRPr="00E6265B">
        <w:t>C</w:t>
      </w:r>
      <w:r>
        <w:t xml:space="preserve"> </w:t>
      </w:r>
      <w:r w:rsidRPr="00E6265B">
        <w:t>(</w:t>
      </w:r>
      <w:r>
        <w:t xml:space="preserve">open </w:t>
      </w:r>
      <w:r w:rsidR="00BA50F4">
        <w:t>squares</w:t>
      </w:r>
      <w:r>
        <w:t>).</w:t>
      </w:r>
    </w:p>
    <w:p w:rsidR="007A4246" w:rsidRDefault="007A4246" w:rsidP="008E6BF7">
      <w:pPr>
        <w:spacing w:line="480" w:lineRule="auto"/>
        <w:jc w:val="both"/>
        <w:rPr>
          <w:bCs/>
        </w:rPr>
      </w:pPr>
    </w:p>
    <w:p w:rsidR="00865E4B" w:rsidRDefault="00865E4B" w:rsidP="008E6BF7">
      <w:pPr>
        <w:spacing w:line="480" w:lineRule="auto"/>
        <w:jc w:val="both"/>
        <w:rPr>
          <w:bCs/>
        </w:rPr>
      </w:pPr>
    </w:p>
    <w:p w:rsidR="00865E4B" w:rsidRDefault="00865E4B" w:rsidP="008E6BF7">
      <w:pPr>
        <w:spacing w:line="480" w:lineRule="auto"/>
        <w:jc w:val="both"/>
        <w:rPr>
          <w:bCs/>
        </w:rPr>
      </w:pPr>
    </w:p>
    <w:p w:rsidR="00865E4B" w:rsidRDefault="00865E4B" w:rsidP="008E6BF7">
      <w:pPr>
        <w:spacing w:line="480" w:lineRule="auto"/>
        <w:jc w:val="both"/>
        <w:rPr>
          <w:bCs/>
        </w:rPr>
      </w:pPr>
    </w:p>
    <w:p w:rsidR="00865E4B" w:rsidRDefault="00865E4B" w:rsidP="008E6BF7">
      <w:pPr>
        <w:spacing w:line="480" w:lineRule="auto"/>
        <w:jc w:val="both"/>
        <w:rPr>
          <w:bCs/>
        </w:rPr>
      </w:pPr>
    </w:p>
    <w:p w:rsidR="00865E4B" w:rsidRDefault="00865E4B" w:rsidP="008E6BF7">
      <w:pPr>
        <w:spacing w:line="480" w:lineRule="auto"/>
        <w:jc w:val="both"/>
        <w:rPr>
          <w:bCs/>
        </w:rPr>
      </w:pPr>
    </w:p>
    <w:p w:rsidR="00865E4B" w:rsidRDefault="00865E4B" w:rsidP="008E6BF7">
      <w:pPr>
        <w:spacing w:line="480" w:lineRule="auto"/>
        <w:jc w:val="both"/>
        <w:rPr>
          <w:bCs/>
        </w:rPr>
      </w:pPr>
    </w:p>
    <w:p w:rsidR="00865E4B" w:rsidRDefault="00865E4B" w:rsidP="008E6BF7">
      <w:pPr>
        <w:spacing w:line="480" w:lineRule="auto"/>
        <w:jc w:val="both"/>
        <w:rPr>
          <w:bCs/>
        </w:rPr>
      </w:pPr>
    </w:p>
    <w:p w:rsidR="00865E4B" w:rsidRPr="007B2FA4" w:rsidRDefault="00040F10" w:rsidP="008E6BF7">
      <w:pPr>
        <w:spacing w:line="480" w:lineRule="auto"/>
        <w:jc w:val="both"/>
        <w:rPr>
          <w:bCs/>
        </w:rPr>
      </w:pPr>
      <w:r>
        <w:rPr>
          <w:bCs/>
          <w:noProof/>
          <w:lang w:eastAsia="en-GB"/>
        </w:rPr>
        <w:pict>
          <v:shape id="_x0000_s1111" type="#_x0000_t202" style="position:absolute;left:0;text-align:left;margin-left:187.35pt;margin-top:33.85pt;width:87.05pt;height:17.6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F00730">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      Time (s)</w:t>
                  </w:r>
                </w:p>
              </w:txbxContent>
            </v:textbox>
          </v:shape>
        </w:pict>
      </w:r>
    </w:p>
    <w:p w:rsidR="008E6BF7" w:rsidRDefault="00040F10" w:rsidP="008E6BF7">
      <w:pPr>
        <w:keepNext/>
        <w:spacing w:line="480" w:lineRule="auto"/>
        <w:jc w:val="center"/>
      </w:pPr>
      <w:r>
        <w:rPr>
          <w:noProof/>
          <w:lang w:eastAsia="en-GB"/>
        </w:rPr>
        <w:pict>
          <v:shape id="_x0000_s1110" type="#_x0000_t202" style="position:absolute;left:0;text-align:left;margin-left:-.8pt;margin-top:20.5pt;width:26.15pt;height:228.8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C27A17">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Normalised Fit (kJ/mol)        Raw Heat Rate (µJ/s)</w:t>
                  </w:r>
                </w:p>
              </w:txbxContent>
            </v:textbox>
          </v:shape>
        </w:pict>
      </w:r>
      <w:r>
        <w:rPr>
          <w:noProof/>
          <w:lang w:eastAsia="en-GB"/>
        </w:rPr>
        <w:pict>
          <v:shape id="_x0000_s1112" type="#_x0000_t202" style="position:absolute;left:0;text-align:left;margin-left:183.55pt;margin-top:254.25pt;width:87.05pt;height:17.6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27A1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    </w:t>
                  </w:r>
                  <w:r w:rsidRPr="00B141B9">
                    <w:rPr>
                      <w:rFonts w:ascii="Arial" w:hAnsi="Arial" w:cs="Arial"/>
                      <w:b/>
                      <w:color w:val="262626" w:themeColor="text1" w:themeTint="D9"/>
                      <w:sz w:val="18"/>
                      <w:szCs w:val="18"/>
                    </w:rPr>
                    <w:t>Mole Ratio</w:t>
                  </w:r>
                </w:p>
              </w:txbxContent>
            </v:textbox>
          </v:shape>
        </w:pict>
      </w:r>
      <w:r>
        <w:rPr>
          <w:noProof/>
          <w:lang w:eastAsia="en-GB"/>
        </w:rPr>
        <w:pict>
          <v:shape id="Text Box 71" o:spid="_x0000_s1047" type="#_x0000_t202" style="position:absolute;left:0;text-align:left;margin-left:65.85pt;margin-top:137.9pt;width:17.25pt;height:48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" strokecolor="white [3212]">
            <v:textbox>
              <w:txbxContent>
                <w:p w:rsidR="003A5686" w:rsidRDefault="003A5686" w:rsidP="00856772"/>
              </w:txbxContent>
            </v:textbox>
          </v:shape>
        </w:pict>
      </w:r>
      <w:r w:rsidR="00D62013">
        <w:rPr>
          <w:noProof/>
          <w:lang w:eastAsia="en-GB"/>
        </w:rPr>
        <w:drawing>
          <wp:inline distT="0" distB="0" distL="0" distR="0" wp14:anchorId="1A52AB00" wp14:editId="7076E4FB">
            <wp:extent cx="5418213" cy="334800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cstate="print"/>
                    <a:srcRect/>
                    <a:stretch>
                      <a:fillRect/>
                    </a:stretch>
                  </pic:blipFill>
                  <pic:spPr bwMode="auto">
                    <a:xfrm>
                      <a:off x="0" y="0"/>
                      <a:ext cx="5418213" cy="3348000"/>
                    </a:xfrm>
                    <a:prstGeom prst="rect">
                      <a:avLst/>
                    </a:prstGeom>
                    <a:noFill/>
                    <a:ln w="9525">
                      <a:noFill/>
                      <a:miter lim="800000"/>
                      <a:headEnd/>
                      <a:tailEnd/>
                    </a:ln>
                  </pic:spPr>
                </pic:pic>
              </a:graphicData>
            </a:graphic>
          </wp:inline>
        </w:drawing>
      </w:r>
    </w:p>
    <w:p w:rsidR="008E6BF7" w:rsidRDefault="008E6BF7" w:rsidP="008E6BF7">
      <w:pPr>
        <w:pStyle w:val="Caption"/>
        <w:spacing w:line="480" w:lineRule="auto"/>
        <w:jc w:val="center"/>
      </w:pPr>
      <w:bookmarkStart w:id="162" w:name="_Ref442881276"/>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6</w:t>
      </w:r>
      <w:r w:rsidR="0075172E">
        <w:fldChar w:fldCharType="end"/>
      </w:r>
      <w:bookmarkEnd w:id="162"/>
      <w:r>
        <w:t xml:space="preserve">: Upper: </w:t>
      </w:r>
      <w:r w:rsidR="00D31B90">
        <w:t>Thermogram</w:t>
      </w:r>
      <w:r>
        <w:t xml:space="preserve"> for the interaction of </w:t>
      </w:r>
      <w:r w:rsidRPr="003C57F3">
        <w:t xml:space="preserve">6 mM </w:t>
      </w:r>
      <w:r>
        <w:t xml:space="preserve">impure sodium </w:t>
      </w:r>
      <w:r w:rsidRPr="003C57F3">
        <w:t xml:space="preserve">phytate and 0.4 mM lysozyme in 10 mM ammonium acetate pH </w:t>
      </w:r>
      <w:r>
        <w:t>4 at 25</w:t>
      </w:r>
      <w:r w:rsidRPr="003C57F3">
        <w:sym w:font="Mathematica1" w:char="F0B0"/>
      </w:r>
      <w:r w:rsidRPr="003C57F3">
        <w:t>C</w:t>
      </w:r>
      <w:r>
        <w:t xml:space="preserve">. Lower: </w:t>
      </w:r>
      <w:r w:rsidRPr="003C57F3">
        <w:t>ITC binding isotherm for the</w:t>
      </w:r>
      <w:r>
        <w:t xml:space="preserve"> same</w:t>
      </w:r>
      <w:r w:rsidRPr="003C57F3">
        <w:t xml:space="preserve"> interaction </w:t>
      </w:r>
      <w:r w:rsidR="00865E4B">
        <w:t xml:space="preserve">(closed </w:t>
      </w:r>
      <w:r>
        <w:t xml:space="preserve">triangles). Acetate titrated into </w:t>
      </w:r>
      <w:r w:rsidRPr="00940180">
        <w:t>lysozyme</w:t>
      </w:r>
      <w:r>
        <w:t xml:space="preserve"> </w:t>
      </w:r>
      <w:r w:rsidRPr="00940180">
        <w:t xml:space="preserve">(Crosses). </w:t>
      </w:r>
      <w:r>
        <w:t xml:space="preserve">Phytate titrated into </w:t>
      </w:r>
      <w:r w:rsidRPr="00940180">
        <w:t>acetate</w:t>
      </w:r>
      <w:r>
        <w:t xml:space="preserve"> </w:t>
      </w:r>
      <w:r w:rsidRPr="00940180">
        <w:t xml:space="preserve">(Open </w:t>
      </w:r>
      <w:r>
        <w:t>triangles)</w:t>
      </w:r>
      <w:r w:rsidRPr="00940180">
        <w:t>.</w:t>
      </w:r>
      <w:r w:rsidR="00865E4B">
        <w:t xml:space="preserve"> The solid line represents single site binding model fit.</w:t>
      </w:r>
    </w:p>
    <w:p w:rsidR="00865E4B" w:rsidRDefault="00865E4B" w:rsidP="00865E4B"/>
    <w:p w:rsidR="00865E4B" w:rsidRDefault="00865E4B" w:rsidP="00865E4B"/>
    <w:p w:rsidR="00865E4B" w:rsidRDefault="00865E4B" w:rsidP="00865E4B"/>
    <w:p w:rsidR="00865E4B" w:rsidRDefault="00865E4B" w:rsidP="00865E4B"/>
    <w:p w:rsidR="00865E4B" w:rsidRDefault="00865E4B" w:rsidP="00865E4B"/>
    <w:p w:rsidR="00865E4B" w:rsidRDefault="00865E4B" w:rsidP="00865E4B"/>
    <w:p w:rsidR="00865E4B" w:rsidRDefault="00865E4B" w:rsidP="00865E4B"/>
    <w:p w:rsidR="00865E4B" w:rsidRDefault="00865E4B" w:rsidP="00865E4B"/>
    <w:p w:rsidR="00865E4B" w:rsidRDefault="00865E4B" w:rsidP="00865E4B"/>
    <w:p w:rsidR="00865E4B" w:rsidRDefault="00865E4B" w:rsidP="00865E4B"/>
    <w:p w:rsidR="00865E4B" w:rsidRDefault="00865E4B" w:rsidP="00865E4B"/>
    <w:p w:rsidR="00865E4B" w:rsidRPr="00865E4B" w:rsidRDefault="00040F10" w:rsidP="00865E4B">
      <w:r>
        <w:rPr>
          <w:noProof/>
          <w:lang w:eastAsia="en-GB"/>
        </w:rPr>
        <w:pict>
          <v:shape id="_x0000_s1114" type="#_x0000_t202" style="position:absolute;margin-left:177.25pt;margin-top:19.8pt;width:87.05pt;height:17.2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27A17">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     Time (s)</w:t>
                  </w:r>
                </w:p>
              </w:txbxContent>
            </v:textbox>
          </v:shape>
        </w:pict>
      </w:r>
    </w:p>
    <w:p w:rsidR="008E6BF7" w:rsidRDefault="00040F10" w:rsidP="008E6BF7">
      <w:pPr>
        <w:keepNext/>
        <w:spacing w:line="480" w:lineRule="auto"/>
        <w:jc w:val="center"/>
      </w:pPr>
      <w:r>
        <w:rPr>
          <w:noProof/>
          <w:lang w:eastAsia="en-GB"/>
        </w:rPr>
        <w:pict>
          <v:shape id="_x0000_s1115" type="#_x0000_t202" style="position:absolute;left:0;text-align:left;margin-left:190.3pt;margin-top:251.25pt;width:87.05pt;height:17.6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27A17">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noProof/>
          <w:lang w:eastAsia="en-GB"/>
        </w:rPr>
        <w:pict>
          <v:shape id="_x0000_s1113" type="#_x0000_t202" style="position:absolute;left:0;text-align:left;margin-left:11.2pt;margin-top:27.25pt;width:26.15pt;height:219.7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C27A17">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        Raw Heat Rate (µJ/s)</w:t>
                  </w:r>
                </w:p>
              </w:txbxContent>
            </v:textbox>
          </v:shape>
        </w:pict>
      </w:r>
      <w:r>
        <w:rPr>
          <w:noProof/>
          <w:lang w:eastAsia="en-GB"/>
        </w:rPr>
        <w:pict>
          <v:shape id="Text Box 72" o:spid="_x0000_s1048" type="#_x0000_t202" style="position:absolute;left:0;text-align:left;margin-left:78.45pt;margin-top:134.3pt;width:12.15pt;height:37.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" strokecolor="white [3212]">
            <v:textbox>
              <w:txbxContent>
                <w:p w:rsidR="003A5686" w:rsidRDefault="003A5686" w:rsidP="00856772"/>
              </w:txbxContent>
            </v:textbox>
          </v:shape>
        </w:pict>
      </w:r>
      <w:r w:rsidR="00D62013">
        <w:rPr>
          <w:noProof/>
          <w:lang w:eastAsia="en-GB"/>
        </w:rPr>
        <w:drawing>
          <wp:inline distT="0" distB="0" distL="0" distR="0" wp14:anchorId="1C3B640D" wp14:editId="2D7A0BBC">
            <wp:extent cx="5247438" cy="33480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 cstate="print"/>
                    <a:srcRect/>
                    <a:stretch>
                      <a:fillRect/>
                    </a:stretch>
                  </pic:blipFill>
                  <pic:spPr bwMode="auto">
                    <a:xfrm>
                      <a:off x="0" y="0"/>
                      <a:ext cx="5247438" cy="3348000"/>
                    </a:xfrm>
                    <a:prstGeom prst="rect">
                      <a:avLst/>
                    </a:prstGeom>
                    <a:noFill/>
                    <a:ln w="9525">
                      <a:noFill/>
                      <a:miter lim="800000"/>
                      <a:headEnd/>
                      <a:tailEnd/>
                    </a:ln>
                  </pic:spPr>
                </pic:pic>
              </a:graphicData>
            </a:graphic>
          </wp:inline>
        </w:drawing>
      </w:r>
    </w:p>
    <w:p w:rsidR="00BD6650" w:rsidRDefault="008E6BF7" w:rsidP="00D62013">
      <w:pPr>
        <w:pStyle w:val="Caption"/>
        <w:spacing w:line="480" w:lineRule="auto"/>
        <w:jc w:val="center"/>
      </w:pPr>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7</w:t>
      </w:r>
      <w:r w:rsidR="0075172E">
        <w:fldChar w:fldCharType="end"/>
      </w:r>
      <w:r>
        <w:t xml:space="preserve">: Upper: Thermogram </w:t>
      </w:r>
      <w:r w:rsidRPr="003C57F3">
        <w:t xml:space="preserve">6 mM </w:t>
      </w:r>
      <w:r>
        <w:t xml:space="preserve">impure sodium </w:t>
      </w:r>
      <w:r w:rsidRPr="003C57F3">
        <w:t>phytate and 0.4 mM lysozyme in 10 mM ammonium acetate pH 4 at 40</w:t>
      </w:r>
      <w:r w:rsidRPr="003C57F3">
        <w:sym w:font="Mathematica1" w:char="F0B0"/>
      </w:r>
      <w:r w:rsidRPr="003C57F3">
        <w:t>C</w:t>
      </w:r>
      <w:r>
        <w:t xml:space="preserve"> Lower: </w:t>
      </w:r>
      <w:r w:rsidRPr="003C57F3">
        <w:t>ITC binding isotherm for the interaction</w:t>
      </w:r>
      <w:r>
        <w:t xml:space="preserve"> (closed triangles)</w:t>
      </w:r>
      <w:r w:rsidRPr="003C57F3">
        <w:t xml:space="preserve">. </w:t>
      </w:r>
      <w:r>
        <w:t>A</w:t>
      </w:r>
      <w:r w:rsidRPr="00940180">
        <w:t>cetate titrated into lysozyme</w:t>
      </w:r>
      <w:r>
        <w:t xml:space="preserve"> </w:t>
      </w:r>
      <w:r w:rsidRPr="00940180">
        <w:t xml:space="preserve">(Crosses). </w:t>
      </w:r>
      <w:r>
        <w:t xml:space="preserve">Phytate </w:t>
      </w:r>
      <w:r w:rsidRPr="00940180">
        <w:t>titrated into acetate</w:t>
      </w:r>
      <w:r>
        <w:t xml:space="preserve"> </w:t>
      </w:r>
      <w:r w:rsidRPr="00940180">
        <w:t xml:space="preserve">(Open </w:t>
      </w:r>
      <w:r>
        <w:t>triangles)</w:t>
      </w:r>
      <w:r w:rsidRPr="00940180">
        <w:t>.</w:t>
      </w:r>
      <w:r w:rsidR="00865E4B">
        <w:t xml:space="preserve"> The solid line represents single site binding model fit.</w:t>
      </w:r>
      <w:r w:rsidR="00066430" w:rsidRPr="00066430">
        <w:t xml:space="preserve"> </w:t>
      </w:r>
    </w:p>
    <w:p w:rsidR="00865E4B" w:rsidRDefault="00865E4B" w:rsidP="00865E4B"/>
    <w:p w:rsidR="00865E4B" w:rsidRDefault="00865E4B" w:rsidP="00865E4B"/>
    <w:p w:rsidR="00865E4B" w:rsidRDefault="00865E4B" w:rsidP="00865E4B"/>
    <w:p w:rsidR="00865E4B" w:rsidRDefault="00865E4B" w:rsidP="00865E4B"/>
    <w:p w:rsidR="00865E4B" w:rsidRDefault="00865E4B" w:rsidP="00865E4B"/>
    <w:p w:rsidR="00865E4B" w:rsidRDefault="00865E4B" w:rsidP="00865E4B"/>
    <w:p w:rsidR="007D4A3C" w:rsidRPr="002D14E1" w:rsidRDefault="007D4A3C" w:rsidP="008E6BF7"/>
    <w:p w:rsidR="008E6BF7" w:rsidRDefault="008E6BF7" w:rsidP="00066430">
      <w:pPr>
        <w:pStyle w:val="Caption"/>
        <w:spacing w:line="480" w:lineRule="auto"/>
        <w:jc w:val="center"/>
      </w:pPr>
      <w:bookmarkStart w:id="163" w:name="_Ref442980324"/>
      <w:bookmarkStart w:id="164" w:name="_Ref443229009"/>
      <w:r>
        <w:t>Table</w:t>
      </w:r>
      <w:bookmarkEnd w:id="163"/>
      <w:r w:rsidR="00BD6650">
        <w:t xml:space="preserve"> </w:t>
      </w:r>
      <w:r w:rsidR="0075172E">
        <w:fldChar w:fldCharType="begin"/>
      </w:r>
      <w:r w:rsidR="00AC2227">
        <w:instrText xml:space="preserve"> STYLEREF 1 \s </w:instrText>
      </w:r>
      <w:r w:rsidR="0075172E">
        <w:fldChar w:fldCharType="separate"/>
      </w:r>
      <w:r w:rsidR="00E71593">
        <w:rPr>
          <w:noProof/>
        </w:rPr>
        <w:t>4</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1</w:t>
      </w:r>
      <w:r w:rsidR="0075172E">
        <w:fldChar w:fldCharType="end"/>
      </w:r>
      <w:bookmarkEnd w:id="164"/>
      <w:r>
        <w:t xml:space="preserve">: </w:t>
      </w:r>
      <w:r w:rsidRPr="00C844A5">
        <w:rPr>
          <w:iCs/>
        </w:rPr>
        <w:t xml:space="preserve">Thermodynamic values derived from ITC binding isotherms for phytate-lysozyme interaction using the one site model at 10, 25 and 40 </w:t>
      </w:r>
      <w:r w:rsidRPr="00C844A5">
        <w:rPr>
          <w:iCs/>
        </w:rPr>
        <w:sym w:font="Mathematica1" w:char="F0B0"/>
      </w:r>
      <w:r w:rsidRPr="00C844A5">
        <w:rPr>
          <w:iCs/>
        </w:rPr>
        <w:t xml:space="preserve">C. * Undialysed lysozyme and impure </w:t>
      </w:r>
      <w:r>
        <w:rPr>
          <w:iCs/>
        </w:rPr>
        <w:t xml:space="preserve">sodium </w:t>
      </w:r>
      <w:r w:rsidRPr="00C844A5">
        <w:rPr>
          <w:iCs/>
        </w:rPr>
        <w:t>phytate.</w:t>
      </w:r>
      <w:r>
        <w:rPr>
          <w:iCs/>
        </w:rPr>
        <w:t xml:space="preserve"> The other values are derived from ITC binding isotherms belonging to the interaction between potassium phytate and dialysed lysozyme. </w:t>
      </w:r>
      <w:r w:rsidR="00066430">
        <w:rPr>
          <w:iCs/>
        </w:rPr>
        <w:t>The standard error (bold) and the confidence intervals (italics) are in brackets.</w:t>
      </w:r>
    </w:p>
    <w:tbl>
      <w:tblPr>
        <w:tblW w:w="3220" w:type="pct"/>
        <w:jc w:val="center"/>
        <w:tblCellMar>
          <w:left w:w="0" w:type="dxa"/>
          <w:right w:w="0" w:type="dxa"/>
        </w:tblCellMar>
        <w:tblLook w:val="04A0" w:firstRow="1" w:lastRow="0" w:firstColumn="1" w:lastColumn="0" w:noHBand="0" w:noVBand="1"/>
      </w:tblPr>
      <w:tblGrid>
        <w:gridCol w:w="1087"/>
        <w:gridCol w:w="993"/>
        <w:gridCol w:w="1196"/>
        <w:gridCol w:w="993"/>
        <w:gridCol w:w="1150"/>
      </w:tblGrid>
      <w:tr w:rsidR="008E6BF7" w:rsidRPr="006700E3" w:rsidTr="003661FA">
        <w:trPr>
          <w:trHeight w:val="1080"/>
          <w:jc w:val="center"/>
        </w:trPr>
        <w:tc>
          <w:tcPr>
            <w:tcW w:w="949" w:type="pct"/>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DA63BD" w:rsidRDefault="008E6BF7" w:rsidP="003661FA">
            <w:pPr>
              <w:spacing w:line="480" w:lineRule="auto"/>
              <w:jc w:val="center"/>
              <w:rPr>
                <w:b/>
                <w:bCs/>
                <w:iCs/>
                <w:sz w:val="16"/>
                <w:szCs w:val="16"/>
              </w:rPr>
            </w:pPr>
            <w:r w:rsidRPr="00DA63BD">
              <w:rPr>
                <w:b/>
                <w:bCs/>
                <w:iCs/>
                <w:sz w:val="16"/>
                <w:szCs w:val="16"/>
              </w:rPr>
              <w:t>Temperature</w:t>
            </w:r>
          </w:p>
          <w:p w:rsidR="008E6BF7" w:rsidRPr="00DA63BD" w:rsidRDefault="008E6BF7" w:rsidP="003661FA">
            <w:pPr>
              <w:spacing w:line="480" w:lineRule="auto"/>
              <w:jc w:val="center"/>
              <w:rPr>
                <w:b/>
                <w:bCs/>
                <w:iCs/>
                <w:sz w:val="16"/>
                <w:szCs w:val="16"/>
              </w:rPr>
            </w:pPr>
            <w:r w:rsidRPr="00DA63BD">
              <w:rPr>
                <w:b/>
                <w:bCs/>
                <w:iCs/>
                <w:sz w:val="16"/>
                <w:szCs w:val="16"/>
              </w:rPr>
              <w:t>(°C)</w:t>
            </w:r>
          </w:p>
        </w:tc>
        <w:tc>
          <w:tcPr>
            <w:tcW w:w="955" w:type="pct"/>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DA63BD" w:rsidRDefault="00DA7437" w:rsidP="003661FA">
            <w:pPr>
              <w:spacing w:line="480" w:lineRule="auto"/>
              <w:jc w:val="center"/>
              <w:rPr>
                <w:b/>
                <w:bCs/>
                <w:iCs/>
                <w:sz w:val="16"/>
                <w:szCs w:val="16"/>
              </w:rPr>
            </w:pPr>
            <w:r>
              <w:rPr>
                <w:b/>
                <w:bCs/>
                <w:iCs/>
                <w:sz w:val="16"/>
                <w:szCs w:val="16"/>
              </w:rPr>
              <w:t>-</w:t>
            </w:r>
            <w:r w:rsidR="008E6BF7" w:rsidRPr="00DA63BD">
              <w:rPr>
                <w:b/>
                <w:bCs/>
                <w:iCs/>
                <w:sz w:val="16"/>
                <w:szCs w:val="16"/>
              </w:rPr>
              <w:t>Δ</w:t>
            </w:r>
            <w:r w:rsidR="008E6BF7" w:rsidRPr="00DA63BD">
              <w:rPr>
                <w:b/>
                <w:bCs/>
                <w:i/>
                <w:iCs/>
                <w:sz w:val="16"/>
                <w:szCs w:val="16"/>
              </w:rPr>
              <w:t>H</w:t>
            </w:r>
            <w:r w:rsidR="008E6BF7" w:rsidRPr="00DA63BD">
              <w:rPr>
                <w:b/>
                <w:bCs/>
                <w:iCs/>
                <w:sz w:val="16"/>
                <w:szCs w:val="16"/>
              </w:rPr>
              <w:t> </w:t>
            </w:r>
          </w:p>
          <w:p w:rsidR="008E6BF7" w:rsidRPr="00DA63BD" w:rsidRDefault="008E6BF7" w:rsidP="003661FA">
            <w:pPr>
              <w:spacing w:line="480" w:lineRule="auto"/>
              <w:jc w:val="center"/>
              <w:rPr>
                <w:b/>
                <w:bCs/>
                <w:iCs/>
                <w:sz w:val="16"/>
                <w:szCs w:val="16"/>
              </w:rPr>
            </w:pPr>
            <w:r w:rsidRPr="00DA63BD">
              <w:rPr>
                <w:b/>
                <w:bCs/>
                <w:iCs/>
                <w:sz w:val="16"/>
                <w:szCs w:val="16"/>
              </w:rPr>
              <w:t>(kJ/mol)</w:t>
            </w:r>
          </w:p>
          <w:p w:rsidR="008E6BF7" w:rsidRPr="00DA63BD" w:rsidRDefault="008E6BF7" w:rsidP="003661FA">
            <w:pPr>
              <w:spacing w:line="480" w:lineRule="auto"/>
              <w:jc w:val="center"/>
              <w:rPr>
                <w:b/>
                <w:bCs/>
                <w:iCs/>
                <w:sz w:val="16"/>
                <w:szCs w:val="16"/>
              </w:rPr>
            </w:pPr>
          </w:p>
        </w:tc>
        <w:tc>
          <w:tcPr>
            <w:tcW w:w="1142" w:type="pct"/>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DA63BD" w:rsidRDefault="008E6BF7" w:rsidP="003661FA">
            <w:pPr>
              <w:spacing w:line="480" w:lineRule="auto"/>
              <w:jc w:val="center"/>
              <w:rPr>
                <w:b/>
                <w:bCs/>
                <w:iCs/>
                <w:sz w:val="16"/>
                <w:szCs w:val="16"/>
              </w:rPr>
            </w:pPr>
            <w:r w:rsidRPr="00DA63BD">
              <w:rPr>
                <w:b/>
                <w:bCs/>
                <w:i/>
                <w:iCs/>
                <w:sz w:val="16"/>
                <w:szCs w:val="16"/>
              </w:rPr>
              <w:t>-T</w:t>
            </w:r>
            <w:r w:rsidRPr="00DA63BD">
              <w:rPr>
                <w:b/>
                <w:bCs/>
                <w:iCs/>
                <w:sz w:val="16"/>
                <w:szCs w:val="16"/>
              </w:rPr>
              <w:t>Δ</w:t>
            </w:r>
            <w:r w:rsidRPr="00DA63BD">
              <w:rPr>
                <w:b/>
                <w:bCs/>
                <w:i/>
                <w:iCs/>
                <w:sz w:val="16"/>
                <w:szCs w:val="16"/>
              </w:rPr>
              <w:t>S</w:t>
            </w:r>
          </w:p>
          <w:p w:rsidR="008E6BF7" w:rsidRPr="00DA63BD" w:rsidRDefault="008E6BF7" w:rsidP="003661FA">
            <w:pPr>
              <w:spacing w:line="480" w:lineRule="auto"/>
              <w:jc w:val="center"/>
              <w:rPr>
                <w:b/>
                <w:bCs/>
                <w:iCs/>
                <w:sz w:val="16"/>
                <w:szCs w:val="16"/>
              </w:rPr>
            </w:pPr>
            <w:r w:rsidRPr="00DA63BD">
              <w:rPr>
                <w:b/>
                <w:bCs/>
                <w:iCs/>
                <w:sz w:val="16"/>
                <w:szCs w:val="16"/>
              </w:rPr>
              <w:t>(kJ/mol)</w:t>
            </w:r>
          </w:p>
        </w:tc>
        <w:tc>
          <w:tcPr>
            <w:tcW w:w="955" w:type="pct"/>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DA63BD" w:rsidRDefault="00DA7437" w:rsidP="003661FA">
            <w:pPr>
              <w:spacing w:line="480" w:lineRule="auto"/>
              <w:jc w:val="center"/>
              <w:rPr>
                <w:b/>
                <w:bCs/>
                <w:iCs/>
                <w:sz w:val="16"/>
                <w:szCs w:val="16"/>
              </w:rPr>
            </w:pPr>
            <w:r>
              <w:rPr>
                <w:b/>
                <w:bCs/>
                <w:iCs/>
                <w:sz w:val="16"/>
                <w:szCs w:val="16"/>
              </w:rPr>
              <w:t>-</w:t>
            </w:r>
            <w:r w:rsidR="008E6BF7" w:rsidRPr="00DA63BD">
              <w:rPr>
                <w:b/>
                <w:bCs/>
                <w:iCs/>
                <w:sz w:val="16"/>
                <w:szCs w:val="16"/>
              </w:rPr>
              <w:t>Δ</w:t>
            </w:r>
            <w:r w:rsidR="008E6BF7" w:rsidRPr="00DA63BD">
              <w:rPr>
                <w:b/>
                <w:bCs/>
                <w:i/>
                <w:iCs/>
                <w:sz w:val="16"/>
                <w:szCs w:val="16"/>
              </w:rPr>
              <w:t>G</w:t>
            </w:r>
          </w:p>
          <w:p w:rsidR="008E6BF7" w:rsidRPr="00DA63BD" w:rsidRDefault="008E6BF7" w:rsidP="003661FA">
            <w:pPr>
              <w:spacing w:line="480" w:lineRule="auto"/>
              <w:jc w:val="center"/>
              <w:rPr>
                <w:b/>
                <w:bCs/>
                <w:iCs/>
                <w:sz w:val="16"/>
                <w:szCs w:val="16"/>
              </w:rPr>
            </w:pPr>
            <w:r w:rsidRPr="00DA63BD">
              <w:rPr>
                <w:b/>
                <w:bCs/>
                <w:iCs/>
                <w:sz w:val="16"/>
                <w:szCs w:val="16"/>
              </w:rPr>
              <w:t>(kJ/mol)</w:t>
            </w:r>
          </w:p>
          <w:p w:rsidR="008E6BF7" w:rsidRPr="00DA63BD" w:rsidRDefault="008E6BF7" w:rsidP="003661FA">
            <w:pPr>
              <w:spacing w:line="480" w:lineRule="auto"/>
              <w:jc w:val="center"/>
              <w:rPr>
                <w:b/>
                <w:bCs/>
                <w:iCs/>
                <w:sz w:val="16"/>
                <w:szCs w:val="16"/>
              </w:rPr>
            </w:pPr>
          </w:p>
        </w:tc>
        <w:tc>
          <w:tcPr>
            <w:tcW w:w="999" w:type="pct"/>
            <w:tcBorders>
              <w:top w:val="single" w:sz="4" w:space="0" w:color="auto"/>
              <w:bottom w:val="single" w:sz="4" w:space="0" w:color="auto"/>
            </w:tcBorders>
            <w:shd w:val="clear" w:color="auto" w:fill="auto"/>
            <w:tcMar>
              <w:top w:w="15" w:type="dxa"/>
              <w:left w:w="108" w:type="dxa"/>
              <w:bottom w:w="0" w:type="dxa"/>
              <w:right w:w="108" w:type="dxa"/>
            </w:tcMar>
            <w:hideMark/>
          </w:tcPr>
          <w:p w:rsidR="008E6BF7" w:rsidRDefault="008E6BF7" w:rsidP="003661FA">
            <w:pPr>
              <w:spacing w:line="480" w:lineRule="auto"/>
              <w:jc w:val="center"/>
              <w:rPr>
                <w:b/>
                <w:bCs/>
                <w:iCs/>
                <w:sz w:val="16"/>
                <w:szCs w:val="16"/>
              </w:rPr>
            </w:pPr>
            <w:r w:rsidRPr="00DA63BD">
              <w:rPr>
                <w:b/>
                <w:bCs/>
                <w:iCs/>
                <w:sz w:val="16"/>
                <w:szCs w:val="16"/>
              </w:rPr>
              <w:t>Stoichiometry</w:t>
            </w:r>
          </w:p>
          <w:p w:rsidR="00DA7437" w:rsidRPr="0050110E" w:rsidRDefault="00DA7437" w:rsidP="003661FA">
            <w:pPr>
              <w:spacing w:line="480" w:lineRule="auto"/>
              <w:jc w:val="center"/>
              <w:rPr>
                <w:b/>
                <w:bCs/>
                <w:i/>
                <w:iCs/>
                <w:sz w:val="16"/>
                <w:szCs w:val="16"/>
              </w:rPr>
            </w:pPr>
            <w:r w:rsidRPr="0050110E">
              <w:rPr>
                <w:b/>
                <w:bCs/>
                <w:i/>
                <w:iCs/>
                <w:sz w:val="16"/>
                <w:szCs w:val="16"/>
              </w:rPr>
              <w:t>n</w:t>
            </w:r>
          </w:p>
        </w:tc>
      </w:tr>
      <w:tr w:rsidR="008E6BF7" w:rsidRPr="006700E3" w:rsidTr="003661FA">
        <w:trPr>
          <w:trHeight w:val="213"/>
          <w:jc w:val="center"/>
        </w:trPr>
        <w:tc>
          <w:tcPr>
            <w:tcW w:w="949" w:type="pct"/>
            <w:tcBorders>
              <w:top w:val="single" w:sz="4" w:space="0" w:color="auto"/>
            </w:tcBorders>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10</w:t>
            </w:r>
          </w:p>
        </w:tc>
        <w:tc>
          <w:tcPr>
            <w:tcW w:w="955" w:type="pct"/>
            <w:tcBorders>
              <w:top w:val="single" w:sz="4" w:space="0" w:color="auto"/>
            </w:tcBorders>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31.7</w:t>
            </w:r>
          </w:p>
          <w:p w:rsidR="008E6BF7" w:rsidRDefault="006B2584" w:rsidP="003661FA">
            <w:pPr>
              <w:spacing w:line="480" w:lineRule="auto"/>
              <w:jc w:val="center"/>
              <w:rPr>
                <w:b/>
                <w:bCs/>
                <w:iCs/>
                <w:sz w:val="16"/>
                <w:szCs w:val="16"/>
              </w:rPr>
            </w:pPr>
            <w:r w:rsidRPr="00635056">
              <w:rPr>
                <w:b/>
                <w:bCs/>
                <w:iCs/>
                <w:sz w:val="16"/>
                <w:szCs w:val="16"/>
              </w:rPr>
              <w:t>(±0.6</w:t>
            </w:r>
            <w:r w:rsidR="008E6BF7" w:rsidRPr="00635056">
              <w:rPr>
                <w:b/>
                <w:bCs/>
                <w:iCs/>
                <w:sz w:val="16"/>
                <w:szCs w:val="16"/>
              </w:rPr>
              <w:t>)</w:t>
            </w:r>
          </w:p>
          <w:p w:rsidR="00546851" w:rsidRPr="00635056" w:rsidRDefault="00546851" w:rsidP="003661FA">
            <w:pPr>
              <w:spacing w:line="480" w:lineRule="auto"/>
              <w:jc w:val="center"/>
              <w:rPr>
                <w:b/>
                <w:bCs/>
                <w:iCs/>
                <w:sz w:val="16"/>
                <w:szCs w:val="16"/>
              </w:rPr>
            </w:pPr>
            <w:r w:rsidRPr="00B328E3">
              <w:rPr>
                <w:bCs/>
                <w:i/>
                <w:iCs/>
                <w:sz w:val="16"/>
                <w:szCs w:val="16"/>
              </w:rPr>
              <w:t>(±</w:t>
            </w:r>
            <w:r>
              <w:rPr>
                <w:bCs/>
                <w:i/>
                <w:iCs/>
                <w:sz w:val="16"/>
                <w:szCs w:val="16"/>
              </w:rPr>
              <w:t>0.9)</w:t>
            </w:r>
          </w:p>
        </w:tc>
        <w:tc>
          <w:tcPr>
            <w:tcW w:w="1142" w:type="pct"/>
            <w:tcBorders>
              <w:top w:val="single" w:sz="4" w:space="0" w:color="auto"/>
            </w:tcBorders>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2.1</w:t>
            </w:r>
            <w:r w:rsidR="00433418">
              <w:rPr>
                <w:bCs/>
                <w:iCs/>
                <w:sz w:val="16"/>
                <w:szCs w:val="16"/>
              </w:rPr>
              <w:t>8</w:t>
            </w:r>
          </w:p>
          <w:p w:rsidR="008E6BF7" w:rsidRPr="00635056" w:rsidRDefault="00165CEA" w:rsidP="003661FA">
            <w:pPr>
              <w:spacing w:line="480" w:lineRule="auto"/>
              <w:jc w:val="center"/>
              <w:rPr>
                <w:b/>
                <w:bCs/>
                <w:iCs/>
                <w:sz w:val="16"/>
                <w:szCs w:val="16"/>
              </w:rPr>
            </w:pPr>
            <w:r w:rsidRPr="00635056">
              <w:rPr>
                <w:b/>
                <w:bCs/>
                <w:iCs/>
                <w:sz w:val="16"/>
                <w:szCs w:val="16"/>
              </w:rPr>
              <w:t>(±0.9</w:t>
            </w:r>
            <w:r w:rsidR="008E6BF7" w:rsidRPr="00635056">
              <w:rPr>
                <w:b/>
                <w:bCs/>
                <w:iCs/>
                <w:sz w:val="16"/>
                <w:szCs w:val="16"/>
              </w:rPr>
              <w:t>)</w:t>
            </w:r>
          </w:p>
        </w:tc>
        <w:tc>
          <w:tcPr>
            <w:tcW w:w="955" w:type="pct"/>
            <w:tcBorders>
              <w:top w:val="single" w:sz="4" w:space="0" w:color="auto"/>
            </w:tcBorders>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29.6</w:t>
            </w:r>
          </w:p>
          <w:p w:rsidR="008E6BF7" w:rsidRDefault="00165CEA" w:rsidP="003661FA">
            <w:pPr>
              <w:spacing w:line="480" w:lineRule="auto"/>
              <w:jc w:val="center"/>
              <w:rPr>
                <w:b/>
                <w:bCs/>
                <w:iCs/>
                <w:sz w:val="16"/>
                <w:szCs w:val="16"/>
              </w:rPr>
            </w:pPr>
            <w:r w:rsidRPr="00635056">
              <w:rPr>
                <w:b/>
                <w:bCs/>
                <w:iCs/>
                <w:sz w:val="16"/>
                <w:szCs w:val="16"/>
              </w:rPr>
              <w:t>(±0.5</w:t>
            </w:r>
            <w:r w:rsidR="008E6BF7" w:rsidRPr="00635056">
              <w:rPr>
                <w:b/>
                <w:bCs/>
                <w:iCs/>
                <w:sz w:val="16"/>
                <w:szCs w:val="16"/>
              </w:rPr>
              <w:t>)</w:t>
            </w:r>
          </w:p>
          <w:p w:rsidR="00861BE3" w:rsidRPr="00635056" w:rsidRDefault="00861BE3" w:rsidP="008643BE">
            <w:pPr>
              <w:spacing w:line="480" w:lineRule="auto"/>
              <w:jc w:val="center"/>
              <w:rPr>
                <w:b/>
                <w:bCs/>
                <w:iCs/>
                <w:sz w:val="16"/>
                <w:szCs w:val="16"/>
              </w:rPr>
            </w:pPr>
            <w:r w:rsidRPr="00B328E3">
              <w:rPr>
                <w:bCs/>
                <w:i/>
                <w:iCs/>
                <w:sz w:val="16"/>
                <w:szCs w:val="16"/>
              </w:rPr>
              <w:t>(±</w:t>
            </w:r>
            <w:r w:rsidR="008643BE">
              <w:rPr>
                <w:bCs/>
                <w:i/>
                <w:iCs/>
                <w:sz w:val="16"/>
                <w:szCs w:val="16"/>
              </w:rPr>
              <w:t>2</w:t>
            </w:r>
            <w:r>
              <w:rPr>
                <w:bCs/>
                <w:i/>
                <w:iCs/>
                <w:sz w:val="16"/>
                <w:szCs w:val="16"/>
              </w:rPr>
              <w:t>)</w:t>
            </w:r>
          </w:p>
        </w:tc>
        <w:tc>
          <w:tcPr>
            <w:tcW w:w="999" w:type="pct"/>
            <w:tcBorders>
              <w:top w:val="single" w:sz="4" w:space="0" w:color="auto"/>
            </w:tcBorders>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1.65</w:t>
            </w:r>
          </w:p>
          <w:p w:rsidR="008E6BF7" w:rsidRDefault="00165CEA" w:rsidP="003661FA">
            <w:pPr>
              <w:spacing w:line="480" w:lineRule="auto"/>
              <w:jc w:val="center"/>
              <w:rPr>
                <w:b/>
                <w:bCs/>
                <w:iCs/>
                <w:sz w:val="16"/>
                <w:szCs w:val="16"/>
              </w:rPr>
            </w:pPr>
            <w:r w:rsidRPr="00635056">
              <w:rPr>
                <w:b/>
                <w:bCs/>
                <w:iCs/>
                <w:sz w:val="16"/>
                <w:szCs w:val="16"/>
              </w:rPr>
              <w:t>(±0.03</w:t>
            </w:r>
            <w:r w:rsidR="008E6BF7" w:rsidRPr="00635056">
              <w:rPr>
                <w:b/>
                <w:bCs/>
                <w:iCs/>
                <w:sz w:val="16"/>
                <w:szCs w:val="16"/>
              </w:rPr>
              <w:t>)</w:t>
            </w:r>
          </w:p>
          <w:p w:rsidR="00861BE3" w:rsidRPr="00635056" w:rsidRDefault="00861BE3" w:rsidP="00861BE3">
            <w:pPr>
              <w:spacing w:line="480" w:lineRule="auto"/>
              <w:jc w:val="center"/>
              <w:rPr>
                <w:b/>
                <w:bCs/>
                <w:iCs/>
                <w:sz w:val="16"/>
                <w:szCs w:val="16"/>
              </w:rPr>
            </w:pPr>
            <w:r w:rsidRPr="00B328E3">
              <w:rPr>
                <w:bCs/>
                <w:i/>
                <w:iCs/>
                <w:sz w:val="16"/>
                <w:szCs w:val="16"/>
              </w:rPr>
              <w:t>(±</w:t>
            </w:r>
            <w:r w:rsidR="008643BE">
              <w:rPr>
                <w:bCs/>
                <w:i/>
                <w:iCs/>
                <w:sz w:val="16"/>
                <w:szCs w:val="16"/>
              </w:rPr>
              <w:t>0.03</w:t>
            </w:r>
            <w:r>
              <w:rPr>
                <w:bCs/>
                <w:i/>
                <w:iCs/>
                <w:sz w:val="16"/>
                <w:szCs w:val="16"/>
              </w:rPr>
              <w:t>)</w:t>
            </w:r>
          </w:p>
        </w:tc>
      </w:tr>
      <w:tr w:rsidR="008E6BF7" w:rsidRPr="006700E3" w:rsidTr="003661FA">
        <w:trPr>
          <w:trHeight w:val="213"/>
          <w:jc w:val="center"/>
        </w:trPr>
        <w:tc>
          <w:tcPr>
            <w:tcW w:w="949" w:type="pct"/>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25</w:t>
            </w:r>
          </w:p>
        </w:tc>
        <w:tc>
          <w:tcPr>
            <w:tcW w:w="955" w:type="pct"/>
            <w:shd w:val="clear" w:color="auto" w:fill="auto"/>
            <w:tcMar>
              <w:top w:w="15" w:type="dxa"/>
              <w:left w:w="108" w:type="dxa"/>
              <w:bottom w:w="0" w:type="dxa"/>
              <w:right w:w="108" w:type="dxa"/>
            </w:tcMar>
          </w:tcPr>
          <w:p w:rsidR="00165CEA" w:rsidRDefault="00165CEA" w:rsidP="003661FA">
            <w:pPr>
              <w:spacing w:line="480" w:lineRule="auto"/>
              <w:jc w:val="center"/>
              <w:rPr>
                <w:bCs/>
                <w:iCs/>
                <w:sz w:val="16"/>
                <w:szCs w:val="16"/>
              </w:rPr>
            </w:pPr>
            <w:r>
              <w:rPr>
                <w:bCs/>
                <w:iCs/>
                <w:sz w:val="16"/>
                <w:szCs w:val="16"/>
              </w:rPr>
              <w:t xml:space="preserve">25.4 </w:t>
            </w:r>
          </w:p>
          <w:p w:rsidR="008E6BF7" w:rsidRDefault="00165CEA" w:rsidP="003661FA">
            <w:pPr>
              <w:spacing w:line="480" w:lineRule="auto"/>
              <w:jc w:val="center"/>
              <w:rPr>
                <w:b/>
                <w:bCs/>
                <w:iCs/>
                <w:sz w:val="16"/>
                <w:szCs w:val="16"/>
              </w:rPr>
            </w:pPr>
            <w:r w:rsidRPr="00635056">
              <w:rPr>
                <w:b/>
                <w:bCs/>
                <w:iCs/>
                <w:sz w:val="16"/>
                <w:szCs w:val="16"/>
              </w:rPr>
              <w:t>(±0.5</w:t>
            </w:r>
            <w:r w:rsidR="008E6BF7" w:rsidRPr="00635056">
              <w:rPr>
                <w:b/>
                <w:bCs/>
                <w:iCs/>
                <w:sz w:val="16"/>
                <w:szCs w:val="16"/>
              </w:rPr>
              <w:t>)</w:t>
            </w:r>
          </w:p>
          <w:p w:rsidR="00433418" w:rsidRPr="00635056" w:rsidRDefault="00433418" w:rsidP="00433418">
            <w:pPr>
              <w:spacing w:line="480" w:lineRule="auto"/>
              <w:jc w:val="center"/>
              <w:rPr>
                <w:b/>
                <w:bCs/>
                <w:iCs/>
                <w:sz w:val="16"/>
                <w:szCs w:val="16"/>
              </w:rPr>
            </w:pPr>
            <w:r w:rsidRPr="00B328E3">
              <w:rPr>
                <w:bCs/>
                <w:i/>
                <w:iCs/>
                <w:sz w:val="16"/>
                <w:szCs w:val="16"/>
              </w:rPr>
              <w:t>(±</w:t>
            </w:r>
            <w:r>
              <w:rPr>
                <w:bCs/>
                <w:i/>
                <w:iCs/>
                <w:sz w:val="16"/>
                <w:szCs w:val="16"/>
              </w:rPr>
              <w:t>0.5)</w:t>
            </w:r>
          </w:p>
        </w:tc>
        <w:tc>
          <w:tcPr>
            <w:tcW w:w="1142" w:type="pct"/>
            <w:shd w:val="clear" w:color="auto" w:fill="auto"/>
            <w:tcMar>
              <w:top w:w="15" w:type="dxa"/>
              <w:left w:w="108" w:type="dxa"/>
              <w:bottom w:w="0" w:type="dxa"/>
              <w:right w:w="108" w:type="dxa"/>
            </w:tcMar>
          </w:tcPr>
          <w:p w:rsidR="00165CEA" w:rsidRDefault="00165CEA" w:rsidP="003661FA">
            <w:pPr>
              <w:spacing w:line="480" w:lineRule="auto"/>
              <w:jc w:val="center"/>
              <w:rPr>
                <w:bCs/>
                <w:iCs/>
                <w:sz w:val="16"/>
                <w:szCs w:val="16"/>
              </w:rPr>
            </w:pPr>
            <w:r>
              <w:rPr>
                <w:bCs/>
                <w:iCs/>
                <w:sz w:val="16"/>
                <w:szCs w:val="16"/>
              </w:rPr>
              <w:t xml:space="preserve">-7.38 </w:t>
            </w:r>
          </w:p>
          <w:p w:rsidR="008E6BF7" w:rsidRPr="00635056" w:rsidRDefault="00165CEA" w:rsidP="003661FA">
            <w:pPr>
              <w:spacing w:line="480" w:lineRule="auto"/>
              <w:jc w:val="center"/>
              <w:rPr>
                <w:b/>
                <w:bCs/>
                <w:iCs/>
                <w:sz w:val="16"/>
                <w:szCs w:val="16"/>
              </w:rPr>
            </w:pPr>
            <w:r w:rsidRPr="00635056">
              <w:rPr>
                <w:b/>
                <w:bCs/>
                <w:iCs/>
                <w:sz w:val="16"/>
                <w:szCs w:val="16"/>
              </w:rPr>
              <w:t>(±0.7</w:t>
            </w:r>
            <w:r w:rsidR="008E6BF7" w:rsidRPr="00635056">
              <w:rPr>
                <w:b/>
                <w:bCs/>
                <w:iCs/>
                <w:sz w:val="16"/>
                <w:szCs w:val="16"/>
              </w:rPr>
              <w:t>)</w:t>
            </w:r>
          </w:p>
        </w:tc>
        <w:tc>
          <w:tcPr>
            <w:tcW w:w="955" w:type="pct"/>
            <w:shd w:val="clear" w:color="auto" w:fill="auto"/>
            <w:tcMar>
              <w:top w:w="15" w:type="dxa"/>
              <w:left w:w="108" w:type="dxa"/>
              <w:bottom w:w="0" w:type="dxa"/>
              <w:right w:w="108" w:type="dxa"/>
            </w:tcMar>
          </w:tcPr>
          <w:p w:rsidR="00165CEA" w:rsidRDefault="00165CEA" w:rsidP="003661FA">
            <w:pPr>
              <w:spacing w:line="480" w:lineRule="auto"/>
              <w:jc w:val="center"/>
              <w:rPr>
                <w:bCs/>
                <w:iCs/>
                <w:sz w:val="16"/>
                <w:szCs w:val="16"/>
              </w:rPr>
            </w:pPr>
            <w:r>
              <w:rPr>
                <w:bCs/>
                <w:iCs/>
                <w:sz w:val="16"/>
                <w:szCs w:val="16"/>
              </w:rPr>
              <w:t xml:space="preserve">32.8 </w:t>
            </w:r>
          </w:p>
          <w:p w:rsidR="008E6BF7" w:rsidRDefault="00165CEA" w:rsidP="003661FA">
            <w:pPr>
              <w:spacing w:line="480" w:lineRule="auto"/>
              <w:jc w:val="center"/>
              <w:rPr>
                <w:b/>
                <w:bCs/>
                <w:iCs/>
                <w:sz w:val="16"/>
                <w:szCs w:val="16"/>
              </w:rPr>
            </w:pPr>
            <w:r w:rsidRPr="00635056">
              <w:rPr>
                <w:b/>
                <w:bCs/>
                <w:iCs/>
                <w:sz w:val="16"/>
                <w:szCs w:val="16"/>
              </w:rPr>
              <w:t>(±0.3</w:t>
            </w:r>
            <w:r w:rsidR="008E6BF7" w:rsidRPr="00635056">
              <w:rPr>
                <w:b/>
                <w:bCs/>
                <w:iCs/>
                <w:sz w:val="16"/>
                <w:szCs w:val="16"/>
              </w:rPr>
              <w:t>)</w:t>
            </w:r>
          </w:p>
          <w:p w:rsidR="00D50803" w:rsidRPr="00635056" w:rsidRDefault="00D50803" w:rsidP="00D50803">
            <w:pPr>
              <w:spacing w:line="480" w:lineRule="auto"/>
              <w:jc w:val="center"/>
              <w:rPr>
                <w:b/>
                <w:bCs/>
                <w:iCs/>
                <w:sz w:val="16"/>
                <w:szCs w:val="16"/>
              </w:rPr>
            </w:pPr>
            <w:r w:rsidRPr="00B328E3">
              <w:rPr>
                <w:bCs/>
                <w:i/>
                <w:iCs/>
                <w:sz w:val="16"/>
                <w:szCs w:val="16"/>
              </w:rPr>
              <w:t>(±</w:t>
            </w:r>
            <w:r>
              <w:rPr>
                <w:bCs/>
                <w:i/>
                <w:iCs/>
                <w:sz w:val="16"/>
                <w:szCs w:val="16"/>
              </w:rPr>
              <w:t>2.8)</w:t>
            </w:r>
          </w:p>
        </w:tc>
        <w:tc>
          <w:tcPr>
            <w:tcW w:w="999" w:type="pct"/>
            <w:shd w:val="clear" w:color="auto" w:fill="auto"/>
            <w:tcMar>
              <w:top w:w="15" w:type="dxa"/>
              <w:left w:w="108" w:type="dxa"/>
              <w:bottom w:w="0" w:type="dxa"/>
              <w:right w:w="108" w:type="dxa"/>
            </w:tcMar>
          </w:tcPr>
          <w:p w:rsidR="00165CEA" w:rsidRDefault="008E6BF7" w:rsidP="003661FA">
            <w:pPr>
              <w:spacing w:line="480" w:lineRule="auto"/>
              <w:jc w:val="center"/>
              <w:rPr>
                <w:bCs/>
                <w:iCs/>
                <w:sz w:val="16"/>
                <w:szCs w:val="16"/>
              </w:rPr>
            </w:pPr>
            <w:r w:rsidRPr="006700E3">
              <w:rPr>
                <w:bCs/>
                <w:iCs/>
                <w:sz w:val="16"/>
                <w:szCs w:val="16"/>
              </w:rPr>
              <w:t xml:space="preserve">1.9 </w:t>
            </w:r>
          </w:p>
          <w:p w:rsidR="008E6BF7" w:rsidRDefault="00165CEA" w:rsidP="003661FA">
            <w:pPr>
              <w:spacing w:line="480" w:lineRule="auto"/>
              <w:jc w:val="center"/>
              <w:rPr>
                <w:b/>
                <w:bCs/>
                <w:iCs/>
                <w:sz w:val="16"/>
                <w:szCs w:val="16"/>
              </w:rPr>
            </w:pPr>
            <w:r w:rsidRPr="00635056">
              <w:rPr>
                <w:b/>
                <w:bCs/>
                <w:iCs/>
                <w:sz w:val="16"/>
                <w:szCs w:val="16"/>
              </w:rPr>
              <w:t>(±0.03</w:t>
            </w:r>
            <w:r w:rsidR="008E6BF7" w:rsidRPr="00635056">
              <w:rPr>
                <w:b/>
                <w:bCs/>
                <w:iCs/>
                <w:sz w:val="16"/>
                <w:szCs w:val="16"/>
              </w:rPr>
              <w:t>)</w:t>
            </w:r>
          </w:p>
          <w:p w:rsidR="00433418" w:rsidRPr="00635056" w:rsidRDefault="00433418" w:rsidP="00433418">
            <w:pPr>
              <w:spacing w:line="480" w:lineRule="auto"/>
              <w:jc w:val="center"/>
              <w:rPr>
                <w:b/>
                <w:bCs/>
                <w:iCs/>
                <w:sz w:val="16"/>
                <w:szCs w:val="16"/>
              </w:rPr>
            </w:pPr>
            <w:r w:rsidRPr="00B328E3">
              <w:rPr>
                <w:bCs/>
                <w:i/>
                <w:iCs/>
                <w:sz w:val="16"/>
                <w:szCs w:val="16"/>
              </w:rPr>
              <w:t>(±</w:t>
            </w:r>
            <w:r>
              <w:rPr>
                <w:bCs/>
                <w:i/>
                <w:iCs/>
                <w:sz w:val="16"/>
                <w:szCs w:val="16"/>
              </w:rPr>
              <w:t>0.01)</w:t>
            </w:r>
          </w:p>
        </w:tc>
      </w:tr>
      <w:tr w:rsidR="008E6BF7" w:rsidRPr="006700E3" w:rsidTr="003661FA">
        <w:trPr>
          <w:trHeight w:val="213"/>
          <w:jc w:val="center"/>
        </w:trPr>
        <w:tc>
          <w:tcPr>
            <w:tcW w:w="949" w:type="pct"/>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25*</w:t>
            </w:r>
          </w:p>
        </w:tc>
        <w:tc>
          <w:tcPr>
            <w:tcW w:w="955" w:type="pct"/>
            <w:shd w:val="clear" w:color="auto" w:fill="auto"/>
            <w:tcMar>
              <w:top w:w="15" w:type="dxa"/>
              <w:left w:w="108" w:type="dxa"/>
              <w:bottom w:w="0" w:type="dxa"/>
              <w:right w:w="108" w:type="dxa"/>
            </w:tcMar>
          </w:tcPr>
          <w:p w:rsidR="008E6BF7" w:rsidRDefault="008E6BF7" w:rsidP="003661FA">
            <w:pPr>
              <w:spacing w:line="480" w:lineRule="auto"/>
              <w:jc w:val="center"/>
              <w:rPr>
                <w:bCs/>
                <w:iCs/>
                <w:sz w:val="16"/>
                <w:szCs w:val="16"/>
              </w:rPr>
            </w:pPr>
            <w:r w:rsidRPr="006700E3">
              <w:rPr>
                <w:bCs/>
                <w:iCs/>
                <w:sz w:val="16"/>
                <w:szCs w:val="16"/>
              </w:rPr>
              <w:t>22.5</w:t>
            </w:r>
          </w:p>
          <w:p w:rsidR="00D50803" w:rsidRPr="006700E3" w:rsidRDefault="00433418" w:rsidP="00D50803">
            <w:pPr>
              <w:spacing w:line="480" w:lineRule="auto"/>
              <w:jc w:val="center"/>
              <w:rPr>
                <w:bCs/>
                <w:iCs/>
                <w:sz w:val="16"/>
                <w:szCs w:val="16"/>
              </w:rPr>
            </w:pPr>
            <w:r>
              <w:rPr>
                <w:bCs/>
                <w:i/>
                <w:iCs/>
                <w:sz w:val="16"/>
                <w:szCs w:val="16"/>
              </w:rPr>
              <w:t>(±0.</w:t>
            </w:r>
            <w:r w:rsidR="00D50803">
              <w:rPr>
                <w:bCs/>
                <w:i/>
                <w:iCs/>
                <w:sz w:val="16"/>
                <w:szCs w:val="16"/>
              </w:rPr>
              <w:t>8)</w:t>
            </w:r>
          </w:p>
        </w:tc>
        <w:tc>
          <w:tcPr>
            <w:tcW w:w="1142" w:type="pct"/>
            <w:shd w:val="clear" w:color="auto" w:fill="auto"/>
            <w:tcMar>
              <w:top w:w="15" w:type="dxa"/>
              <w:left w:w="108" w:type="dxa"/>
              <w:bottom w:w="0" w:type="dxa"/>
              <w:right w:w="108" w:type="dxa"/>
            </w:tcMar>
          </w:tcPr>
          <w:p w:rsidR="008E6BF7" w:rsidRDefault="008E6BF7" w:rsidP="003661FA">
            <w:pPr>
              <w:spacing w:line="480" w:lineRule="auto"/>
              <w:jc w:val="center"/>
              <w:rPr>
                <w:bCs/>
                <w:iCs/>
                <w:sz w:val="16"/>
                <w:szCs w:val="16"/>
              </w:rPr>
            </w:pPr>
            <w:r w:rsidRPr="006700E3">
              <w:rPr>
                <w:bCs/>
                <w:iCs/>
                <w:sz w:val="16"/>
                <w:szCs w:val="16"/>
              </w:rPr>
              <w:t>-9</w:t>
            </w:r>
          </w:p>
          <w:p w:rsidR="00D50803" w:rsidRPr="006700E3" w:rsidRDefault="00D50803" w:rsidP="003661FA">
            <w:pPr>
              <w:spacing w:line="480" w:lineRule="auto"/>
              <w:jc w:val="center"/>
              <w:rPr>
                <w:bCs/>
                <w:iCs/>
                <w:sz w:val="16"/>
                <w:szCs w:val="16"/>
              </w:rPr>
            </w:pPr>
          </w:p>
        </w:tc>
        <w:tc>
          <w:tcPr>
            <w:tcW w:w="955" w:type="pct"/>
            <w:shd w:val="clear" w:color="auto" w:fill="auto"/>
            <w:tcMar>
              <w:top w:w="15" w:type="dxa"/>
              <w:left w:w="108" w:type="dxa"/>
              <w:bottom w:w="0" w:type="dxa"/>
              <w:right w:w="108" w:type="dxa"/>
            </w:tcMar>
          </w:tcPr>
          <w:p w:rsidR="008E6BF7" w:rsidRDefault="008E6BF7" w:rsidP="003661FA">
            <w:pPr>
              <w:spacing w:line="480" w:lineRule="auto"/>
              <w:jc w:val="center"/>
              <w:rPr>
                <w:bCs/>
                <w:iCs/>
                <w:sz w:val="16"/>
                <w:szCs w:val="16"/>
              </w:rPr>
            </w:pPr>
            <w:r w:rsidRPr="006700E3">
              <w:rPr>
                <w:bCs/>
                <w:iCs/>
                <w:sz w:val="16"/>
                <w:szCs w:val="16"/>
              </w:rPr>
              <w:t>31.4</w:t>
            </w:r>
          </w:p>
          <w:p w:rsidR="00D50803" w:rsidRPr="006700E3" w:rsidRDefault="00D50803" w:rsidP="00546851">
            <w:pPr>
              <w:spacing w:line="480" w:lineRule="auto"/>
              <w:jc w:val="center"/>
              <w:rPr>
                <w:bCs/>
                <w:iCs/>
                <w:sz w:val="16"/>
                <w:szCs w:val="16"/>
              </w:rPr>
            </w:pPr>
            <w:r w:rsidRPr="00B328E3">
              <w:rPr>
                <w:bCs/>
                <w:i/>
                <w:iCs/>
                <w:sz w:val="16"/>
                <w:szCs w:val="16"/>
              </w:rPr>
              <w:t>(±</w:t>
            </w:r>
            <w:r w:rsidR="008643BE">
              <w:rPr>
                <w:bCs/>
                <w:i/>
                <w:iCs/>
                <w:sz w:val="16"/>
                <w:szCs w:val="16"/>
              </w:rPr>
              <w:t>3</w:t>
            </w:r>
            <w:r w:rsidR="00546851">
              <w:rPr>
                <w:bCs/>
                <w:i/>
                <w:iCs/>
                <w:sz w:val="16"/>
                <w:szCs w:val="16"/>
              </w:rPr>
              <w:t>)</w:t>
            </w:r>
          </w:p>
        </w:tc>
        <w:tc>
          <w:tcPr>
            <w:tcW w:w="999" w:type="pct"/>
            <w:shd w:val="clear" w:color="auto" w:fill="auto"/>
            <w:tcMar>
              <w:top w:w="15" w:type="dxa"/>
              <w:left w:w="108" w:type="dxa"/>
              <w:bottom w:w="0" w:type="dxa"/>
              <w:right w:w="108" w:type="dxa"/>
            </w:tcMar>
          </w:tcPr>
          <w:p w:rsidR="008E6BF7" w:rsidRDefault="008E6BF7" w:rsidP="003661FA">
            <w:pPr>
              <w:spacing w:line="480" w:lineRule="auto"/>
              <w:jc w:val="center"/>
              <w:rPr>
                <w:bCs/>
                <w:iCs/>
                <w:sz w:val="16"/>
                <w:szCs w:val="16"/>
              </w:rPr>
            </w:pPr>
            <w:r w:rsidRPr="006700E3">
              <w:rPr>
                <w:bCs/>
                <w:iCs/>
                <w:sz w:val="16"/>
                <w:szCs w:val="16"/>
              </w:rPr>
              <w:t>1.9</w:t>
            </w:r>
          </w:p>
          <w:p w:rsidR="00D50803" w:rsidRPr="006700E3" w:rsidRDefault="00D50803" w:rsidP="00D50803">
            <w:pPr>
              <w:spacing w:line="480" w:lineRule="auto"/>
              <w:jc w:val="center"/>
              <w:rPr>
                <w:bCs/>
                <w:iCs/>
                <w:sz w:val="16"/>
                <w:szCs w:val="16"/>
              </w:rPr>
            </w:pPr>
            <w:r w:rsidRPr="00B328E3">
              <w:rPr>
                <w:bCs/>
                <w:i/>
                <w:iCs/>
                <w:sz w:val="16"/>
                <w:szCs w:val="16"/>
              </w:rPr>
              <w:t>(±</w:t>
            </w:r>
            <w:r>
              <w:rPr>
                <w:bCs/>
                <w:i/>
                <w:iCs/>
                <w:sz w:val="16"/>
                <w:szCs w:val="16"/>
              </w:rPr>
              <w:t>0.02)</w:t>
            </w:r>
          </w:p>
        </w:tc>
      </w:tr>
      <w:tr w:rsidR="008E6BF7" w:rsidRPr="006700E3" w:rsidTr="003661FA">
        <w:trPr>
          <w:trHeight w:val="358"/>
          <w:jc w:val="center"/>
        </w:trPr>
        <w:tc>
          <w:tcPr>
            <w:tcW w:w="949" w:type="pct"/>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40</w:t>
            </w:r>
          </w:p>
        </w:tc>
        <w:tc>
          <w:tcPr>
            <w:tcW w:w="955" w:type="pct"/>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22.6</w:t>
            </w:r>
          </w:p>
          <w:p w:rsidR="008E6BF7" w:rsidRDefault="00165CEA" w:rsidP="003661FA">
            <w:pPr>
              <w:spacing w:line="480" w:lineRule="auto"/>
              <w:jc w:val="center"/>
              <w:rPr>
                <w:b/>
                <w:bCs/>
                <w:iCs/>
                <w:sz w:val="16"/>
                <w:szCs w:val="16"/>
              </w:rPr>
            </w:pPr>
            <w:r w:rsidRPr="00635056">
              <w:rPr>
                <w:b/>
                <w:bCs/>
                <w:iCs/>
                <w:sz w:val="16"/>
                <w:szCs w:val="16"/>
              </w:rPr>
              <w:t>(±0.2</w:t>
            </w:r>
            <w:r w:rsidR="008E6BF7" w:rsidRPr="00635056">
              <w:rPr>
                <w:b/>
                <w:bCs/>
                <w:iCs/>
                <w:sz w:val="16"/>
                <w:szCs w:val="16"/>
              </w:rPr>
              <w:t>)</w:t>
            </w:r>
          </w:p>
          <w:p w:rsidR="00F84146" w:rsidRPr="00635056" w:rsidRDefault="00F84146" w:rsidP="003661FA">
            <w:pPr>
              <w:spacing w:line="480" w:lineRule="auto"/>
              <w:jc w:val="center"/>
              <w:rPr>
                <w:b/>
                <w:bCs/>
                <w:iCs/>
                <w:sz w:val="16"/>
                <w:szCs w:val="16"/>
              </w:rPr>
            </w:pPr>
            <w:r w:rsidRPr="00B328E3">
              <w:rPr>
                <w:bCs/>
                <w:i/>
                <w:iCs/>
                <w:sz w:val="16"/>
                <w:szCs w:val="16"/>
              </w:rPr>
              <w:t>(±</w:t>
            </w:r>
            <w:r>
              <w:rPr>
                <w:bCs/>
                <w:i/>
                <w:iCs/>
                <w:sz w:val="16"/>
                <w:szCs w:val="16"/>
              </w:rPr>
              <w:t>0.5)</w:t>
            </w:r>
          </w:p>
        </w:tc>
        <w:tc>
          <w:tcPr>
            <w:tcW w:w="1142" w:type="pct"/>
            <w:shd w:val="clear" w:color="auto" w:fill="auto"/>
            <w:tcMar>
              <w:top w:w="15" w:type="dxa"/>
              <w:left w:w="108" w:type="dxa"/>
              <w:bottom w:w="0" w:type="dxa"/>
              <w:right w:w="108" w:type="dxa"/>
            </w:tcMar>
          </w:tcPr>
          <w:p w:rsidR="008E6BF7" w:rsidRPr="006700E3" w:rsidRDefault="00433418" w:rsidP="003661FA">
            <w:pPr>
              <w:spacing w:line="480" w:lineRule="auto"/>
              <w:jc w:val="center"/>
              <w:rPr>
                <w:bCs/>
                <w:iCs/>
                <w:sz w:val="16"/>
                <w:szCs w:val="16"/>
              </w:rPr>
            </w:pPr>
            <w:r>
              <w:rPr>
                <w:bCs/>
                <w:iCs/>
                <w:sz w:val="16"/>
                <w:szCs w:val="16"/>
              </w:rPr>
              <w:t>-12.3</w:t>
            </w:r>
          </w:p>
          <w:p w:rsidR="008E6BF7" w:rsidRPr="00635056" w:rsidRDefault="00165CEA" w:rsidP="003661FA">
            <w:pPr>
              <w:spacing w:line="480" w:lineRule="auto"/>
              <w:jc w:val="center"/>
              <w:rPr>
                <w:b/>
                <w:bCs/>
                <w:iCs/>
                <w:sz w:val="16"/>
                <w:szCs w:val="16"/>
              </w:rPr>
            </w:pPr>
            <w:r w:rsidRPr="00635056">
              <w:rPr>
                <w:b/>
                <w:bCs/>
                <w:iCs/>
                <w:sz w:val="16"/>
                <w:szCs w:val="16"/>
              </w:rPr>
              <w:t>(±0.4</w:t>
            </w:r>
            <w:r w:rsidR="008E6BF7" w:rsidRPr="00635056">
              <w:rPr>
                <w:b/>
                <w:bCs/>
                <w:iCs/>
                <w:sz w:val="16"/>
                <w:szCs w:val="16"/>
              </w:rPr>
              <w:t>)</w:t>
            </w:r>
          </w:p>
        </w:tc>
        <w:tc>
          <w:tcPr>
            <w:tcW w:w="955" w:type="pct"/>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34.8</w:t>
            </w:r>
          </w:p>
          <w:p w:rsidR="008E6BF7" w:rsidRDefault="00165CEA" w:rsidP="003661FA">
            <w:pPr>
              <w:spacing w:line="480" w:lineRule="auto"/>
              <w:jc w:val="center"/>
              <w:rPr>
                <w:b/>
                <w:bCs/>
                <w:iCs/>
                <w:sz w:val="16"/>
                <w:szCs w:val="16"/>
              </w:rPr>
            </w:pPr>
            <w:r w:rsidRPr="00635056">
              <w:rPr>
                <w:b/>
                <w:bCs/>
                <w:iCs/>
                <w:sz w:val="16"/>
                <w:szCs w:val="16"/>
              </w:rPr>
              <w:t>(±0.1</w:t>
            </w:r>
            <w:r w:rsidR="008E6BF7" w:rsidRPr="00635056">
              <w:rPr>
                <w:b/>
                <w:bCs/>
                <w:iCs/>
                <w:sz w:val="16"/>
                <w:szCs w:val="16"/>
              </w:rPr>
              <w:t>)</w:t>
            </w:r>
          </w:p>
          <w:p w:rsidR="00F84146" w:rsidRPr="00635056" w:rsidRDefault="00F84146" w:rsidP="00F84146">
            <w:pPr>
              <w:spacing w:line="480" w:lineRule="auto"/>
              <w:jc w:val="center"/>
              <w:rPr>
                <w:b/>
                <w:bCs/>
                <w:iCs/>
                <w:sz w:val="16"/>
                <w:szCs w:val="16"/>
              </w:rPr>
            </w:pPr>
            <w:r w:rsidRPr="00B328E3">
              <w:rPr>
                <w:bCs/>
                <w:i/>
                <w:iCs/>
                <w:sz w:val="16"/>
                <w:szCs w:val="16"/>
              </w:rPr>
              <w:t>(±</w:t>
            </w:r>
            <w:r>
              <w:rPr>
                <w:bCs/>
                <w:i/>
                <w:iCs/>
                <w:sz w:val="16"/>
                <w:szCs w:val="16"/>
              </w:rPr>
              <w:t>2)</w:t>
            </w:r>
          </w:p>
        </w:tc>
        <w:tc>
          <w:tcPr>
            <w:tcW w:w="999" w:type="pct"/>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2</w:t>
            </w:r>
          </w:p>
          <w:p w:rsidR="008E6BF7" w:rsidRDefault="00165CEA" w:rsidP="003661FA">
            <w:pPr>
              <w:spacing w:line="480" w:lineRule="auto"/>
              <w:jc w:val="center"/>
              <w:rPr>
                <w:b/>
                <w:bCs/>
                <w:iCs/>
                <w:sz w:val="16"/>
                <w:szCs w:val="16"/>
              </w:rPr>
            </w:pPr>
            <w:r w:rsidRPr="00635056">
              <w:rPr>
                <w:b/>
                <w:bCs/>
                <w:iCs/>
                <w:sz w:val="16"/>
                <w:szCs w:val="16"/>
              </w:rPr>
              <w:t>(±0.05</w:t>
            </w:r>
            <w:r w:rsidR="008E6BF7" w:rsidRPr="00635056">
              <w:rPr>
                <w:b/>
                <w:bCs/>
                <w:iCs/>
                <w:sz w:val="16"/>
                <w:szCs w:val="16"/>
              </w:rPr>
              <w:t>)</w:t>
            </w:r>
          </w:p>
          <w:p w:rsidR="00F84146" w:rsidRPr="00635056" w:rsidRDefault="00F84146" w:rsidP="003661FA">
            <w:pPr>
              <w:spacing w:line="480" w:lineRule="auto"/>
              <w:jc w:val="center"/>
              <w:rPr>
                <w:b/>
                <w:bCs/>
                <w:iCs/>
                <w:sz w:val="16"/>
                <w:szCs w:val="16"/>
              </w:rPr>
            </w:pPr>
            <w:r w:rsidRPr="00B328E3">
              <w:rPr>
                <w:bCs/>
                <w:i/>
                <w:iCs/>
                <w:sz w:val="16"/>
                <w:szCs w:val="16"/>
              </w:rPr>
              <w:t>(±</w:t>
            </w:r>
            <w:r>
              <w:rPr>
                <w:bCs/>
                <w:i/>
                <w:iCs/>
                <w:sz w:val="16"/>
                <w:szCs w:val="16"/>
              </w:rPr>
              <w:t>0.02)</w:t>
            </w:r>
          </w:p>
        </w:tc>
      </w:tr>
      <w:tr w:rsidR="008E6BF7" w:rsidRPr="006700E3" w:rsidTr="003661FA">
        <w:trPr>
          <w:trHeight w:val="203"/>
          <w:jc w:val="center"/>
        </w:trPr>
        <w:tc>
          <w:tcPr>
            <w:tcW w:w="949" w:type="pct"/>
            <w:tcBorders>
              <w:bottom w:val="single" w:sz="4" w:space="0" w:color="auto"/>
            </w:tcBorders>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40*</w:t>
            </w:r>
          </w:p>
        </w:tc>
        <w:tc>
          <w:tcPr>
            <w:tcW w:w="955" w:type="pct"/>
            <w:tcBorders>
              <w:bottom w:val="single" w:sz="4" w:space="0" w:color="auto"/>
            </w:tcBorders>
            <w:shd w:val="clear" w:color="auto" w:fill="auto"/>
            <w:tcMar>
              <w:top w:w="15" w:type="dxa"/>
              <w:left w:w="108" w:type="dxa"/>
              <w:bottom w:w="0" w:type="dxa"/>
              <w:right w:w="108" w:type="dxa"/>
            </w:tcMar>
          </w:tcPr>
          <w:p w:rsidR="008E6BF7" w:rsidRPr="006700E3" w:rsidRDefault="008E6BF7" w:rsidP="003661FA">
            <w:pPr>
              <w:spacing w:line="480" w:lineRule="auto"/>
              <w:jc w:val="center"/>
              <w:rPr>
                <w:bCs/>
                <w:iCs/>
                <w:sz w:val="16"/>
                <w:szCs w:val="16"/>
              </w:rPr>
            </w:pPr>
            <w:r w:rsidRPr="006700E3">
              <w:rPr>
                <w:bCs/>
                <w:iCs/>
                <w:sz w:val="16"/>
                <w:szCs w:val="16"/>
              </w:rPr>
              <w:t>-19.9</w:t>
            </w:r>
          </w:p>
          <w:p w:rsidR="00B328E3" w:rsidRDefault="008E6BF7" w:rsidP="003661FA">
            <w:pPr>
              <w:spacing w:line="480" w:lineRule="auto"/>
              <w:jc w:val="center"/>
              <w:rPr>
                <w:b/>
                <w:bCs/>
                <w:iCs/>
                <w:sz w:val="16"/>
                <w:szCs w:val="16"/>
              </w:rPr>
            </w:pPr>
            <w:r w:rsidRPr="00635056">
              <w:rPr>
                <w:b/>
                <w:bCs/>
                <w:iCs/>
                <w:sz w:val="16"/>
                <w:szCs w:val="16"/>
              </w:rPr>
              <w:t>(±0.03)</w:t>
            </w:r>
          </w:p>
          <w:p w:rsidR="008E6BF7" w:rsidRPr="00B328E3" w:rsidRDefault="00546851" w:rsidP="00B328E3">
            <w:pPr>
              <w:spacing w:line="480" w:lineRule="auto"/>
              <w:jc w:val="center"/>
              <w:rPr>
                <w:bCs/>
                <w:i/>
                <w:iCs/>
                <w:sz w:val="16"/>
                <w:szCs w:val="16"/>
              </w:rPr>
            </w:pPr>
            <w:r>
              <w:rPr>
                <w:bCs/>
                <w:i/>
                <w:iCs/>
                <w:sz w:val="16"/>
                <w:szCs w:val="16"/>
              </w:rPr>
              <w:t>(±0.5</w:t>
            </w:r>
            <w:r w:rsidR="00B328E3" w:rsidRPr="00B328E3">
              <w:rPr>
                <w:bCs/>
                <w:i/>
                <w:iCs/>
                <w:sz w:val="16"/>
                <w:szCs w:val="16"/>
              </w:rPr>
              <w:t>)</w:t>
            </w:r>
            <w:r w:rsidR="008E6BF7" w:rsidRPr="00B328E3">
              <w:rPr>
                <w:bCs/>
                <w:i/>
                <w:iCs/>
                <w:sz w:val="16"/>
                <w:szCs w:val="16"/>
              </w:rPr>
              <w:t xml:space="preserve"> </w:t>
            </w:r>
          </w:p>
        </w:tc>
        <w:tc>
          <w:tcPr>
            <w:tcW w:w="1142" w:type="pct"/>
            <w:tcBorders>
              <w:bottom w:val="single" w:sz="4" w:space="0" w:color="auto"/>
            </w:tcBorders>
            <w:shd w:val="clear" w:color="auto" w:fill="auto"/>
            <w:tcMar>
              <w:top w:w="15" w:type="dxa"/>
              <w:left w:w="108" w:type="dxa"/>
              <w:bottom w:w="0" w:type="dxa"/>
              <w:right w:w="108" w:type="dxa"/>
            </w:tcMar>
          </w:tcPr>
          <w:p w:rsidR="008E6BF7" w:rsidRDefault="008E6BF7" w:rsidP="003661FA">
            <w:pPr>
              <w:spacing w:line="480" w:lineRule="auto"/>
              <w:jc w:val="center"/>
              <w:rPr>
                <w:bCs/>
                <w:iCs/>
                <w:sz w:val="16"/>
                <w:szCs w:val="16"/>
              </w:rPr>
            </w:pPr>
            <w:r w:rsidRPr="006700E3">
              <w:rPr>
                <w:bCs/>
                <w:iCs/>
                <w:sz w:val="16"/>
                <w:szCs w:val="16"/>
              </w:rPr>
              <w:t>-12.3</w:t>
            </w:r>
            <w:r>
              <w:rPr>
                <w:bCs/>
                <w:iCs/>
                <w:sz w:val="16"/>
                <w:szCs w:val="16"/>
              </w:rPr>
              <w:t xml:space="preserve"> </w:t>
            </w:r>
          </w:p>
          <w:p w:rsidR="008E6BF7" w:rsidRDefault="00861BE3" w:rsidP="003661FA">
            <w:pPr>
              <w:spacing w:line="480" w:lineRule="auto"/>
              <w:jc w:val="center"/>
              <w:rPr>
                <w:b/>
                <w:bCs/>
                <w:iCs/>
                <w:sz w:val="16"/>
                <w:szCs w:val="16"/>
              </w:rPr>
            </w:pPr>
            <w:r>
              <w:rPr>
                <w:b/>
                <w:bCs/>
                <w:iCs/>
                <w:sz w:val="16"/>
                <w:szCs w:val="16"/>
              </w:rPr>
              <w:t>(±0.06</w:t>
            </w:r>
            <w:r w:rsidR="008E6BF7" w:rsidRPr="00635056">
              <w:rPr>
                <w:b/>
                <w:bCs/>
                <w:iCs/>
                <w:sz w:val="16"/>
                <w:szCs w:val="16"/>
              </w:rPr>
              <w:t>)</w:t>
            </w:r>
          </w:p>
          <w:p w:rsidR="00B328E3" w:rsidRPr="00635056" w:rsidRDefault="00B328E3" w:rsidP="003661FA">
            <w:pPr>
              <w:spacing w:line="480" w:lineRule="auto"/>
              <w:jc w:val="center"/>
              <w:rPr>
                <w:b/>
                <w:bCs/>
                <w:iCs/>
                <w:sz w:val="16"/>
                <w:szCs w:val="16"/>
              </w:rPr>
            </w:pPr>
          </w:p>
        </w:tc>
        <w:tc>
          <w:tcPr>
            <w:tcW w:w="955" w:type="pct"/>
            <w:tcBorders>
              <w:bottom w:val="single" w:sz="4" w:space="0" w:color="auto"/>
            </w:tcBorders>
            <w:shd w:val="clear" w:color="auto" w:fill="auto"/>
            <w:tcMar>
              <w:top w:w="15" w:type="dxa"/>
              <w:left w:w="108" w:type="dxa"/>
              <w:bottom w:w="0" w:type="dxa"/>
              <w:right w:w="108" w:type="dxa"/>
            </w:tcMar>
          </w:tcPr>
          <w:p w:rsidR="008E6BF7" w:rsidRDefault="008E6BF7" w:rsidP="003661FA">
            <w:pPr>
              <w:spacing w:line="480" w:lineRule="auto"/>
              <w:jc w:val="center"/>
              <w:rPr>
                <w:bCs/>
                <w:iCs/>
                <w:sz w:val="16"/>
                <w:szCs w:val="16"/>
              </w:rPr>
            </w:pPr>
            <w:r w:rsidRPr="006700E3">
              <w:rPr>
                <w:bCs/>
                <w:iCs/>
                <w:sz w:val="16"/>
                <w:szCs w:val="16"/>
              </w:rPr>
              <w:t>32.4</w:t>
            </w:r>
          </w:p>
          <w:p w:rsidR="008E6BF7" w:rsidRDefault="008E6BF7" w:rsidP="003661FA">
            <w:pPr>
              <w:spacing w:line="480" w:lineRule="auto"/>
              <w:jc w:val="center"/>
              <w:rPr>
                <w:b/>
                <w:bCs/>
                <w:iCs/>
                <w:sz w:val="16"/>
                <w:szCs w:val="16"/>
              </w:rPr>
            </w:pPr>
            <w:r w:rsidRPr="00635056">
              <w:rPr>
                <w:b/>
                <w:bCs/>
                <w:iCs/>
                <w:sz w:val="16"/>
                <w:szCs w:val="16"/>
              </w:rPr>
              <w:t>(±0.2)</w:t>
            </w:r>
          </w:p>
          <w:p w:rsidR="00B328E3" w:rsidRPr="00B328E3" w:rsidRDefault="00B328E3" w:rsidP="00B328E3">
            <w:pPr>
              <w:spacing w:line="480" w:lineRule="auto"/>
              <w:jc w:val="center"/>
              <w:rPr>
                <w:bCs/>
                <w:i/>
                <w:iCs/>
                <w:sz w:val="16"/>
                <w:szCs w:val="16"/>
              </w:rPr>
            </w:pPr>
            <w:r w:rsidRPr="00B328E3">
              <w:rPr>
                <w:bCs/>
                <w:i/>
                <w:iCs/>
                <w:sz w:val="16"/>
                <w:szCs w:val="16"/>
              </w:rPr>
              <w:t>(±3)</w:t>
            </w:r>
          </w:p>
        </w:tc>
        <w:tc>
          <w:tcPr>
            <w:tcW w:w="999" w:type="pct"/>
            <w:tcBorders>
              <w:bottom w:val="single" w:sz="4" w:space="0" w:color="auto"/>
            </w:tcBorders>
            <w:shd w:val="clear" w:color="auto" w:fill="auto"/>
            <w:tcMar>
              <w:top w:w="15" w:type="dxa"/>
              <w:left w:w="108" w:type="dxa"/>
              <w:bottom w:w="0" w:type="dxa"/>
              <w:right w:w="108" w:type="dxa"/>
            </w:tcMar>
          </w:tcPr>
          <w:p w:rsidR="008E6BF7" w:rsidRDefault="008E6BF7" w:rsidP="003661FA">
            <w:pPr>
              <w:spacing w:line="480" w:lineRule="auto"/>
              <w:jc w:val="center"/>
              <w:rPr>
                <w:bCs/>
                <w:iCs/>
                <w:sz w:val="16"/>
                <w:szCs w:val="16"/>
              </w:rPr>
            </w:pPr>
            <w:r>
              <w:rPr>
                <w:bCs/>
                <w:iCs/>
                <w:sz w:val="16"/>
                <w:szCs w:val="16"/>
              </w:rPr>
              <w:t>1.85</w:t>
            </w:r>
          </w:p>
          <w:p w:rsidR="008E6BF7" w:rsidRDefault="008E6BF7" w:rsidP="003661FA">
            <w:pPr>
              <w:spacing w:line="480" w:lineRule="auto"/>
              <w:jc w:val="center"/>
              <w:rPr>
                <w:b/>
                <w:bCs/>
                <w:iCs/>
                <w:sz w:val="16"/>
                <w:szCs w:val="16"/>
              </w:rPr>
            </w:pPr>
            <w:r w:rsidRPr="00635056">
              <w:rPr>
                <w:b/>
                <w:bCs/>
                <w:iCs/>
                <w:sz w:val="16"/>
                <w:szCs w:val="16"/>
              </w:rPr>
              <w:t>(±0.05)</w:t>
            </w:r>
          </w:p>
          <w:p w:rsidR="00B328E3" w:rsidRPr="00B328E3" w:rsidRDefault="00B328E3" w:rsidP="003661FA">
            <w:pPr>
              <w:spacing w:line="480" w:lineRule="auto"/>
              <w:jc w:val="center"/>
              <w:rPr>
                <w:bCs/>
                <w:iCs/>
                <w:sz w:val="16"/>
                <w:szCs w:val="16"/>
              </w:rPr>
            </w:pPr>
            <w:r w:rsidRPr="00B328E3">
              <w:rPr>
                <w:bCs/>
                <w:iCs/>
                <w:sz w:val="16"/>
                <w:szCs w:val="16"/>
              </w:rPr>
              <w:t>(±0.0</w:t>
            </w:r>
            <w:r w:rsidR="008643BE">
              <w:rPr>
                <w:bCs/>
                <w:iCs/>
                <w:sz w:val="16"/>
                <w:szCs w:val="16"/>
              </w:rPr>
              <w:t>2</w:t>
            </w:r>
            <w:r w:rsidRPr="00B328E3">
              <w:rPr>
                <w:bCs/>
                <w:iCs/>
                <w:sz w:val="16"/>
                <w:szCs w:val="16"/>
              </w:rPr>
              <w:t>)</w:t>
            </w:r>
          </w:p>
        </w:tc>
      </w:tr>
    </w:tbl>
    <w:p w:rsidR="008E6BF7" w:rsidRDefault="008E6BF7" w:rsidP="008E6BF7">
      <w:pPr>
        <w:spacing w:line="480" w:lineRule="auto"/>
        <w:rPr>
          <w:bCs/>
          <w:iCs/>
        </w:rPr>
      </w:pPr>
    </w:p>
    <w:p w:rsidR="008E6BF7" w:rsidRDefault="0075172E" w:rsidP="008E6BF7">
      <w:pPr>
        <w:spacing w:line="480" w:lineRule="auto"/>
        <w:jc w:val="both"/>
        <w:rPr>
          <w:bCs/>
          <w:iCs/>
        </w:rPr>
      </w:pPr>
      <w:r>
        <w:rPr>
          <w:bCs/>
          <w:iCs/>
        </w:rPr>
        <w:lastRenderedPageBreak/>
        <w:fldChar w:fldCharType="begin"/>
      </w:r>
      <w:r w:rsidR="00BD6650">
        <w:rPr>
          <w:bCs/>
          <w:iCs/>
        </w:rPr>
        <w:instrText xml:space="preserve"> REF _Ref443229009 \h </w:instrText>
      </w:r>
      <w:r>
        <w:rPr>
          <w:bCs/>
          <w:iCs/>
        </w:rPr>
      </w:r>
      <w:r>
        <w:rPr>
          <w:bCs/>
          <w:iCs/>
        </w:rPr>
        <w:fldChar w:fldCharType="separate"/>
      </w:r>
      <w:r w:rsidR="00CB4EDC">
        <w:t xml:space="preserve">Table </w:t>
      </w:r>
      <w:r w:rsidR="00CB4EDC">
        <w:rPr>
          <w:noProof/>
        </w:rPr>
        <w:t>4</w:t>
      </w:r>
      <w:r w:rsidR="00CB4EDC">
        <w:t>.</w:t>
      </w:r>
      <w:r w:rsidR="00CB4EDC">
        <w:rPr>
          <w:noProof/>
        </w:rPr>
        <w:t>1</w:t>
      </w:r>
      <w:r>
        <w:rPr>
          <w:bCs/>
          <w:iCs/>
        </w:rPr>
        <w:fldChar w:fldCharType="end"/>
      </w:r>
      <w:r w:rsidR="00BD6650">
        <w:rPr>
          <w:bCs/>
          <w:iCs/>
        </w:rPr>
        <w:t xml:space="preserve"> </w:t>
      </w:r>
      <w:r w:rsidR="008E6BF7">
        <w:rPr>
          <w:bCs/>
          <w:iCs/>
        </w:rPr>
        <w:t xml:space="preserve">shows that there is some difference in the thermodynamic parameters for the lysozyme interaction between the potassium phytate and the less pure sodium phytate. At 25 and 40 </w:t>
      </w:r>
      <w:r w:rsidR="008E6BF7">
        <w:rPr>
          <w:bCs/>
          <w:iCs/>
        </w:rPr>
        <w:sym w:font="Mathematica1" w:char="F0B0"/>
      </w:r>
      <w:r w:rsidR="008E6BF7">
        <w:rPr>
          <w:bCs/>
          <w:iCs/>
        </w:rPr>
        <w:t>C, the interaction between sodium phytate and lysozyme and is weaker than the potassium phytate-lysozyme interaction</w:t>
      </w:r>
      <w:r w:rsidR="00CE38B1">
        <w:rPr>
          <w:bCs/>
          <w:iCs/>
        </w:rPr>
        <w:t xml:space="preserve"> for the second stage</w:t>
      </w:r>
      <w:r w:rsidR="008E6BF7">
        <w:rPr>
          <w:bCs/>
          <w:iCs/>
        </w:rPr>
        <w:t>.</w:t>
      </w:r>
      <w:r w:rsidR="00CE38B1">
        <w:rPr>
          <w:bCs/>
          <w:iCs/>
        </w:rPr>
        <w:t xml:space="preserve"> The shape of the binding isotherm obtained at 40</w:t>
      </w:r>
      <w:r w:rsidR="006F2757">
        <w:rPr>
          <w:bCs/>
          <w:iCs/>
        </w:rPr>
        <w:t xml:space="preserve"> </w:t>
      </w:r>
      <w:r w:rsidR="00CE38B1">
        <w:rPr>
          <w:bCs/>
          <w:iCs/>
        </w:rPr>
        <w:t xml:space="preserve">°C for the sodium phytate-lysozyme interaction is shallower than the potassium phytate indicating that the free energy of binding is less favourable.  </w:t>
      </w:r>
      <w:r w:rsidR="008E6BF7">
        <w:rPr>
          <w:bCs/>
          <w:iCs/>
        </w:rPr>
        <w:t xml:space="preserve">This may be due to the difference in purity and the different counter ion in the preparations. </w:t>
      </w:r>
      <w:r w:rsidR="00EA3ABA">
        <w:rPr>
          <w:bCs/>
          <w:iCs/>
        </w:rPr>
        <w:t xml:space="preserve">The sodium phytate preparation has an excess amount of ions, in particular sodium. This is in comparison to potassium phytate preparation which is a 95% pure </w:t>
      </w:r>
      <w:r w:rsidR="00EA3ABA" w:rsidRPr="00EA3ABA">
        <w:rPr>
          <w:bCs/>
          <w:iCs/>
        </w:rPr>
        <w:t xml:space="preserve">dipotassium </w:t>
      </w:r>
      <w:r w:rsidR="00EA3ABA">
        <w:rPr>
          <w:bCs/>
          <w:iCs/>
        </w:rPr>
        <w:t xml:space="preserve">phytate salt.  </w:t>
      </w:r>
      <w:r w:rsidR="008E6BF7">
        <w:rPr>
          <w:bCs/>
          <w:iCs/>
        </w:rPr>
        <w:t xml:space="preserve">In addition to this, the lysozyme was not dialysed when using the impure phytate preparation. Consequently, a lower level of purity seems to reduce the affinity lysozyme has for phytate. In the following work potassium phytate was used (unless otherwise stated) as the observations witnessed can </w:t>
      </w:r>
      <w:r w:rsidR="00EA3ABA">
        <w:rPr>
          <w:bCs/>
          <w:iCs/>
        </w:rPr>
        <w:t xml:space="preserve">be better attributed to phytate. </w:t>
      </w:r>
    </w:p>
    <w:p w:rsidR="008E6BF7" w:rsidRDefault="008E6BF7" w:rsidP="008E6BF7">
      <w:pPr>
        <w:spacing w:line="480" w:lineRule="auto"/>
        <w:jc w:val="both"/>
        <w:rPr>
          <w:bCs/>
          <w:iCs/>
        </w:rPr>
      </w:pPr>
      <w:r w:rsidRPr="00CA757D">
        <w:rPr>
          <w:bCs/>
          <w:iCs/>
        </w:rPr>
        <w:t>Inspection of the NMR structures of lysozyme show on average 13 solvent exposed positively charged amino acids</w:t>
      </w:r>
      <w:r>
        <w:rPr>
          <w:bCs/>
          <w:iCs/>
        </w:rPr>
        <w:t xml:space="preserve"> (</w:t>
      </w:r>
      <w:r w:rsidR="0075172E">
        <w:rPr>
          <w:bCs/>
          <w:iCs/>
        </w:rPr>
        <w:fldChar w:fldCharType="begin"/>
      </w:r>
      <w:r w:rsidR="00CE38B1">
        <w:rPr>
          <w:bCs/>
          <w:iCs/>
        </w:rPr>
        <w:instrText xml:space="preserve"> REF _Ref442882171 \h </w:instrText>
      </w:r>
      <w:r w:rsidR="0075172E">
        <w:rPr>
          <w:bCs/>
          <w:iCs/>
        </w:rPr>
      </w:r>
      <w:r w:rsidR="0075172E">
        <w:rPr>
          <w:bCs/>
          <w:iCs/>
        </w:rPr>
        <w:fldChar w:fldCharType="separate"/>
      </w:r>
      <w:r w:rsidR="00CB4EDC">
        <w:t xml:space="preserve">Figure </w:t>
      </w:r>
      <w:r w:rsidR="00CB4EDC">
        <w:rPr>
          <w:noProof/>
        </w:rPr>
        <w:t>4</w:t>
      </w:r>
      <w:r w:rsidR="00CB4EDC">
        <w:t>.</w:t>
      </w:r>
      <w:r w:rsidR="00CB4EDC">
        <w:rPr>
          <w:noProof/>
        </w:rPr>
        <w:t>8</w:t>
      </w:r>
      <w:r w:rsidR="0075172E">
        <w:rPr>
          <w:bCs/>
          <w:iCs/>
        </w:rPr>
        <w:fldChar w:fldCharType="end"/>
      </w:r>
      <w:r>
        <w:rPr>
          <w:bCs/>
          <w:iCs/>
        </w:rPr>
        <w:t>)</w:t>
      </w:r>
      <w:r w:rsidRPr="00CA757D">
        <w:rPr>
          <w:bCs/>
          <w:iCs/>
        </w:rPr>
        <w:t xml:space="preserve">. </w:t>
      </w:r>
    </w:p>
    <w:p w:rsidR="008E6BF7" w:rsidRDefault="008E6BF7" w:rsidP="008E6BF7">
      <w:pPr>
        <w:keepNext/>
        <w:spacing w:line="480" w:lineRule="auto"/>
        <w:jc w:val="center"/>
      </w:pPr>
      <w:r>
        <w:rPr>
          <w:noProof/>
          <w:lang w:eastAsia="en-GB"/>
        </w:rPr>
        <w:drawing>
          <wp:inline distT="0" distB="0" distL="0" distR="0" wp14:anchorId="3E20E9F0" wp14:editId="0FBB7056">
            <wp:extent cx="3970020" cy="2509256"/>
            <wp:effectExtent l="0" t="0" r="0" b="0"/>
            <wp:docPr id="4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76955" cy="2513639"/>
                    </a:xfrm>
                    <a:prstGeom prst="rect">
                      <a:avLst/>
                    </a:prstGeom>
                    <a:noFill/>
                    <a:ln>
                      <a:noFill/>
                    </a:ln>
                    <a:extLst/>
                  </pic:spPr>
                </pic:pic>
              </a:graphicData>
            </a:graphic>
          </wp:inline>
        </w:drawing>
      </w:r>
    </w:p>
    <w:p w:rsidR="008E6BF7" w:rsidRDefault="008E6BF7" w:rsidP="008E6BF7">
      <w:pPr>
        <w:pStyle w:val="Caption"/>
        <w:spacing w:line="480" w:lineRule="auto"/>
        <w:jc w:val="center"/>
        <w:rPr>
          <w:bCs w:val="0"/>
          <w:iCs/>
        </w:rPr>
      </w:pPr>
      <w:bookmarkStart w:id="165" w:name="_Ref442882171"/>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8</w:t>
      </w:r>
      <w:r w:rsidR="0075172E">
        <w:fldChar w:fldCharType="end"/>
      </w:r>
      <w:bookmarkEnd w:id="165"/>
      <w:r>
        <w:t>: Mapped surface of the elect</w:t>
      </w:r>
      <w:r w:rsidR="00041E91">
        <w:t xml:space="preserve">rostatic potential of lysozyme adapted from Schwalbe </w:t>
      </w:r>
      <w:r w:rsidR="00041E91" w:rsidRPr="002D4FF8">
        <w:rPr>
          <w:i/>
        </w:rPr>
        <w:t>et al</w:t>
      </w:r>
      <w:r w:rsidR="002D4FF8">
        <w:rPr>
          <w:i/>
        </w:rPr>
        <w:t>.</w:t>
      </w:r>
      <w:r w:rsidR="00041E91">
        <w:t xml:space="preserve"> </w:t>
      </w:r>
      <w:hyperlink w:anchor="_ENREF_271" w:tooltip="Schwalbe, 2001 #612" w:history="1">
        <w:r w:rsidR="00512D09">
          <w:fldChar w:fldCharType="begin"/>
        </w:r>
        <w:r w:rsidR="00512D09">
          <w:instrText xml:space="preserve"> ADDIN EN.CITE &lt;EndNote&gt;&lt;Cite&gt;&lt;Author&gt;Schwalbe&lt;/Author&gt;&lt;Year&gt;2001&lt;/Year&gt;&lt;RecNum&gt;612&lt;/RecNum&gt;&lt;DisplayText&gt;&lt;style face="superscript"&gt;271&lt;/style&gt;&lt;/DisplayText&gt;&lt;record&gt;&lt;rec-number&gt;612&lt;/rec-number&gt;&lt;foreign-keys&gt;&lt;key app="EN" db-id="5trrespwzsdr07efd5tx2w96x22re9s0fsdt"&gt;612&lt;/key&gt;&lt;/foreign-keys&gt;&lt;ref-type name="Journal Article"&gt;17&lt;/ref-type&gt;&lt;contributors&gt;&lt;authors&gt;&lt;author&gt;Schwalbe, Harald&lt;/author&gt;&lt;author&gt;Grimshaw, Shaun B&lt;/author&gt;&lt;author&gt;Spencer, Andrew&lt;/author&gt;&lt;author&gt;Buck, Matthias&lt;/author&gt;&lt;author&gt;Boyd, Jonathan&lt;/author&gt;&lt;author&gt;Dobson, Christopher M&lt;/author&gt;&lt;author&gt;Redfield, Christina&lt;/author&gt;&lt;author&gt;Smith, Lorna J&lt;/author&gt;&lt;/authors&gt;&lt;/contributors&gt;&lt;titles&gt;&lt;title&gt;A refined solution structure of hen lysozyme determined using residual dipolar coupling data&lt;/title&gt;&lt;secondary-title&gt;Protein Science&lt;/secondary-title&gt;&lt;/titles&gt;&lt;periodical&gt;&lt;full-title&gt;Protein Science&lt;/full-title&gt;&lt;/periodical&gt;&lt;pages&gt;677-688&lt;/pages&gt;&lt;volume&gt;10&lt;/volume&gt;&lt;number&gt;4&lt;/number&gt;&lt;dates&gt;&lt;year&gt;2001&lt;/year&gt;&lt;/dates&gt;&lt;isbn&gt;1469-896X&lt;/isbn&gt;&lt;urls&gt;&lt;/urls&gt;&lt;/record&gt;&lt;/Cite&gt;&lt;/EndNote&gt;</w:instrText>
        </w:r>
        <w:r w:rsidR="00512D09">
          <w:fldChar w:fldCharType="separate"/>
        </w:r>
        <w:r w:rsidR="00512D09" w:rsidRPr="006421D1">
          <w:rPr>
            <w:noProof/>
            <w:vertAlign w:val="superscript"/>
          </w:rPr>
          <w:t>271</w:t>
        </w:r>
        <w:r w:rsidR="00512D09">
          <w:fldChar w:fldCharType="end"/>
        </w:r>
      </w:hyperlink>
      <w:r w:rsidR="00041E91">
        <w:t xml:space="preserve"> </w:t>
      </w:r>
      <w:r>
        <w:t xml:space="preserve"> </w:t>
      </w:r>
    </w:p>
    <w:p w:rsidR="008E6BF7" w:rsidRDefault="008E6BF7" w:rsidP="008E6BF7">
      <w:pPr>
        <w:spacing w:line="480" w:lineRule="auto"/>
        <w:jc w:val="both"/>
        <w:rPr>
          <w:bCs/>
          <w:iCs/>
        </w:rPr>
      </w:pPr>
      <w:r w:rsidRPr="00CA757D">
        <w:rPr>
          <w:bCs/>
          <w:iCs/>
        </w:rPr>
        <w:lastRenderedPageBreak/>
        <w:t xml:space="preserve">From the stoichiometry </w:t>
      </w:r>
      <w:r w:rsidR="008B2705" w:rsidRPr="00CA757D">
        <w:rPr>
          <w:bCs/>
          <w:iCs/>
        </w:rPr>
        <w:t>values,</w:t>
      </w:r>
      <w:r w:rsidRPr="00CA757D">
        <w:rPr>
          <w:bCs/>
          <w:iCs/>
        </w:rPr>
        <w:t xml:space="preserve"> it seems that phytate does not bind to all of these residues</w:t>
      </w:r>
      <w:r>
        <w:rPr>
          <w:bCs/>
          <w:iCs/>
        </w:rPr>
        <w:t xml:space="preserve">. </w:t>
      </w:r>
      <w:hyperlink w:anchor="_ENREF_271" w:tooltip="Schwalbe, 2001 #612" w:history="1">
        <w:r w:rsidR="00512D09" w:rsidRPr="00CA757D">
          <w:rPr>
            <w:bCs/>
            <w:iCs/>
          </w:rPr>
          <w:fldChar w:fldCharType="begin"/>
        </w:r>
        <w:r w:rsidR="00512D09">
          <w:rPr>
            <w:bCs/>
            <w:iCs/>
          </w:rPr>
          <w:instrText xml:space="preserve"> ADDIN EN.CITE &lt;EndNote&gt;&lt;Cite&gt;&lt;Author&gt;Schwalbe&lt;/Author&gt;&lt;Year&gt;2001&lt;/Year&gt;&lt;RecNum&gt;612&lt;/RecNum&gt;&lt;DisplayText&gt;&lt;style face="superscript"&gt;271&lt;/style&gt;&lt;/DisplayText&gt;&lt;record&gt;&lt;rec-number&gt;612&lt;/rec-number&gt;&lt;foreign-keys&gt;&lt;key app="EN" db-id="5trrespwzsdr07efd5tx2w96x22re9s0fsdt"&gt;612&lt;/key&gt;&lt;/foreign-keys&gt;&lt;ref-type name="Journal Article"&gt;17&lt;/ref-type&gt;&lt;contributors&gt;&lt;authors&gt;&lt;author&gt;Schwalbe, Harald&lt;/author&gt;&lt;author&gt;Grimshaw, Shaun B&lt;/author&gt;&lt;author&gt;Spencer, Andrew&lt;/author&gt;&lt;author&gt;Buck, Matthias&lt;/author&gt;&lt;author&gt;Boyd, Jonathan&lt;/author&gt;&lt;author&gt;Dobson, Christopher M&lt;/author&gt;&lt;author&gt;Redfield, Christina&lt;/author&gt;&lt;author&gt;Smith, Lorna J&lt;/author&gt;&lt;/authors&gt;&lt;/contributors&gt;&lt;titles&gt;&lt;title&gt;A refined solution structure of hen lysozyme determined using residual dipolar coupling data&lt;/title&gt;&lt;secondary-title&gt;Protein Science&lt;/secondary-title&gt;&lt;/titles&gt;&lt;periodical&gt;&lt;full-title&gt;Protein Science&lt;/full-title&gt;&lt;/periodical&gt;&lt;pages&gt;677-688&lt;/pages&gt;&lt;volume&gt;10&lt;/volume&gt;&lt;number&gt;4&lt;/number&gt;&lt;dates&gt;&lt;year&gt;2001&lt;/year&gt;&lt;/dates&gt;&lt;isbn&gt;1469-896X&lt;/isbn&gt;&lt;urls&gt;&lt;/urls&gt;&lt;/record&gt;&lt;/Cite&gt;&lt;/EndNote&gt;</w:instrText>
        </w:r>
        <w:r w:rsidR="00512D09" w:rsidRPr="00CA757D">
          <w:rPr>
            <w:bCs/>
            <w:iCs/>
          </w:rPr>
          <w:fldChar w:fldCharType="separate"/>
        </w:r>
        <w:r w:rsidR="00512D09" w:rsidRPr="006421D1">
          <w:rPr>
            <w:bCs/>
            <w:iCs/>
            <w:noProof/>
            <w:vertAlign w:val="superscript"/>
          </w:rPr>
          <w:t>271</w:t>
        </w:r>
        <w:r w:rsidR="00512D09" w:rsidRPr="00CA757D">
          <w:fldChar w:fldCharType="end"/>
        </w:r>
      </w:hyperlink>
      <w:r w:rsidRPr="00CA757D">
        <w:rPr>
          <w:bCs/>
          <w:iCs/>
        </w:rPr>
        <w:t xml:space="preserve"> This indicates the possibility that phytate interacts with lysozyme specifically. Non-specific interactions generally give non-sigmodial such as the binding isotherm between polymers and surfactants</w:t>
      </w:r>
      <w:r>
        <w:rPr>
          <w:bCs/>
          <w:iCs/>
        </w:rPr>
        <w:t>.</w:t>
      </w:r>
      <w:hyperlink w:anchor="_ENREF_217" w:tooltip="Kevelam, 1996 #418" w:history="1">
        <w:r w:rsidR="00512D09" w:rsidRPr="00CA757D">
          <w:rPr>
            <w:bCs/>
            <w:iCs/>
          </w:rPr>
          <w:fldChar w:fldCharType="begin"/>
        </w:r>
        <w:r w:rsidR="00512D09">
          <w:rPr>
            <w:bCs/>
            <w:iCs/>
          </w:rPr>
          <w:instrText xml:space="preserve"> ADDIN EN.CITE &lt;EndNote&gt;&lt;Cite&gt;&lt;Author&gt;Kevelam&lt;/Author&gt;&lt;Year&gt;1996&lt;/Year&gt;&lt;RecNum&gt;418&lt;/RecNum&gt;&lt;DisplayText&gt;&lt;style face="superscript"&gt;217&lt;/style&gt;&lt;/DisplayText&gt;&lt;record&gt;&lt;rec-number&gt;418&lt;/rec-number&gt;&lt;foreign-keys&gt;&lt;key app="EN" db-id="5trrespwzsdr07efd5tx2w96x22re9s0fsdt"&gt;418&lt;/key&gt;&lt;/foreign-keys&gt;&lt;ref-type name="Journal Article"&gt;17&lt;/ref-type&gt;&lt;contributors&gt;&lt;authors&gt;&lt;author&gt;Kevelam, Jan&lt;/author&gt;&lt;author&gt;van Breemen, Jan F. L.&lt;/author&gt;&lt;author&gt;Blokzijl, Wilfried&lt;/author&gt;&lt;author&gt;Engberts, Jan B. F. N.&lt;/author&gt;&lt;/authors&gt;&lt;/contributors&gt;&lt;titles&gt;&lt;title&gt;Polymer−Surfactant Interactions Studied by Titration Microcalorimetry:  Influence of Polymer Hydrophobicity, Electrostatic Forces, and Surfactant Aggregational State&lt;/title&gt;&lt;secondary-title&gt;Langmuir&lt;/secondary-title&gt;&lt;/titles&gt;&lt;periodical&gt;&lt;full-title&gt;Langmuir&lt;/full-title&gt;&lt;/periodical&gt;&lt;pages&gt;4709-4717&lt;/pages&gt;&lt;volume&gt;12&lt;/volume&gt;&lt;number&gt;20&lt;/number&gt;&lt;dates&gt;&lt;year&gt;1996&lt;/year&gt;&lt;pub-dates&gt;&lt;date&gt;1996/01/01&lt;/date&gt;&lt;/pub-dates&gt;&lt;/dates&gt;&lt;publisher&gt;American Chemical Society&lt;/publisher&gt;&lt;isbn&gt;0743-7463&lt;/isbn&gt;&lt;urls&gt;&lt;related-urls&gt;&lt;url&gt;http://dx.doi.org/10.1021/la960300n&lt;/url&gt;&lt;/related-urls&gt;&lt;/urls&gt;&lt;electronic-resource-num&gt;10.1021/la960300n&lt;/electronic-resource-num&gt;&lt;access-date&gt;2014/10/14&lt;/access-date&gt;&lt;/record&gt;&lt;/Cite&gt;&lt;/EndNote&gt;</w:instrText>
        </w:r>
        <w:r w:rsidR="00512D09" w:rsidRPr="00CA757D">
          <w:rPr>
            <w:bCs/>
            <w:iCs/>
          </w:rPr>
          <w:fldChar w:fldCharType="separate"/>
        </w:r>
        <w:r w:rsidR="00512D09" w:rsidRPr="006421D1">
          <w:rPr>
            <w:bCs/>
            <w:iCs/>
            <w:noProof/>
            <w:vertAlign w:val="superscript"/>
          </w:rPr>
          <w:t>217</w:t>
        </w:r>
        <w:r w:rsidR="00512D09" w:rsidRPr="00CA757D">
          <w:fldChar w:fldCharType="end"/>
        </w:r>
      </w:hyperlink>
      <w:r w:rsidRPr="00CA757D">
        <w:rPr>
          <w:bCs/>
          <w:iCs/>
        </w:rPr>
        <w:t xml:space="preserve">  Furthermore</w:t>
      </w:r>
      <w:r w:rsidR="00F97B29">
        <w:rPr>
          <w:bCs/>
          <w:iCs/>
        </w:rPr>
        <w:t>,</w:t>
      </w:r>
      <w:r w:rsidRPr="00CA757D">
        <w:rPr>
          <w:bCs/>
          <w:iCs/>
        </w:rPr>
        <w:t xml:space="preserve"> the affinity is in the micromolar range which is surprising given that the general consensus that phytate binding to proteins is non-specific.  Bound phytate could electrostatically repel other phytates from binding which could provide a degree of specificity. This is interesting given that current models of how proteins bind to substrates do not detail electrostatic repulsion. The lock and key theory assumes that both the protein and substrates have fixed conformations that provide specificity. The induced fit theory describes how specificity is due to substrate induced protein conformational changes. In this particular binding interaction, phytate binds to positively charged amino acids but the negatively charged phosphate groups prevent further phytate binding</w:t>
      </w:r>
      <w:r>
        <w:rPr>
          <w:bCs/>
          <w:iCs/>
        </w:rPr>
        <w:t xml:space="preserve"> (</w:t>
      </w:r>
      <w:r w:rsidR="0075172E">
        <w:rPr>
          <w:bCs/>
          <w:iCs/>
        </w:rPr>
        <w:fldChar w:fldCharType="begin"/>
      </w:r>
      <w:r w:rsidR="008B4DC8">
        <w:rPr>
          <w:bCs/>
          <w:iCs/>
        </w:rPr>
        <w:instrText xml:space="preserve"> REF _Ref442882683 \h </w:instrText>
      </w:r>
      <w:r w:rsidR="0075172E">
        <w:rPr>
          <w:bCs/>
          <w:iCs/>
        </w:rPr>
      </w:r>
      <w:r w:rsidR="0075172E">
        <w:rPr>
          <w:bCs/>
          <w:iCs/>
        </w:rPr>
        <w:fldChar w:fldCharType="separate"/>
      </w:r>
      <w:r w:rsidR="00CB4EDC">
        <w:t xml:space="preserve">Figure </w:t>
      </w:r>
      <w:r w:rsidR="00CB4EDC">
        <w:rPr>
          <w:noProof/>
        </w:rPr>
        <w:t>4</w:t>
      </w:r>
      <w:r w:rsidR="00CB4EDC">
        <w:t>.</w:t>
      </w:r>
      <w:r w:rsidR="00CB4EDC">
        <w:rPr>
          <w:noProof/>
        </w:rPr>
        <w:t>9</w:t>
      </w:r>
      <w:r w:rsidR="0075172E">
        <w:rPr>
          <w:bCs/>
          <w:iCs/>
        </w:rPr>
        <w:fldChar w:fldCharType="end"/>
      </w:r>
      <w:r w:rsidRPr="00CA757D">
        <w:rPr>
          <w:bCs/>
          <w:iCs/>
        </w:rPr>
        <w:t xml:space="preserve">).   </w:t>
      </w:r>
    </w:p>
    <w:p w:rsidR="008E6BF7" w:rsidRDefault="008E6BF7" w:rsidP="008E6BF7">
      <w:pPr>
        <w:keepNext/>
        <w:spacing w:line="480" w:lineRule="auto"/>
        <w:jc w:val="center"/>
      </w:pPr>
      <w:r>
        <w:rPr>
          <w:noProof/>
          <w:lang w:eastAsia="en-GB"/>
        </w:rPr>
        <w:drawing>
          <wp:inline distT="0" distB="0" distL="0" distR="0" wp14:anchorId="24D1460C" wp14:editId="0B78F3AF">
            <wp:extent cx="4236720" cy="1005904"/>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246641" cy="1008260"/>
                    </a:xfrm>
                    <a:prstGeom prst="rect">
                      <a:avLst/>
                    </a:prstGeom>
                  </pic:spPr>
                </pic:pic>
              </a:graphicData>
            </a:graphic>
          </wp:inline>
        </w:drawing>
      </w:r>
    </w:p>
    <w:p w:rsidR="008E6BF7" w:rsidRPr="006700E3" w:rsidRDefault="008E6BF7" w:rsidP="008E6BF7">
      <w:pPr>
        <w:pStyle w:val="Caption"/>
        <w:spacing w:line="480" w:lineRule="auto"/>
        <w:jc w:val="center"/>
      </w:pPr>
      <w:bookmarkStart w:id="166" w:name="_Ref442882683"/>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9</w:t>
      </w:r>
      <w:r w:rsidR="0075172E">
        <w:fldChar w:fldCharType="end"/>
      </w:r>
      <w:bookmarkEnd w:id="166"/>
      <w:r>
        <w:t xml:space="preserve">: </w:t>
      </w:r>
      <w:r w:rsidRPr="001D3853">
        <w:t>Lysozyme (red circle) with 13 positively charged residues (open triangles) that could all act as binding sites. Phytate (blue triangle) binds and produces a region of negative charge (blue dashes) making further phytate binding at that region less favourable. Increasing the concentration of bound phytate on lysozyme produces more localised areas of negative charge.</w:t>
      </w:r>
    </w:p>
    <w:p w:rsidR="008E6BF7" w:rsidRDefault="008E6BF7" w:rsidP="008E6BF7">
      <w:pPr>
        <w:spacing w:line="480" w:lineRule="auto"/>
        <w:jc w:val="both"/>
        <w:rPr>
          <w:bCs/>
          <w:iCs/>
        </w:rPr>
      </w:pPr>
      <w:r>
        <w:rPr>
          <w:bCs/>
          <w:iCs/>
        </w:rPr>
        <w:t xml:space="preserve">Previous studies have indicated that phytate-lysozyme binding is electrostatic in nature. Bye </w:t>
      </w:r>
      <w:r w:rsidRPr="006E4D1E">
        <w:rPr>
          <w:bCs/>
          <w:i/>
          <w:iCs/>
        </w:rPr>
        <w:t>et al</w:t>
      </w:r>
      <w:r w:rsidR="002D4FF8">
        <w:rPr>
          <w:bCs/>
          <w:i/>
          <w:iCs/>
        </w:rPr>
        <w:t>.</w:t>
      </w:r>
      <w:r>
        <w:rPr>
          <w:bCs/>
          <w:iCs/>
        </w:rPr>
        <w:t xml:space="preserve"> increased the concentration of NaCl in the presence of lysozyme and phytate and measured the change in protein denaturation temperature (</w:t>
      </w:r>
      <w:r w:rsidRPr="00756199">
        <w:rPr>
          <w:bCs/>
          <w:i/>
          <w:iCs/>
        </w:rPr>
        <w:t>ΔT</w:t>
      </w:r>
      <w:r>
        <w:rPr>
          <w:bCs/>
          <w:i/>
          <w:iCs/>
          <w:vertAlign w:val="subscript"/>
        </w:rPr>
        <w:t>m</w:t>
      </w:r>
      <w:r>
        <w:rPr>
          <w:bCs/>
          <w:iCs/>
        </w:rPr>
        <w:t xml:space="preserve">) calculated by </w:t>
      </w:r>
      <w:r w:rsidR="0080746E">
        <w:rPr>
          <w:bCs/>
          <w:iCs/>
        </w:rPr>
        <w:t xml:space="preserve">Differential Scanning Calorimetry </w:t>
      </w:r>
      <w:r>
        <w:rPr>
          <w:bCs/>
          <w:iCs/>
        </w:rPr>
        <w:t>(DSC) between the two experiments</w:t>
      </w:r>
      <w:r>
        <w:rPr>
          <w:bCs/>
          <w:i/>
          <w:iCs/>
          <w:vertAlign w:val="subscript"/>
        </w:rPr>
        <w:t xml:space="preserve">. </w:t>
      </w:r>
      <w:r>
        <w:rPr>
          <w:bCs/>
          <w:iCs/>
        </w:rPr>
        <w:t xml:space="preserve">They reported that increased NaCl prevented the interaction between phytate and lysozyme restoring the protein </w:t>
      </w:r>
      <w:r>
        <w:rPr>
          <w:bCs/>
          <w:iCs/>
        </w:rPr>
        <w:lastRenderedPageBreak/>
        <w:t>denaturation temperature (</w:t>
      </w:r>
      <w:r w:rsidRPr="00756199">
        <w:rPr>
          <w:bCs/>
          <w:i/>
          <w:iCs/>
        </w:rPr>
        <w:t>T</w:t>
      </w:r>
      <w:r w:rsidRPr="00756199">
        <w:rPr>
          <w:bCs/>
          <w:iCs/>
          <w:vertAlign w:val="subscript"/>
        </w:rPr>
        <w:t>m</w:t>
      </w:r>
      <w:r>
        <w:rPr>
          <w:bCs/>
          <w:iCs/>
        </w:rPr>
        <w:t>) of this protein until it matched the level without phytate.</w:t>
      </w:r>
      <w:hyperlink w:anchor="_ENREF_241" w:tooltip="Bye, 2013 #544" w:history="1">
        <w:r w:rsidR="00512D09">
          <w:rPr>
            <w:bCs/>
            <w:iCs/>
          </w:rPr>
          <w:fldChar w:fldCharType="begin"/>
        </w:r>
        <w:r w:rsidR="00512D09">
          <w:rPr>
            <w:bCs/>
            <w:iCs/>
          </w:rPr>
          <w:instrText xml:space="preserve"> ADDIN EN.CITE &lt;EndNote&gt;&lt;Cite&gt;&lt;Author&gt;Bye&lt;/Author&gt;&lt;Year&gt;2013&lt;/Year&gt;&lt;RecNum&gt;544&lt;/RecNum&gt;&lt;DisplayText&gt;&lt;style face="superscript"&gt;241&lt;/style&gt;&lt;/DisplayText&gt;&lt;record&gt;&lt;rec-number&gt;544&lt;/rec-number&gt;&lt;foreign-keys&gt;&lt;key app="EN" db-id="5trrespwzsdr07efd5tx2w96x22re9s0fsdt"&gt;544&lt;/key&gt;&lt;/foreign-keys&gt;&lt;ref-type name="Journal Article"&gt;17&lt;/ref-type&gt;&lt;contributors&gt;&lt;authors&gt;&lt;author&gt;Bye, Jordan W.&lt;/author&gt;&lt;author&gt;Cowieson, Nathan P.&lt;/author&gt;&lt;author&gt;Cowieson, Aaron J.&lt;/author&gt;&lt;author&gt;Selle, Peter H.&lt;/author&gt;&lt;author&gt;Falconer, Robert J.&lt;/author&gt;&lt;/authors&gt;&lt;/contributors&gt;&lt;titles&gt;&lt;title&gt;Dual Effects of Sodium Phytate on the Structural Stability and Solubility of Proteins&lt;/title&gt;&lt;secondary-title&gt;Journal of Agricultural and Food Chemistry&lt;/secondary-title&gt;&lt;/titles&gt;&lt;periodical&gt;&lt;full-title&gt;Journal of Agricultural and Food Chemistry&lt;/full-title&gt;&lt;/periodical&gt;&lt;pages&gt;290-295&lt;/pages&gt;&lt;volume&gt;61&lt;/volume&gt;&lt;number&gt;2&lt;/number&gt;&lt;dates&gt;&lt;year&gt;2013&lt;/year&gt;&lt;pub-dates&gt;&lt;date&gt;2013/01/16&lt;/date&gt;&lt;/pub-dates&gt;&lt;/dates&gt;&lt;publisher&gt;American Chemical Society&lt;/publisher&gt;&lt;isbn&gt;0021-8561&lt;/isbn&gt;&lt;urls&gt;&lt;related-urls&gt;&lt;url&gt;http://dx.doi.org/10.1021/jf303926v&lt;/url&gt;&lt;/related-urls&gt;&lt;/urls&gt;&lt;electronic-resource-num&gt;10.1021/jf303926v&lt;/electronic-resource-num&gt;&lt;/record&gt;&lt;/Cite&gt;&lt;/EndNote&gt;</w:instrText>
        </w:r>
        <w:r w:rsidR="00512D09">
          <w:rPr>
            <w:bCs/>
            <w:iCs/>
          </w:rPr>
          <w:fldChar w:fldCharType="separate"/>
        </w:r>
        <w:r w:rsidR="00512D09" w:rsidRPr="006421D1">
          <w:rPr>
            <w:bCs/>
            <w:iCs/>
            <w:noProof/>
            <w:vertAlign w:val="superscript"/>
          </w:rPr>
          <w:t>241</w:t>
        </w:r>
        <w:r w:rsidR="00512D09">
          <w:rPr>
            <w:bCs/>
            <w:iCs/>
          </w:rPr>
          <w:fldChar w:fldCharType="end"/>
        </w:r>
      </w:hyperlink>
      <w:r>
        <w:rPr>
          <w:bCs/>
          <w:iCs/>
        </w:rPr>
        <w:t xml:space="preserve"> The thermodynamic measurements presented here suggest that the interaction between potassium phytate and lysozyme is favoured enthalpically with a minor contribution from </w:t>
      </w:r>
      <w:r w:rsidRPr="007B2FA4">
        <w:rPr>
          <w:bCs/>
          <w:iCs/>
        </w:rPr>
        <w:t>TΔ</w:t>
      </w:r>
      <w:r w:rsidRPr="008358FA">
        <w:rPr>
          <w:bCs/>
          <w:i/>
          <w:iCs/>
        </w:rPr>
        <w:t>S</w:t>
      </w:r>
      <w:r>
        <w:rPr>
          <w:bCs/>
          <w:iCs/>
        </w:rPr>
        <w:t xml:space="preserve">. </w:t>
      </w:r>
      <w:r w:rsidR="00C07BA6">
        <w:rPr>
          <w:bCs/>
          <w:iCs/>
        </w:rPr>
        <w:t>Presumably,</w:t>
      </w:r>
      <w:r>
        <w:rPr>
          <w:bCs/>
          <w:iCs/>
        </w:rPr>
        <w:t xml:space="preserve"> the source of the favourable </w:t>
      </w:r>
      <w:r w:rsidRPr="008358FA">
        <w:rPr>
          <w:bCs/>
          <w:iCs/>
        </w:rPr>
        <w:t>Δ</w:t>
      </w:r>
      <w:r w:rsidRPr="008358FA">
        <w:rPr>
          <w:bCs/>
          <w:i/>
          <w:iCs/>
        </w:rPr>
        <w:t>H</w:t>
      </w:r>
      <w:r>
        <w:rPr>
          <w:bCs/>
          <w:iCs/>
        </w:rPr>
        <w:t xml:space="preserve"> is electrostatic interaction between phytate phosphate groups and</w:t>
      </w:r>
      <w:r w:rsidR="008B4DC8">
        <w:rPr>
          <w:bCs/>
          <w:iCs/>
        </w:rPr>
        <w:t xml:space="preserve"> positively charged amino acids. </w:t>
      </w:r>
      <w:r>
        <w:rPr>
          <w:bCs/>
          <w:iCs/>
        </w:rPr>
        <w:t>To test this theory the concentration of ammonium acetate was increased from 10 mM to 300 mM (</w:t>
      </w:r>
      <w:r w:rsidR="0075172E">
        <w:rPr>
          <w:bCs/>
          <w:iCs/>
        </w:rPr>
        <w:fldChar w:fldCharType="begin"/>
      </w:r>
      <w:r w:rsidR="008B4DC8">
        <w:rPr>
          <w:bCs/>
          <w:iCs/>
        </w:rPr>
        <w:instrText xml:space="preserve"> REF _Ref442882739 \h </w:instrText>
      </w:r>
      <w:r w:rsidR="0075172E">
        <w:rPr>
          <w:bCs/>
          <w:iCs/>
        </w:rPr>
      </w:r>
      <w:r w:rsidR="0075172E">
        <w:rPr>
          <w:bCs/>
          <w:iCs/>
        </w:rPr>
        <w:fldChar w:fldCharType="separate"/>
      </w:r>
      <w:r w:rsidR="00CB4EDC">
        <w:t xml:space="preserve">Figure </w:t>
      </w:r>
      <w:r w:rsidR="00CB4EDC">
        <w:rPr>
          <w:noProof/>
        </w:rPr>
        <w:t>4</w:t>
      </w:r>
      <w:r w:rsidR="00CB4EDC">
        <w:t>.</w:t>
      </w:r>
      <w:r w:rsidR="00CB4EDC">
        <w:rPr>
          <w:noProof/>
        </w:rPr>
        <w:t>10</w:t>
      </w:r>
      <w:r w:rsidR="0075172E">
        <w:rPr>
          <w:bCs/>
          <w:iCs/>
        </w:rPr>
        <w:fldChar w:fldCharType="end"/>
      </w:r>
      <w:r>
        <w:rPr>
          <w:bCs/>
          <w:iCs/>
        </w:rPr>
        <w:t xml:space="preserve">). The amount of heat detected was reduced significantly indicating that the interaction is purely electrostatic as high salt concentrations screen columbic interactions. </w:t>
      </w:r>
      <w:r w:rsidR="00C07BA6">
        <w:rPr>
          <w:bCs/>
          <w:iCs/>
        </w:rPr>
        <w:t>Furthermore,</w:t>
      </w:r>
      <w:r>
        <w:rPr>
          <w:bCs/>
          <w:iCs/>
        </w:rPr>
        <w:t xml:space="preserve"> this indicates that hydrogen bonding between the phosphate groups on the phytate and amino acids on the protein is unlikely. </w:t>
      </w:r>
    </w:p>
    <w:p w:rsidR="008E6BF7" w:rsidRDefault="008E6BF7" w:rsidP="008E6BF7">
      <w:pPr>
        <w:spacing w:line="480" w:lineRule="auto"/>
        <w:jc w:val="both"/>
        <w:rPr>
          <w:bCs/>
          <w:iCs/>
        </w:rPr>
      </w:pPr>
      <w:r>
        <w:rPr>
          <w:bCs/>
          <w:iCs/>
        </w:rPr>
        <w:t>Pig and poultry nutrition is negatively affected by phytate present in the feed</w:t>
      </w:r>
      <w:r w:rsidR="00BA50F4">
        <w:rPr>
          <w:bCs/>
          <w:iCs/>
        </w:rPr>
        <w:t>.</w:t>
      </w:r>
      <w:hyperlink w:anchor="_ENREF_248" w:tooltip="Selle, 2012 #610" w:history="1">
        <w:r w:rsidR="00512D09">
          <w:rPr>
            <w:bCs/>
            <w:iCs/>
          </w:rPr>
          <w:fldChar w:fldCharType="begin"/>
        </w:r>
        <w:r w:rsidR="00512D09">
          <w:rPr>
            <w:bCs/>
            <w:iCs/>
          </w:rPr>
          <w:instrText xml:space="preserve"> ADDIN EN.CITE &lt;EndNote&gt;&lt;Cite&gt;&lt;Author&gt;Selle&lt;/Author&gt;&lt;Year&gt;2012&lt;/Year&gt;&lt;RecNum&gt;610&lt;/RecNum&gt;&lt;DisplayText&gt;&lt;style face="superscript"&gt;248&lt;/style&gt;&lt;/DisplayText&gt;&lt;record&gt;&lt;rec-number&gt;610&lt;/rec-number&gt;&lt;foreign-keys&gt;&lt;key app="EN" db-id="5trrespwzsdr07efd5tx2w96x22re9s0fsdt"&gt;610&lt;/key&gt;&lt;/foreign-keys&gt;&lt;ref-type name="Journal Article"&gt;17&lt;/ref-type&gt;&lt;contributors&gt;&lt;authors&gt;&lt;author&gt;Selle, Peter H&lt;/author&gt;&lt;author&gt;Cowieson, Aaron J&lt;/author&gt;&lt;author&gt;Cowieson, Nathan P&lt;/author&gt;&lt;author&gt;Ravindran, V&lt;/author&gt;&lt;/authors&gt;&lt;/contributors&gt;&lt;titles&gt;&lt;title&gt;Protein–phytate interactions in pig and poultry nutrition: a reappraisal&lt;/title&gt;&lt;secondary-title&gt;Nutrition Research Reviews&lt;/secondary-title&gt;&lt;/titles&gt;&lt;periodical&gt;&lt;full-title&gt;Nutrition Research Reviews&lt;/full-title&gt;&lt;/periodical&gt;&lt;pages&gt;1-17&lt;/pages&gt;&lt;volume&gt;25&lt;/volume&gt;&lt;number&gt;01&lt;/number&gt;&lt;dates&gt;&lt;year&gt;2012&lt;/year&gt;&lt;/dates&gt;&lt;isbn&gt;1475-2700&lt;/isbn&gt;&lt;urls&gt;&lt;/urls&gt;&lt;/record&gt;&lt;/Cite&gt;&lt;/EndNote&gt;</w:instrText>
        </w:r>
        <w:r w:rsidR="00512D09">
          <w:rPr>
            <w:bCs/>
            <w:iCs/>
          </w:rPr>
          <w:fldChar w:fldCharType="separate"/>
        </w:r>
        <w:r w:rsidR="00512D09" w:rsidRPr="006421D1">
          <w:rPr>
            <w:bCs/>
            <w:iCs/>
            <w:noProof/>
            <w:vertAlign w:val="superscript"/>
          </w:rPr>
          <w:t>248</w:t>
        </w:r>
        <w:r w:rsidR="00512D09">
          <w:rPr>
            <w:bCs/>
            <w:iCs/>
          </w:rPr>
          <w:fldChar w:fldCharType="end"/>
        </w:r>
      </w:hyperlink>
      <w:r>
        <w:rPr>
          <w:bCs/>
          <w:iCs/>
        </w:rPr>
        <w:t xml:space="preserve"> This has major economic ramifications for the farming industry and has led to the supplementation of phytase in the feed. However, results on the efficacy of phytase supplementation remain conflicting.</w:t>
      </w:r>
      <w:hyperlink w:anchor="_ENREF_258" w:tooltip="Adeola, 2003 #607" w:history="1">
        <w:r w:rsidR="00512D09">
          <w:rPr>
            <w:bCs/>
            <w:iCs/>
          </w:rPr>
          <w:fldChar w:fldCharType="begin"/>
        </w:r>
        <w:r w:rsidR="00512D09">
          <w:rPr>
            <w:bCs/>
            <w:iCs/>
          </w:rPr>
          <w:instrText xml:space="preserve"> ADDIN EN.CITE &lt;EndNote&gt;&lt;Cite&gt;&lt;Author&gt;Adeola&lt;/Author&gt;&lt;Year&gt;2003&lt;/Year&gt;&lt;RecNum&gt;607&lt;/RecNum&gt;&lt;DisplayText&gt;&lt;style face="superscript"&gt;258&lt;/style&gt;&lt;/DisplayText&gt;&lt;record&gt;&lt;rec-number&gt;607&lt;/rec-number&gt;&lt;foreign-keys&gt;&lt;key app="EN" db-id="5trrespwzsdr07efd5tx2w96x22re9s0fsdt"&gt;607&lt;/key&gt;&lt;/foreign-keys&gt;&lt;ref-type name="Journal Article"&gt;17&lt;/ref-type&gt;&lt;contributors&gt;&lt;authors&gt;&lt;author&gt;Adeola, O&lt;/author&gt;&lt;author&gt;Sands, JS&lt;/author&gt;&lt;/authors&gt;&lt;/contributors&gt;&lt;titles&gt;&lt;title&gt;Does supplemental dietary microbial phytase improve amino acid utilization? A perspective that it does not&lt;/title&gt;&lt;secondary-title&gt;Journal of animal science&lt;/secondary-title&gt;&lt;/titles&gt;&lt;periodical&gt;&lt;full-title&gt;Journal of animal science&lt;/full-title&gt;&lt;/periodical&gt;&lt;pages&gt;E78-E85&lt;/pages&gt;&lt;volume&gt;81&lt;/volume&gt;&lt;number&gt;14_suppl_2&lt;/number&gt;&lt;dates&gt;&lt;year&gt;2003&lt;/year&gt;&lt;/dates&gt;&lt;isbn&gt;1525-3163&lt;/isbn&gt;&lt;urls&gt;&lt;/urls&gt;&lt;/record&gt;&lt;/Cite&gt;&lt;/EndNote&gt;</w:instrText>
        </w:r>
        <w:r w:rsidR="00512D09">
          <w:rPr>
            <w:bCs/>
            <w:iCs/>
          </w:rPr>
          <w:fldChar w:fldCharType="separate"/>
        </w:r>
        <w:r w:rsidR="00512D09" w:rsidRPr="006421D1">
          <w:rPr>
            <w:bCs/>
            <w:iCs/>
            <w:noProof/>
            <w:vertAlign w:val="superscript"/>
          </w:rPr>
          <w:t>258</w:t>
        </w:r>
        <w:r w:rsidR="00512D09">
          <w:rPr>
            <w:bCs/>
            <w:iCs/>
          </w:rPr>
          <w:fldChar w:fldCharType="end"/>
        </w:r>
      </w:hyperlink>
      <w:r>
        <w:rPr>
          <w:bCs/>
          <w:iCs/>
        </w:rPr>
        <w:t xml:space="preserve"> For example, supplemental microbial phytase did not improve the utilisation of amino acids provided by a soybean meal for pigs.</w:t>
      </w:r>
      <w:hyperlink w:anchor="_ENREF_272" w:tooltip="Traylor, 2001 #627" w:history="1">
        <w:r w:rsidR="00512D09">
          <w:rPr>
            <w:bCs/>
            <w:iCs/>
          </w:rPr>
          <w:fldChar w:fldCharType="begin"/>
        </w:r>
        <w:r w:rsidR="00512D09">
          <w:rPr>
            <w:bCs/>
            <w:iCs/>
          </w:rPr>
          <w:instrText xml:space="preserve"> ADDIN EN.CITE &lt;EndNote&gt;&lt;Cite&gt;&lt;Author&gt;Traylor&lt;/Author&gt;&lt;Year&gt;2001&lt;/Year&gt;&lt;RecNum&gt;627&lt;/RecNum&gt;&lt;DisplayText&gt;&lt;style face="superscript"&gt;272&lt;/style&gt;&lt;/DisplayText&gt;&lt;record&gt;&lt;rec-number&gt;627&lt;/rec-number&gt;&lt;foreign-keys&gt;&lt;key app="EN" db-id="5trrespwzsdr07efd5tx2w96x22re9s0fsdt"&gt;627&lt;/key&gt;&lt;/foreign-keys&gt;&lt;ref-type name="Journal Article"&gt;17&lt;/ref-type&gt;&lt;contributors&gt;&lt;authors&gt;&lt;author&gt;Traylor, SL&lt;/author&gt;&lt;author&gt;Cromwell, GL&lt;/author&gt;&lt;author&gt;Lindemann, MD&lt;/author&gt;&lt;author&gt;Knabe, DA&lt;/author&gt;&lt;/authors&gt;&lt;/contributors&gt;&lt;titles&gt;&lt;title&gt;Effects of level of supplemental phytase on ileal digestibility of amino acids, calcium, and phosphorus in dehulled soybean meal for growing pigs&lt;/title&gt;&lt;secondary-title&gt;Journal of Animal Science&lt;/secondary-title&gt;&lt;/titles&gt;&lt;periodical&gt;&lt;full-title&gt;Journal of animal science&lt;/full-title&gt;&lt;/periodical&gt;&lt;pages&gt;2634-2642&lt;/pages&gt;&lt;volume&gt;79&lt;/volume&gt;&lt;dates&gt;&lt;year&gt;2001&lt;/year&gt;&lt;/dates&gt;&lt;urls&gt;&lt;/urls&gt;&lt;/record&gt;&lt;/Cite&gt;&lt;/EndNote&gt;</w:instrText>
        </w:r>
        <w:r w:rsidR="00512D09">
          <w:rPr>
            <w:bCs/>
            <w:iCs/>
          </w:rPr>
          <w:fldChar w:fldCharType="separate"/>
        </w:r>
        <w:r w:rsidR="00512D09" w:rsidRPr="006421D1">
          <w:rPr>
            <w:bCs/>
            <w:iCs/>
            <w:noProof/>
            <w:vertAlign w:val="superscript"/>
          </w:rPr>
          <w:t>272</w:t>
        </w:r>
        <w:r w:rsidR="00512D09">
          <w:rPr>
            <w:bCs/>
            <w:iCs/>
          </w:rPr>
          <w:fldChar w:fldCharType="end"/>
        </w:r>
      </w:hyperlink>
      <w:r>
        <w:rPr>
          <w:bCs/>
          <w:iCs/>
        </w:rPr>
        <w:t xml:space="preserve"> Three hundred mM ammonium acetate was found to significantly reduce the interaction between phytate and lysozyme (</w:t>
      </w:r>
      <w:r w:rsidR="0075172E">
        <w:rPr>
          <w:bCs/>
          <w:iCs/>
        </w:rPr>
        <w:fldChar w:fldCharType="begin"/>
      </w:r>
      <w:r w:rsidR="008B4DC8">
        <w:rPr>
          <w:bCs/>
          <w:iCs/>
        </w:rPr>
        <w:instrText xml:space="preserve"> REF _Ref442882739 \h </w:instrText>
      </w:r>
      <w:r w:rsidR="0075172E">
        <w:rPr>
          <w:bCs/>
          <w:iCs/>
        </w:rPr>
      </w:r>
      <w:r w:rsidR="0075172E">
        <w:rPr>
          <w:bCs/>
          <w:iCs/>
        </w:rPr>
        <w:fldChar w:fldCharType="separate"/>
      </w:r>
      <w:r w:rsidR="00CB4EDC">
        <w:t xml:space="preserve">Figure </w:t>
      </w:r>
      <w:r w:rsidR="00CB4EDC">
        <w:rPr>
          <w:noProof/>
        </w:rPr>
        <w:t>4</w:t>
      </w:r>
      <w:r w:rsidR="00CB4EDC">
        <w:t>.</w:t>
      </w:r>
      <w:r w:rsidR="00CB4EDC">
        <w:rPr>
          <w:noProof/>
        </w:rPr>
        <w:t>10</w:t>
      </w:r>
      <w:r w:rsidR="0075172E">
        <w:rPr>
          <w:bCs/>
          <w:iCs/>
        </w:rPr>
        <w:fldChar w:fldCharType="end"/>
      </w:r>
      <w:r>
        <w:rPr>
          <w:bCs/>
          <w:iCs/>
        </w:rPr>
        <w:t xml:space="preserve">). When microbial phytase produces little or no change in amino acid absorption, an alternative could be increasing the ionic strength of the feed. However, if such a strategy was adopted the animals would have to have access to more fresh water. </w:t>
      </w:r>
    </w:p>
    <w:p w:rsidR="008E6BF7" w:rsidRDefault="008E6BF7" w:rsidP="008E6BF7">
      <w:pPr>
        <w:spacing w:line="480" w:lineRule="auto"/>
        <w:jc w:val="both"/>
        <w:rPr>
          <w:bCs/>
          <w:iCs/>
        </w:rPr>
      </w:pPr>
      <w:r>
        <w:rPr>
          <w:bCs/>
          <w:iCs/>
        </w:rPr>
        <w:t xml:space="preserve">Although the conditions in this ITC study are not physiological it is interesting to note that the interaction between phytate and lysozyme still occurs in 100 mM acetate at pH 4. The ionic strength of the buffer is 0.1 </w:t>
      </w:r>
      <w:r w:rsidR="00341F7D">
        <w:rPr>
          <w:bCs/>
          <w:iCs/>
        </w:rPr>
        <w:t>M</w:t>
      </w:r>
      <w:r>
        <w:rPr>
          <w:bCs/>
          <w:iCs/>
        </w:rPr>
        <w:t xml:space="preserve"> which is approximately the same as the human stomach.</w:t>
      </w:r>
      <w:hyperlink w:anchor="_ENREF_273" w:tooltip="Lindahl, 1997 #626" w:history="1">
        <w:r w:rsidR="00512D09">
          <w:rPr>
            <w:bCs/>
            <w:iCs/>
          </w:rPr>
          <w:fldChar w:fldCharType="begin"/>
        </w:r>
        <w:r w:rsidR="00512D09">
          <w:rPr>
            <w:bCs/>
            <w:iCs/>
          </w:rPr>
          <w:instrText xml:space="preserve"> ADDIN EN.CITE &lt;EndNote&gt;&lt;Cite&gt;&lt;Author&gt;Lindahl&lt;/Author&gt;&lt;Year&gt;1997&lt;/Year&gt;&lt;RecNum&gt;626&lt;/RecNum&gt;&lt;DisplayText&gt;&lt;style face="superscript"&gt;273&lt;/style&gt;&lt;/DisplayText&gt;&lt;record&gt;&lt;rec-number&gt;626&lt;/rec-number&gt;&lt;foreign-keys&gt;&lt;key app="EN" db-id="5trrespwzsdr07efd5tx2w96x22re9s0fsdt"&gt;626&lt;/key&gt;&lt;/foreign-keys&gt;&lt;ref-type name="Journal Article"&gt;17&lt;/ref-type&gt;&lt;contributors&gt;&lt;authors&gt;&lt;author&gt;Lindahl, Anders&lt;/author&gt;&lt;author&gt;Ungell, Anna-Lena&lt;/author&gt;&lt;author&gt;Knutson, Lars&lt;/author&gt;&lt;author&gt;Lennernäs, Hans&lt;/author&gt;&lt;/authors&gt;&lt;/contributors&gt;&lt;titles&gt;&lt;title&gt;Characterization of fluids from the stomach and proximal jejunum in men and women&lt;/title&gt;&lt;secondary-title&gt;Pharmaceutical research&lt;/secondary-title&gt;&lt;/titles&gt;&lt;periodical&gt;&lt;full-title&gt;Pharmaceutical research&lt;/full-title&gt;&lt;/periodical&gt;&lt;pages&gt;497-502&lt;/pages&gt;&lt;volume&gt;14&lt;/volume&gt;&lt;number&gt;4&lt;/number&gt;&lt;dates&gt;&lt;year&gt;1997&lt;/year&gt;&lt;/dates&gt;&lt;isbn&gt;0724-8741&lt;/isbn&gt;&lt;urls&gt;&lt;/urls&gt;&lt;/record&gt;&lt;/Cite&gt;&lt;/EndNote&gt;</w:instrText>
        </w:r>
        <w:r w:rsidR="00512D09">
          <w:rPr>
            <w:bCs/>
            <w:iCs/>
          </w:rPr>
          <w:fldChar w:fldCharType="separate"/>
        </w:r>
        <w:r w:rsidR="00512D09" w:rsidRPr="006421D1">
          <w:rPr>
            <w:bCs/>
            <w:iCs/>
            <w:noProof/>
            <w:vertAlign w:val="superscript"/>
          </w:rPr>
          <w:t>273</w:t>
        </w:r>
        <w:r w:rsidR="00512D09">
          <w:rPr>
            <w:bCs/>
            <w:iCs/>
          </w:rPr>
          <w:fldChar w:fldCharType="end"/>
        </w:r>
      </w:hyperlink>
      <w:r>
        <w:rPr>
          <w:bCs/>
          <w:iCs/>
        </w:rPr>
        <w:t xml:space="preserve"> In addition to this, the pH of stomach is approximately 4 after consumption of food. </w:t>
      </w:r>
      <w:hyperlink w:anchor="_ENREF_274" w:tooltip="Simonian, 2005 #624" w:history="1">
        <w:r w:rsidR="00512D09">
          <w:rPr>
            <w:bCs/>
            <w:iCs/>
          </w:rPr>
          <w:fldChar w:fldCharType="begin"/>
        </w:r>
        <w:r w:rsidR="00512D09">
          <w:rPr>
            <w:bCs/>
            <w:iCs/>
          </w:rPr>
          <w:instrText xml:space="preserve"> ADDIN EN.CITE &lt;EndNote&gt;&lt;Cite&gt;&lt;Author&gt;Simonian&lt;/Author&gt;&lt;Year&gt;2005&lt;/Year&gt;&lt;RecNum&gt;624&lt;/RecNum&gt;&lt;DisplayText&gt;&lt;style face="superscript"&gt;274&lt;/style&gt;&lt;/DisplayText&gt;&lt;record&gt;&lt;rec-number&gt;624&lt;/rec-number&gt;&lt;foreign-keys&gt;&lt;key app="EN" db-id="5trrespwzsdr07efd5tx2w96x22re9s0fsdt"&gt;624&lt;/key&gt;&lt;/foreign-keys&gt;&lt;ref-type name="Journal Article"&gt;17&lt;/ref-type&gt;&lt;contributors&gt;&lt;authors&gt;&lt;author&gt;Simonian, Hrair P&lt;/author&gt;&lt;author&gt;Vo, Lien&lt;/author&gt;&lt;author&gt;Doma, Siva&lt;/author&gt;&lt;author&gt;Fisher, Robert S&lt;/author&gt;&lt;author&gt;Parkman, Henry P&lt;/author&gt;&lt;/authors&gt;&lt;/contributors&gt;&lt;titles&gt;&lt;title&gt;Regional postprandial differences in pH within the stomach and gastroesophageal junction&lt;/title&gt;&lt;secondary-title&gt;Digestive diseases and sciences&lt;/secondary-title&gt;&lt;/titles&gt;&lt;periodical&gt;&lt;full-title&gt;Digestive diseases and sciences&lt;/full-title&gt;&lt;/periodical&gt;&lt;pages&gt;2276-2285&lt;/pages&gt;&lt;volume&gt;50&lt;/volume&gt;&lt;number&gt;12&lt;/number&gt;&lt;dates&gt;&lt;year&gt;2005&lt;/year&gt;&lt;/dates&gt;&lt;isbn&gt;0163-2116&lt;/isbn&gt;&lt;urls&gt;&lt;/urls&gt;&lt;/record&gt;&lt;/Cite&gt;&lt;/EndNote&gt;</w:instrText>
        </w:r>
        <w:r w:rsidR="00512D09">
          <w:rPr>
            <w:bCs/>
            <w:iCs/>
          </w:rPr>
          <w:fldChar w:fldCharType="separate"/>
        </w:r>
        <w:r w:rsidR="00512D09" w:rsidRPr="006421D1">
          <w:rPr>
            <w:bCs/>
            <w:iCs/>
            <w:noProof/>
            <w:vertAlign w:val="superscript"/>
          </w:rPr>
          <w:t>274</w:t>
        </w:r>
        <w:r w:rsidR="00512D09">
          <w:rPr>
            <w:bCs/>
            <w:iCs/>
          </w:rPr>
          <w:fldChar w:fldCharType="end"/>
        </w:r>
      </w:hyperlink>
      <w:r>
        <w:rPr>
          <w:bCs/>
          <w:iCs/>
        </w:rPr>
        <w:t xml:space="preserve"> The thermodynamic </w:t>
      </w:r>
      <w:r w:rsidR="00405196">
        <w:rPr>
          <w:bCs/>
          <w:iCs/>
        </w:rPr>
        <w:t>parameters for this interaction at different salt concentrations are</w:t>
      </w:r>
      <w:r>
        <w:rPr>
          <w:bCs/>
          <w:iCs/>
        </w:rPr>
        <w:t xml:space="preserve"> in </w:t>
      </w:r>
      <w:r w:rsidR="0075172E">
        <w:rPr>
          <w:bCs/>
          <w:iCs/>
        </w:rPr>
        <w:fldChar w:fldCharType="begin"/>
      </w:r>
      <w:r w:rsidR="00377FE1">
        <w:rPr>
          <w:bCs/>
          <w:iCs/>
        </w:rPr>
        <w:instrText xml:space="preserve"> REF _Ref443933588 \h </w:instrText>
      </w:r>
      <w:r w:rsidR="0075172E">
        <w:rPr>
          <w:bCs/>
          <w:iCs/>
        </w:rPr>
      </w:r>
      <w:r w:rsidR="0075172E">
        <w:rPr>
          <w:bCs/>
          <w:iCs/>
        </w:rPr>
        <w:fldChar w:fldCharType="separate"/>
      </w:r>
      <w:r w:rsidR="00CB4EDC">
        <w:t xml:space="preserve">Table </w:t>
      </w:r>
      <w:r w:rsidR="00CB4EDC">
        <w:rPr>
          <w:noProof/>
        </w:rPr>
        <w:t>4</w:t>
      </w:r>
      <w:r w:rsidR="00CB4EDC">
        <w:t>.</w:t>
      </w:r>
      <w:r w:rsidR="00CB4EDC">
        <w:rPr>
          <w:noProof/>
        </w:rPr>
        <w:t>2</w:t>
      </w:r>
      <w:r w:rsidR="0075172E">
        <w:rPr>
          <w:bCs/>
          <w:iCs/>
        </w:rPr>
        <w:fldChar w:fldCharType="end"/>
      </w:r>
      <w:r w:rsidR="00377FE1">
        <w:rPr>
          <w:bCs/>
          <w:iCs/>
        </w:rPr>
        <w:t xml:space="preserve">. </w:t>
      </w:r>
    </w:p>
    <w:p w:rsidR="008E6BF7" w:rsidRDefault="00040F10" w:rsidP="008E6BF7">
      <w:pPr>
        <w:keepNext/>
        <w:spacing w:line="480" w:lineRule="auto"/>
        <w:jc w:val="center"/>
      </w:pPr>
      <w:r>
        <w:rPr>
          <w:bCs/>
          <w:iCs/>
          <w:noProof/>
          <w:lang w:eastAsia="en-GB"/>
        </w:rPr>
        <w:lastRenderedPageBreak/>
        <w:pict>
          <v:shape id="_x0000_s1117" type="#_x0000_t202" style="position:absolute;left:0;text-align:left;margin-left:175.3pt;margin-top:263.5pt;width:87.05pt;height:17.6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C92A53">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noProof/>
          <w:lang w:eastAsia="en-GB"/>
        </w:rPr>
        <w:pict>
          <v:shape id="_x0000_s1116" type="#_x0000_t202" style="position:absolute;left:0;text-align:left;margin-left:-2.95pt;margin-top:78pt;width:26.15pt;height:113.1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C92A53">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Normalised Fit (kJ/mol</w:t>
                  </w:r>
                  <w:r>
                    <w:rPr>
                      <w:rFonts w:ascii="Arial" w:hAnsi="Arial" w:cs="Arial"/>
                      <w:b/>
                      <w:color w:val="262626" w:themeColor="text1" w:themeTint="D9"/>
                      <w:sz w:val="18"/>
                      <w:szCs w:val="18"/>
                    </w:rPr>
                    <w:t>)</w:t>
                  </w:r>
                </w:p>
              </w:txbxContent>
            </v:textbox>
          </v:shape>
        </w:pict>
      </w:r>
      <w:r w:rsidR="00D62013">
        <w:rPr>
          <w:noProof/>
          <w:lang w:eastAsia="en-GB"/>
        </w:rPr>
        <w:drawing>
          <wp:inline distT="0" distB="0" distL="0" distR="0" wp14:anchorId="3A293254" wp14:editId="597C8B5E">
            <wp:extent cx="5205730" cy="357620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4" cstate="print"/>
                    <a:srcRect/>
                    <a:stretch>
                      <a:fillRect/>
                    </a:stretch>
                  </pic:blipFill>
                  <pic:spPr bwMode="auto">
                    <a:xfrm>
                      <a:off x="0" y="0"/>
                      <a:ext cx="5205730" cy="3576200"/>
                    </a:xfrm>
                    <a:prstGeom prst="rect">
                      <a:avLst/>
                    </a:prstGeom>
                    <a:noFill/>
                    <a:ln w="9525">
                      <a:noFill/>
                      <a:miter lim="800000"/>
                      <a:headEnd/>
                      <a:tailEnd/>
                    </a:ln>
                  </pic:spPr>
                </pic:pic>
              </a:graphicData>
            </a:graphic>
          </wp:inline>
        </w:drawing>
      </w:r>
    </w:p>
    <w:p w:rsidR="008E6BF7" w:rsidRDefault="008E6BF7" w:rsidP="008E6BF7">
      <w:pPr>
        <w:pStyle w:val="Caption"/>
        <w:spacing w:line="480" w:lineRule="auto"/>
        <w:jc w:val="center"/>
        <w:rPr>
          <w:bCs w:val="0"/>
          <w:iCs/>
        </w:rPr>
      </w:pPr>
      <w:bookmarkStart w:id="167" w:name="_Ref442882739"/>
      <w:bookmarkStart w:id="168" w:name="_Ref443229088"/>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10</w:t>
      </w:r>
      <w:r w:rsidR="0075172E">
        <w:fldChar w:fldCharType="end"/>
      </w:r>
      <w:bookmarkEnd w:id="167"/>
      <w:r>
        <w:t xml:space="preserve">: </w:t>
      </w:r>
      <w:r w:rsidRPr="00F52D65">
        <w:t xml:space="preserve">ITC binding isotherm for the interaction of 6 mM </w:t>
      </w:r>
      <w:r>
        <w:t xml:space="preserve">potassium </w:t>
      </w:r>
      <w:r w:rsidRPr="00F52D65">
        <w:t>phytate and 0.4 mM lysozyme in 10</w:t>
      </w:r>
      <w:r>
        <w:t xml:space="preserve"> (crosses), 100 (open circles) and 300</w:t>
      </w:r>
      <w:r w:rsidRPr="00F52D65">
        <w:t xml:space="preserve"> </w:t>
      </w:r>
      <w:r>
        <w:t xml:space="preserve">(closed squares) </w:t>
      </w:r>
      <w:r w:rsidRPr="00F52D65">
        <w:t>mM ammonium acetate pH 4.</w:t>
      </w:r>
      <w:bookmarkEnd w:id="168"/>
    </w:p>
    <w:p w:rsidR="008E6BF7" w:rsidRDefault="008E6BF7" w:rsidP="008E6BF7">
      <w:pPr>
        <w:spacing w:line="480" w:lineRule="auto"/>
        <w:jc w:val="both"/>
        <w:rPr>
          <w:bCs/>
          <w:iCs/>
          <w:lang w:val="en-US"/>
        </w:rPr>
      </w:pPr>
      <w:r w:rsidRPr="003B0A89">
        <w:rPr>
          <w:bCs/>
          <w:iCs/>
        </w:rPr>
        <w:t>The contribution from</w:t>
      </w:r>
      <w:r w:rsidRPr="005717E7">
        <w:rPr>
          <w:bCs/>
          <w:i/>
          <w:iCs/>
        </w:rPr>
        <w:t xml:space="preserve"> </w:t>
      </w:r>
      <w:r w:rsidRPr="007B2FA4">
        <w:rPr>
          <w:bCs/>
          <w:iCs/>
        </w:rPr>
        <w:t>TΔ</w:t>
      </w:r>
      <w:r w:rsidRPr="005717E7">
        <w:rPr>
          <w:bCs/>
          <w:i/>
          <w:iCs/>
        </w:rPr>
        <w:t>S</w:t>
      </w:r>
      <w:r w:rsidRPr="003B0A89">
        <w:rPr>
          <w:bCs/>
          <w:i/>
          <w:iCs/>
        </w:rPr>
        <w:t xml:space="preserve"> </w:t>
      </w:r>
      <w:r w:rsidRPr="003B0A89">
        <w:rPr>
          <w:bCs/>
          <w:iCs/>
        </w:rPr>
        <w:t xml:space="preserve">is much harder to discern. Kilmister </w:t>
      </w:r>
      <w:r w:rsidRPr="003B0A89">
        <w:rPr>
          <w:bCs/>
          <w:i/>
          <w:iCs/>
        </w:rPr>
        <w:t>et al</w:t>
      </w:r>
      <w:r w:rsidR="002D4FF8">
        <w:rPr>
          <w:bCs/>
          <w:i/>
          <w:iCs/>
        </w:rPr>
        <w:t>.</w:t>
      </w:r>
      <w:r w:rsidRPr="003B0A89">
        <w:rPr>
          <w:bCs/>
          <w:iCs/>
        </w:rPr>
        <w:t xml:space="preserve"> suggested that in ITC studies</w:t>
      </w:r>
      <w:r w:rsidRPr="0039596C">
        <w:rPr>
          <w:bCs/>
          <w:i/>
          <w:iCs/>
        </w:rPr>
        <w:t xml:space="preserve"> </w:t>
      </w:r>
      <w:r w:rsidRPr="007B2FA4">
        <w:rPr>
          <w:bCs/>
          <w:iCs/>
        </w:rPr>
        <w:t>TΔ</w:t>
      </w:r>
      <w:r w:rsidRPr="0039596C">
        <w:rPr>
          <w:bCs/>
          <w:i/>
          <w:iCs/>
        </w:rPr>
        <w:t>S</w:t>
      </w:r>
      <w:r w:rsidRPr="003B0A89">
        <w:rPr>
          <w:bCs/>
          <w:i/>
          <w:iCs/>
        </w:rPr>
        <w:t xml:space="preserve"> </w:t>
      </w:r>
      <w:r w:rsidRPr="003B0A89">
        <w:rPr>
          <w:bCs/>
          <w:iCs/>
        </w:rPr>
        <w:t xml:space="preserve">had a systematic error due to any endothermic interaction </w:t>
      </w:r>
      <w:r>
        <w:rPr>
          <w:bCs/>
          <w:iCs/>
        </w:rPr>
        <w:t>subtracting from exothermic heat changes</w:t>
      </w:r>
      <w:r w:rsidRPr="003B0A89">
        <w:rPr>
          <w:bCs/>
          <w:iCs/>
        </w:rPr>
        <w:t xml:space="preserve"> detected by the ITC</w:t>
      </w:r>
      <w:r>
        <w:rPr>
          <w:bCs/>
          <w:iCs/>
        </w:rPr>
        <w:t>.</w:t>
      </w:r>
      <w:r w:rsidRPr="003B0A89">
        <w:rPr>
          <w:bCs/>
          <w:iCs/>
        </w:rPr>
        <w:t xml:space="preserve"> </w:t>
      </w:r>
      <w:hyperlink w:anchor="_ENREF_215" w:tooltip="Kilmister, 2016 #594" w:history="1">
        <w:r w:rsidR="00512D09" w:rsidRPr="003B0A89">
          <w:rPr>
            <w:bCs/>
            <w:iCs/>
          </w:rPr>
          <w:fldChar w:fldCharType="begin"/>
        </w:r>
        <w:r w:rsidR="00512D09">
          <w:rPr>
            <w:bCs/>
            <w:iCs/>
          </w:rPr>
          <w:instrText xml:space="preserve"> ADDIN EN.CITE &lt;EndNote&gt;&lt;Cite&gt;&lt;Author&gt;Kilmister&lt;/Author&gt;&lt;Year&gt;2016&lt;/Year&gt;&lt;RecNum&gt;594&lt;/RecNum&gt;&lt;DisplayText&gt;&lt;style face="superscript"&gt;215&lt;/style&gt;&lt;/DisplayText&gt;&lt;record&gt;&lt;rec-number&gt;594&lt;/rec-number&gt;&lt;foreign-keys&gt;&lt;key app="EN" db-id="5trrespwzsdr07efd5tx2w96x22re9s0fsdt"&gt;594&lt;/key&gt;&lt;/foreign-keys&gt;&lt;ref-type name="Journal Article"&gt;17&lt;/ref-type&gt;&lt;contributors&gt;&lt;authors&gt;&lt;author&gt;Kilmister, Rachel L.&lt;/author&gt;&lt;author&gt;Faulkner, Peta&lt;/author&gt;&lt;author&gt;Downey, Mark O.&lt;/author&gt;&lt;author&gt;Darby, Samuel J.&lt;/author&gt;&lt;author&gt;Falconer, Robert J.&lt;/author&gt;&lt;/authors&gt;&lt;/contributors&gt;&lt;titles&gt;&lt;title&gt;The complexity of condensed tannin binding to bovine serum albumin – An isothermal titration calorimetry study&lt;/title&gt;&lt;secondary-title&gt;Food Chemistry&lt;/secondary-title&gt;&lt;/titles&gt;&lt;periodical&gt;&lt;full-title&gt;Food Chemistry&lt;/full-title&gt;&lt;/periodical&gt;&lt;pages&gt;173-178&lt;/pages&gt;&lt;volume&gt;190&lt;/volume&gt;&lt;number&gt;0&lt;/number&gt;&lt;keywords&gt;&lt;keyword&gt;Proanthocyanidin&lt;/keyword&gt;&lt;keyword&gt;Oligomer&lt;/keyword&gt;&lt;keyword&gt;Thermodynamics&lt;/keyword&gt;&lt;keyword&gt;Hydrogen bonding&lt;/keyword&gt;&lt;keyword&gt;Hydrophobic interaction&lt;/keyword&gt;&lt;/keywords&gt;&lt;dates&gt;&lt;year&gt;2016&lt;/year&gt;&lt;/dates&gt;&lt;isbn&gt;0308-8146&lt;/isbn&gt;&lt;urls&gt;&lt;related-urls&gt;&lt;url&gt;http://www.sciencedirect.com/science/article/pii/S0308814615007323&lt;/url&gt;&lt;/related-urls&gt;&lt;/urls&gt;&lt;electronic-resource-num&gt;http://dx.doi.org/10.1016/j.foodchem.2015.04.144&lt;/electronic-resource-num&gt;&lt;/record&gt;&lt;/Cite&gt;&lt;/EndNote&gt;</w:instrText>
        </w:r>
        <w:r w:rsidR="00512D09" w:rsidRPr="003B0A89">
          <w:rPr>
            <w:bCs/>
            <w:iCs/>
          </w:rPr>
          <w:fldChar w:fldCharType="separate"/>
        </w:r>
        <w:r w:rsidR="00512D09" w:rsidRPr="006421D1">
          <w:rPr>
            <w:bCs/>
            <w:iCs/>
            <w:noProof/>
            <w:vertAlign w:val="superscript"/>
          </w:rPr>
          <w:t>215</w:t>
        </w:r>
        <w:r w:rsidR="00512D09" w:rsidRPr="003B0A89">
          <w:rPr>
            <w:bCs/>
            <w:iCs/>
          </w:rPr>
          <w:fldChar w:fldCharType="end"/>
        </w:r>
      </w:hyperlink>
      <w:r w:rsidRPr="003B0A89">
        <w:rPr>
          <w:bCs/>
          <w:iCs/>
        </w:rPr>
        <w:t xml:space="preserve"> Whilst Lambert has suggested that </w:t>
      </w:r>
      <w:r w:rsidRPr="003B0A89">
        <w:rPr>
          <w:bCs/>
          <w:i/>
          <w:iCs/>
        </w:rPr>
        <w:t>T</w:t>
      </w:r>
      <w:r w:rsidRPr="0039596C">
        <w:rPr>
          <w:bCs/>
          <w:iCs/>
        </w:rPr>
        <w:t>Δ</w:t>
      </w:r>
      <w:r w:rsidRPr="003B0A89">
        <w:rPr>
          <w:bCs/>
          <w:i/>
          <w:iCs/>
        </w:rPr>
        <w:t>S</w:t>
      </w:r>
      <w:r w:rsidRPr="003B0A89">
        <w:rPr>
          <w:bCs/>
          <w:iCs/>
        </w:rPr>
        <w:t xml:space="preserve"> as a value for how ordered the system is wrong and it should be taken as a measure of energy dispersal</w:t>
      </w:r>
      <w:r>
        <w:rPr>
          <w:bCs/>
          <w:iCs/>
        </w:rPr>
        <w:t>.</w:t>
      </w:r>
      <w:hyperlink w:anchor="_ENREF_3" w:tooltip="Lambert, 2002 #584" w:history="1">
        <w:r w:rsidR="00512D09" w:rsidRPr="003B0A89">
          <w:rPr>
            <w:bCs/>
            <w:iCs/>
          </w:rPr>
          <w:fldChar w:fldCharType="begin"/>
        </w:r>
        <w:r w:rsidR="00512D09">
          <w:rPr>
            <w:bCs/>
            <w:iCs/>
          </w:rPr>
          <w:instrText xml:space="preserve"> ADDIN EN.CITE &lt;EndNote&gt;&lt;Cite&gt;&lt;Author&gt;Lambert&lt;/Author&gt;&lt;Year&gt;2002&lt;/Year&gt;&lt;RecNum&gt;584&lt;/RecNum&gt;&lt;DisplayText&gt;&lt;style face="superscript"&gt;3&lt;/style&gt;&lt;/DisplayText&gt;&lt;record&gt;&lt;rec-number&gt;584&lt;/rec-number&gt;&lt;foreign-keys&gt;&lt;key app="EN" db-id="5trrespwzsdr07efd5tx2w96x22re9s0fsdt"&gt;584&lt;/key&gt;&lt;/foreign-keys&gt;&lt;ref-type name="Journal Article"&gt;17&lt;/ref-type&gt;&lt;contributors&gt;&lt;authors&gt;&lt;author&gt;Lambert, Frank L.&lt;/author&gt;&lt;/authors&gt;&lt;/contributors&gt;&lt;titles&gt;&lt;title&gt;Disorder - A Cracked Crutch for Supporting Entropy Discussions&lt;/title&gt;&lt;secondary-title&gt;Journal of Chemical Education&lt;/secondary-title&gt;&lt;/titles&gt;&lt;periodical&gt;&lt;full-title&gt;Journal of Chemical Education&lt;/full-title&gt;&lt;/periodical&gt;&lt;pages&gt;187&lt;/pages&gt;&lt;volume&gt;79&lt;/volume&gt;&lt;number&gt;2&lt;/number&gt;&lt;dates&gt;&lt;year&gt;2002&lt;/year&gt;&lt;pub-dates&gt;&lt;date&gt;2002/02/01&lt;/date&gt;&lt;/pub-dates&gt;&lt;/dates&gt;&lt;publisher&gt;American Chemical Society&lt;/publisher&gt;&lt;isbn&gt;0021-9584&lt;/isbn&gt;&lt;urls&gt;&lt;related-urls&gt;&lt;url&gt;http://dx.doi.org/10.1021/ed079p187&lt;/url&gt;&lt;/related-urls&gt;&lt;/urls&gt;&lt;electronic-resource-num&gt;10.1021/ed079p187&lt;/electronic-resource-num&gt;&lt;/record&gt;&lt;/Cite&gt;&lt;/EndNote&gt;</w:instrText>
        </w:r>
        <w:r w:rsidR="00512D09" w:rsidRPr="003B0A89">
          <w:rPr>
            <w:bCs/>
            <w:iCs/>
          </w:rPr>
          <w:fldChar w:fldCharType="separate"/>
        </w:r>
        <w:r w:rsidR="00512D09" w:rsidRPr="008E6BF7">
          <w:rPr>
            <w:bCs/>
            <w:iCs/>
            <w:noProof/>
            <w:vertAlign w:val="superscript"/>
          </w:rPr>
          <w:t>3</w:t>
        </w:r>
        <w:r w:rsidR="00512D09" w:rsidRPr="003B0A89">
          <w:rPr>
            <w:bCs/>
            <w:iCs/>
          </w:rPr>
          <w:fldChar w:fldCharType="end"/>
        </w:r>
      </w:hyperlink>
      <w:r w:rsidRPr="003B0A89">
        <w:rPr>
          <w:bCs/>
          <w:iCs/>
        </w:rPr>
        <w:t xml:space="preserve"> </w:t>
      </w:r>
      <w:r w:rsidRPr="00EB7966">
        <w:rPr>
          <w:bCs/>
          <w:iCs/>
          <w:lang w:val="en-US"/>
        </w:rPr>
        <w:t xml:space="preserve">In aqueous systems it is particularly difficult to interpret </w:t>
      </w:r>
      <w:r w:rsidRPr="007B2FA4">
        <w:rPr>
          <w:bCs/>
          <w:iCs/>
          <w:lang w:val="en-US"/>
        </w:rPr>
        <w:t>TΔ</w:t>
      </w:r>
      <w:r w:rsidRPr="0039596C">
        <w:rPr>
          <w:bCs/>
          <w:i/>
          <w:iCs/>
          <w:lang w:val="en-US"/>
        </w:rPr>
        <w:t>S</w:t>
      </w:r>
      <w:r w:rsidRPr="00EB7966">
        <w:rPr>
          <w:bCs/>
          <w:iCs/>
          <w:lang w:val="en-US"/>
        </w:rPr>
        <w:t xml:space="preserve">. When phytate binds to lysozyme, there will presumably be some change in the degrees of freedom in comparison to the non-bound state where the binding partners exist separately. Additionally, upon binding, both water and buffer ions will be displaced. All of these will contribute either favorably or unfavorably to the </w:t>
      </w:r>
      <w:r w:rsidRPr="0039596C">
        <w:rPr>
          <w:bCs/>
          <w:iCs/>
          <w:lang w:val="en-US"/>
        </w:rPr>
        <w:t>T</w:t>
      </w:r>
      <w:r w:rsidRPr="00EB7966">
        <w:rPr>
          <w:bCs/>
          <w:i/>
          <w:iCs/>
          <w:lang w:val="en-US"/>
        </w:rPr>
        <w:t xml:space="preserve">ΔS </w:t>
      </w:r>
      <w:r w:rsidRPr="00EB7966">
        <w:rPr>
          <w:bCs/>
          <w:iCs/>
          <w:lang w:val="en-US"/>
        </w:rPr>
        <w:t>value.</w:t>
      </w:r>
    </w:p>
    <w:p w:rsidR="008E6BF7" w:rsidRDefault="008E6BF7" w:rsidP="008E6BF7">
      <w:pPr>
        <w:spacing w:line="480" w:lineRule="auto"/>
        <w:rPr>
          <w:bCs/>
          <w:iCs/>
          <w:lang w:val="en-US"/>
        </w:rPr>
      </w:pPr>
    </w:p>
    <w:p w:rsidR="008E6BF7" w:rsidRDefault="008E6BF7" w:rsidP="008E6BF7">
      <w:pPr>
        <w:spacing w:line="480" w:lineRule="auto"/>
        <w:rPr>
          <w:bCs/>
          <w:iCs/>
          <w:lang w:val="en-US"/>
        </w:rPr>
      </w:pPr>
    </w:p>
    <w:p w:rsidR="008E6BF7" w:rsidRDefault="008E6BF7" w:rsidP="008E6BF7">
      <w:pPr>
        <w:pStyle w:val="Caption"/>
        <w:keepNext/>
        <w:spacing w:line="480" w:lineRule="auto"/>
        <w:jc w:val="center"/>
      </w:pPr>
      <w:bookmarkStart w:id="169" w:name="_Ref443933588"/>
      <w:bookmarkStart w:id="170" w:name="_Ref442884273"/>
      <w:r>
        <w:lastRenderedPageBreak/>
        <w:t xml:space="preserve">Table </w:t>
      </w:r>
      <w:r w:rsidR="0075172E">
        <w:fldChar w:fldCharType="begin"/>
      </w:r>
      <w:r w:rsidR="00AC2227">
        <w:instrText xml:space="preserve"> STYLEREF 1 \s </w:instrText>
      </w:r>
      <w:r w:rsidR="0075172E">
        <w:fldChar w:fldCharType="separate"/>
      </w:r>
      <w:r w:rsidR="00E71593">
        <w:rPr>
          <w:noProof/>
        </w:rPr>
        <w:t>4</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2</w:t>
      </w:r>
      <w:r w:rsidR="0075172E">
        <w:fldChar w:fldCharType="end"/>
      </w:r>
      <w:bookmarkEnd w:id="169"/>
      <w:r>
        <w:t xml:space="preserve">: Thermodynamic parameters for the interaction between lysozyme and phytate in 10 mM or 100 mM ammonium acetate buffer. </w:t>
      </w:r>
      <w:bookmarkEnd w:id="170"/>
      <w:r w:rsidR="00066430">
        <w:rPr>
          <w:iCs/>
        </w:rPr>
        <w:t>The standard error (bold) and the confidence intervals (italics) are in brackets.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070"/>
        <w:gridCol w:w="770"/>
        <w:gridCol w:w="770"/>
        <w:gridCol w:w="770"/>
        <w:gridCol w:w="1150"/>
      </w:tblGrid>
      <w:tr w:rsidR="008E6BF7" w:rsidRPr="00C844A5" w:rsidTr="003661FA">
        <w:trPr>
          <w:trHeight w:val="894"/>
          <w:jc w:val="center"/>
        </w:trPr>
        <w:tc>
          <w:tcPr>
            <w:tcW w:w="0" w:type="auto"/>
            <w:tcBorders>
              <w:top w:val="single" w:sz="4" w:space="0" w:color="auto"/>
              <w:bottom w:val="single" w:sz="4" w:space="0" w:color="auto"/>
            </w:tcBorders>
            <w:hideMark/>
          </w:tcPr>
          <w:p w:rsidR="008E6BF7" w:rsidRPr="00D26EDE" w:rsidRDefault="008E6BF7" w:rsidP="006C756E">
            <w:pPr>
              <w:spacing w:line="480" w:lineRule="auto"/>
              <w:jc w:val="center"/>
              <w:rPr>
                <w:rFonts w:eastAsia="Times New Roman" w:cs="Arial"/>
                <w:sz w:val="16"/>
                <w:szCs w:val="16"/>
                <w:lang w:eastAsia="en-GB"/>
              </w:rPr>
            </w:pPr>
            <w:r w:rsidRPr="00D26EDE">
              <w:rPr>
                <w:rFonts w:eastAsia="msgothic" w:cs="Arial"/>
                <w:b/>
                <w:bCs/>
                <w:color w:val="000000" w:themeColor="text1"/>
                <w:kern w:val="24"/>
                <w:sz w:val="16"/>
                <w:szCs w:val="16"/>
                <w:lang w:eastAsia="en-GB"/>
              </w:rPr>
              <w:t>Materials</w:t>
            </w:r>
          </w:p>
        </w:tc>
        <w:tc>
          <w:tcPr>
            <w:tcW w:w="0" w:type="auto"/>
            <w:tcBorders>
              <w:top w:val="single" w:sz="4" w:space="0" w:color="auto"/>
              <w:bottom w:val="single" w:sz="4" w:space="0" w:color="auto"/>
            </w:tcBorders>
            <w:hideMark/>
          </w:tcPr>
          <w:p w:rsidR="008E6BF7" w:rsidRPr="00D26EDE" w:rsidRDefault="008E6BF7" w:rsidP="006C756E">
            <w:pPr>
              <w:spacing w:line="480" w:lineRule="auto"/>
              <w:jc w:val="center"/>
              <w:rPr>
                <w:rFonts w:eastAsia="msgothic" w:cs="Arial"/>
                <w:b/>
                <w:bCs/>
                <w:color w:val="252525"/>
                <w:kern w:val="24"/>
                <w:sz w:val="16"/>
                <w:szCs w:val="16"/>
                <w:lang w:eastAsia="en-GB"/>
              </w:rPr>
            </w:pPr>
            <w:r w:rsidRPr="00D26EDE">
              <w:rPr>
                <w:rFonts w:eastAsia="msgothic" w:cs="Arial"/>
                <w:b/>
                <w:bCs/>
                <w:color w:val="252525"/>
                <w:kern w:val="24"/>
                <w:sz w:val="16"/>
                <w:szCs w:val="16"/>
                <w:lang w:eastAsia="en-GB"/>
              </w:rPr>
              <w:t xml:space="preserve">- </w:t>
            </w:r>
            <w:r w:rsidRPr="00D26EDE">
              <w:rPr>
                <w:rFonts w:eastAsia="msgothic" w:cs="Arial"/>
                <w:b/>
                <w:bCs/>
                <w:color w:val="252525"/>
                <w:kern w:val="24"/>
                <w:sz w:val="16"/>
                <w:szCs w:val="16"/>
                <w:lang w:val="el-GR" w:eastAsia="en-GB"/>
              </w:rPr>
              <w:t>Δ</w:t>
            </w:r>
            <w:r w:rsidRPr="0050110E">
              <w:rPr>
                <w:rFonts w:eastAsia="msgothic" w:cs="Arial"/>
                <w:b/>
                <w:bCs/>
                <w:i/>
                <w:color w:val="252525"/>
                <w:kern w:val="24"/>
                <w:sz w:val="16"/>
                <w:szCs w:val="16"/>
                <w:lang w:eastAsia="en-GB"/>
              </w:rPr>
              <w:t xml:space="preserve">H </w:t>
            </w:r>
          </w:p>
          <w:p w:rsidR="008E6BF7" w:rsidRPr="00D26EDE" w:rsidRDefault="00DA7437" w:rsidP="006C756E">
            <w:pPr>
              <w:spacing w:line="480" w:lineRule="auto"/>
              <w:jc w:val="center"/>
              <w:rPr>
                <w:rFonts w:eastAsia="Times New Roman" w:cs="Arial"/>
                <w:sz w:val="16"/>
                <w:szCs w:val="16"/>
                <w:lang w:eastAsia="en-GB"/>
              </w:rPr>
            </w:pPr>
            <w:r>
              <w:rPr>
                <w:rFonts w:eastAsia="msgothic" w:cs="Arial"/>
                <w:b/>
                <w:bCs/>
                <w:color w:val="252525"/>
                <w:kern w:val="24"/>
                <w:sz w:val="16"/>
                <w:szCs w:val="16"/>
                <w:lang w:eastAsia="en-GB"/>
              </w:rPr>
              <w:t>(</w:t>
            </w:r>
            <w:r w:rsidR="008E6BF7" w:rsidRPr="00D26EDE">
              <w:rPr>
                <w:rFonts w:eastAsia="msgothic" w:cs="Arial"/>
                <w:b/>
                <w:bCs/>
                <w:color w:val="252525"/>
                <w:kern w:val="24"/>
                <w:sz w:val="16"/>
                <w:szCs w:val="16"/>
                <w:lang w:eastAsia="en-GB"/>
              </w:rPr>
              <w:t>kJ/mol</w:t>
            </w:r>
            <w:r>
              <w:rPr>
                <w:rFonts w:eastAsia="msgothic" w:cs="Arial"/>
                <w:b/>
                <w:bCs/>
                <w:color w:val="252525"/>
                <w:kern w:val="24"/>
                <w:sz w:val="16"/>
                <w:szCs w:val="16"/>
                <w:lang w:eastAsia="en-GB"/>
              </w:rPr>
              <w:t>)</w:t>
            </w:r>
          </w:p>
        </w:tc>
        <w:tc>
          <w:tcPr>
            <w:tcW w:w="0" w:type="auto"/>
            <w:tcBorders>
              <w:top w:val="single" w:sz="4" w:space="0" w:color="auto"/>
              <w:bottom w:val="single" w:sz="4" w:space="0" w:color="auto"/>
            </w:tcBorders>
            <w:hideMark/>
          </w:tcPr>
          <w:p w:rsidR="008E6BF7" w:rsidRPr="00D26EDE" w:rsidRDefault="008E6BF7" w:rsidP="006C756E">
            <w:pPr>
              <w:spacing w:line="480" w:lineRule="auto"/>
              <w:jc w:val="center"/>
              <w:rPr>
                <w:rFonts w:eastAsia="msgothic" w:cs="Arial"/>
                <w:b/>
                <w:bCs/>
                <w:color w:val="252525"/>
                <w:kern w:val="24"/>
                <w:sz w:val="16"/>
                <w:szCs w:val="16"/>
                <w:lang w:eastAsia="en-GB"/>
              </w:rPr>
            </w:pPr>
            <w:r w:rsidRPr="00D26EDE">
              <w:rPr>
                <w:rFonts w:eastAsia="msgothic" w:cs="Arial"/>
                <w:b/>
                <w:bCs/>
                <w:color w:val="252525"/>
                <w:kern w:val="24"/>
                <w:sz w:val="16"/>
                <w:szCs w:val="16"/>
                <w:lang w:eastAsia="en-GB"/>
              </w:rPr>
              <w:t>- T</w:t>
            </w:r>
            <w:r w:rsidRPr="00D26EDE">
              <w:rPr>
                <w:rFonts w:eastAsia="msgothic" w:cs="Arial"/>
                <w:b/>
                <w:bCs/>
                <w:color w:val="252525"/>
                <w:kern w:val="24"/>
                <w:sz w:val="16"/>
                <w:szCs w:val="16"/>
                <w:lang w:val="el-GR" w:eastAsia="en-GB"/>
              </w:rPr>
              <w:t>Δ</w:t>
            </w:r>
            <w:r w:rsidRPr="0050110E">
              <w:rPr>
                <w:rFonts w:eastAsia="msgothic" w:cs="Arial"/>
                <w:b/>
                <w:bCs/>
                <w:i/>
                <w:color w:val="252525"/>
                <w:kern w:val="24"/>
                <w:sz w:val="16"/>
                <w:szCs w:val="16"/>
                <w:lang w:eastAsia="en-GB"/>
              </w:rPr>
              <w:t>S</w:t>
            </w:r>
            <w:r w:rsidRPr="00D26EDE">
              <w:rPr>
                <w:rFonts w:eastAsia="msgothic" w:cs="Arial"/>
                <w:b/>
                <w:bCs/>
                <w:color w:val="252525"/>
                <w:kern w:val="24"/>
                <w:sz w:val="16"/>
                <w:szCs w:val="16"/>
                <w:lang w:eastAsia="en-GB"/>
              </w:rPr>
              <w:t xml:space="preserve"> </w:t>
            </w:r>
          </w:p>
          <w:p w:rsidR="008E6BF7" w:rsidRPr="00D26EDE" w:rsidRDefault="00DA7437" w:rsidP="006C756E">
            <w:pPr>
              <w:spacing w:line="480" w:lineRule="auto"/>
              <w:jc w:val="center"/>
              <w:rPr>
                <w:rFonts w:eastAsia="Times New Roman" w:cs="Arial"/>
                <w:sz w:val="16"/>
                <w:szCs w:val="16"/>
                <w:lang w:eastAsia="en-GB"/>
              </w:rPr>
            </w:pPr>
            <w:r>
              <w:rPr>
                <w:rFonts w:eastAsia="msgothic" w:cs="Arial"/>
                <w:b/>
                <w:bCs/>
                <w:color w:val="252525"/>
                <w:kern w:val="24"/>
                <w:sz w:val="16"/>
                <w:szCs w:val="16"/>
                <w:lang w:eastAsia="en-GB"/>
              </w:rPr>
              <w:t>(</w:t>
            </w:r>
            <w:r w:rsidR="008E6BF7" w:rsidRPr="00D26EDE">
              <w:rPr>
                <w:rFonts w:eastAsia="msgothic" w:cs="Arial"/>
                <w:b/>
                <w:bCs/>
                <w:color w:val="252525"/>
                <w:kern w:val="24"/>
                <w:sz w:val="16"/>
                <w:szCs w:val="16"/>
                <w:lang w:eastAsia="en-GB"/>
              </w:rPr>
              <w:t>kJ/mol</w:t>
            </w:r>
            <w:r>
              <w:rPr>
                <w:rFonts w:eastAsia="msgothic" w:cs="Arial"/>
                <w:b/>
                <w:bCs/>
                <w:color w:val="252525"/>
                <w:kern w:val="24"/>
                <w:sz w:val="16"/>
                <w:szCs w:val="16"/>
                <w:lang w:eastAsia="en-GB"/>
              </w:rPr>
              <w:t>)</w:t>
            </w:r>
          </w:p>
        </w:tc>
        <w:tc>
          <w:tcPr>
            <w:tcW w:w="0" w:type="auto"/>
            <w:tcBorders>
              <w:top w:val="single" w:sz="4" w:space="0" w:color="auto"/>
              <w:bottom w:val="single" w:sz="4" w:space="0" w:color="auto"/>
            </w:tcBorders>
            <w:hideMark/>
          </w:tcPr>
          <w:p w:rsidR="008E6BF7" w:rsidRPr="00D26EDE" w:rsidRDefault="008E6BF7" w:rsidP="006C756E">
            <w:pPr>
              <w:spacing w:line="480" w:lineRule="auto"/>
              <w:jc w:val="center"/>
              <w:rPr>
                <w:rFonts w:eastAsia="Times New Roman" w:cs="Arial"/>
                <w:sz w:val="16"/>
                <w:szCs w:val="16"/>
                <w:lang w:eastAsia="en-GB"/>
              </w:rPr>
            </w:pPr>
            <w:r w:rsidRPr="00D26EDE">
              <w:rPr>
                <w:rFonts w:eastAsia="msgothic" w:cs="Arial"/>
                <w:b/>
                <w:bCs/>
                <w:color w:val="252525"/>
                <w:kern w:val="24"/>
                <w:sz w:val="16"/>
                <w:szCs w:val="16"/>
                <w:lang w:eastAsia="en-GB"/>
              </w:rPr>
              <w:t xml:space="preserve">- </w:t>
            </w:r>
            <w:r w:rsidRPr="00D26EDE">
              <w:rPr>
                <w:rFonts w:eastAsia="msgothic" w:cs="Arial"/>
                <w:b/>
                <w:bCs/>
                <w:color w:val="252525"/>
                <w:kern w:val="24"/>
                <w:sz w:val="16"/>
                <w:szCs w:val="16"/>
                <w:lang w:val="el-GR" w:eastAsia="en-GB"/>
              </w:rPr>
              <w:t>Δ</w:t>
            </w:r>
            <w:r w:rsidRPr="0050110E">
              <w:rPr>
                <w:rFonts w:eastAsia="msgothic" w:cs="Arial"/>
                <w:b/>
                <w:bCs/>
                <w:i/>
                <w:color w:val="252525"/>
                <w:kern w:val="24"/>
                <w:sz w:val="16"/>
                <w:szCs w:val="16"/>
                <w:lang w:eastAsia="en-GB"/>
              </w:rPr>
              <w:t>G</w:t>
            </w:r>
          </w:p>
          <w:p w:rsidR="008E6BF7" w:rsidRPr="00D26EDE" w:rsidRDefault="00DA7437" w:rsidP="006C756E">
            <w:pPr>
              <w:spacing w:line="480" w:lineRule="auto"/>
              <w:jc w:val="center"/>
              <w:rPr>
                <w:rFonts w:eastAsia="Times New Roman" w:cs="Arial"/>
                <w:sz w:val="16"/>
                <w:szCs w:val="16"/>
                <w:lang w:eastAsia="en-GB"/>
              </w:rPr>
            </w:pPr>
            <w:r>
              <w:rPr>
                <w:rFonts w:eastAsia="msgothic" w:cs="Arial"/>
                <w:b/>
                <w:bCs/>
                <w:color w:val="252525"/>
                <w:kern w:val="24"/>
                <w:sz w:val="16"/>
                <w:szCs w:val="16"/>
                <w:lang w:eastAsia="en-GB"/>
              </w:rPr>
              <w:t>(</w:t>
            </w:r>
            <w:r w:rsidR="008E6BF7" w:rsidRPr="00D26EDE">
              <w:rPr>
                <w:rFonts w:eastAsia="msgothic" w:cs="Arial"/>
                <w:b/>
                <w:bCs/>
                <w:color w:val="252525"/>
                <w:kern w:val="24"/>
                <w:sz w:val="16"/>
                <w:szCs w:val="16"/>
                <w:lang w:eastAsia="en-GB"/>
              </w:rPr>
              <w:t>kJ/mol</w:t>
            </w:r>
            <w:r>
              <w:rPr>
                <w:rFonts w:eastAsia="msgothic" w:cs="Arial"/>
                <w:b/>
                <w:bCs/>
                <w:color w:val="252525"/>
                <w:kern w:val="24"/>
                <w:sz w:val="16"/>
                <w:szCs w:val="16"/>
                <w:lang w:eastAsia="en-GB"/>
              </w:rPr>
              <w:t>)</w:t>
            </w:r>
          </w:p>
        </w:tc>
        <w:tc>
          <w:tcPr>
            <w:tcW w:w="0" w:type="auto"/>
            <w:tcBorders>
              <w:top w:val="single" w:sz="4" w:space="0" w:color="auto"/>
              <w:bottom w:val="single" w:sz="4" w:space="0" w:color="auto"/>
            </w:tcBorders>
            <w:hideMark/>
          </w:tcPr>
          <w:p w:rsidR="008E6BF7" w:rsidRDefault="008E6BF7" w:rsidP="006C756E">
            <w:pPr>
              <w:spacing w:line="480" w:lineRule="auto"/>
              <w:jc w:val="center"/>
              <w:rPr>
                <w:rFonts w:eastAsia="msgothic" w:cs="Arial"/>
                <w:b/>
                <w:bCs/>
                <w:color w:val="252525"/>
                <w:kern w:val="24"/>
                <w:sz w:val="16"/>
                <w:szCs w:val="16"/>
                <w:lang w:eastAsia="en-GB"/>
              </w:rPr>
            </w:pPr>
            <w:r w:rsidRPr="00D26EDE">
              <w:rPr>
                <w:rFonts w:eastAsia="msgothic" w:cs="Arial"/>
                <w:b/>
                <w:bCs/>
                <w:color w:val="252525"/>
                <w:kern w:val="24"/>
                <w:sz w:val="16"/>
                <w:szCs w:val="16"/>
                <w:lang w:eastAsia="en-GB"/>
              </w:rPr>
              <w:t>Stoichiometry</w:t>
            </w:r>
          </w:p>
          <w:p w:rsidR="00DA7437" w:rsidRPr="0050110E" w:rsidRDefault="00DA7437" w:rsidP="006C756E">
            <w:pPr>
              <w:spacing w:line="480" w:lineRule="auto"/>
              <w:jc w:val="center"/>
              <w:rPr>
                <w:rFonts w:eastAsia="Times New Roman" w:cs="Arial"/>
                <w:i/>
                <w:sz w:val="16"/>
                <w:szCs w:val="16"/>
                <w:lang w:eastAsia="en-GB"/>
              </w:rPr>
            </w:pPr>
            <w:r w:rsidRPr="0050110E">
              <w:rPr>
                <w:rFonts w:eastAsia="msgothic" w:cs="Arial"/>
                <w:b/>
                <w:bCs/>
                <w:i/>
                <w:color w:val="252525"/>
                <w:kern w:val="24"/>
                <w:sz w:val="16"/>
                <w:szCs w:val="16"/>
                <w:lang w:eastAsia="en-GB"/>
              </w:rPr>
              <w:t>n</w:t>
            </w:r>
          </w:p>
        </w:tc>
      </w:tr>
      <w:tr w:rsidR="008E6BF7" w:rsidRPr="00C844A5" w:rsidTr="003661FA">
        <w:trPr>
          <w:trHeight w:val="894"/>
          <w:jc w:val="center"/>
        </w:trPr>
        <w:tc>
          <w:tcPr>
            <w:tcW w:w="0" w:type="auto"/>
            <w:tcBorders>
              <w:top w:val="single" w:sz="4" w:space="0" w:color="auto"/>
            </w:tcBorders>
            <w:hideMark/>
          </w:tcPr>
          <w:p w:rsidR="006C756E" w:rsidRDefault="006C756E" w:rsidP="006C756E">
            <w:pPr>
              <w:spacing w:line="480" w:lineRule="auto"/>
              <w:jc w:val="center"/>
              <w:rPr>
                <w:rFonts w:eastAsia="msgothic" w:cs="msgothic"/>
                <w:color w:val="000000" w:themeColor="dark1"/>
                <w:kern w:val="24"/>
                <w:sz w:val="16"/>
                <w:szCs w:val="16"/>
                <w:lang w:eastAsia="en-GB"/>
              </w:rPr>
            </w:pPr>
          </w:p>
          <w:p w:rsidR="008E6BF7" w:rsidRPr="00D26EDE" w:rsidRDefault="008E6BF7" w:rsidP="006C756E">
            <w:pPr>
              <w:spacing w:line="480" w:lineRule="auto"/>
              <w:jc w:val="center"/>
              <w:rPr>
                <w:rFonts w:eastAsia="Times New Roman" w:cs="Arial"/>
                <w:sz w:val="16"/>
                <w:szCs w:val="16"/>
                <w:lang w:eastAsia="en-GB"/>
              </w:rPr>
            </w:pPr>
            <w:r w:rsidRPr="00D26EDE">
              <w:rPr>
                <w:rFonts w:eastAsia="msgothic" w:cs="msgothic"/>
                <w:color w:val="000000" w:themeColor="dark1"/>
                <w:kern w:val="24"/>
                <w:sz w:val="16"/>
                <w:szCs w:val="16"/>
                <w:lang w:eastAsia="en-GB"/>
              </w:rPr>
              <w:t xml:space="preserve">10 mM ammonium acetate </w:t>
            </w:r>
          </w:p>
        </w:tc>
        <w:tc>
          <w:tcPr>
            <w:tcW w:w="0" w:type="auto"/>
            <w:tcBorders>
              <w:top w:val="single" w:sz="4" w:space="0" w:color="auto"/>
            </w:tcBorders>
            <w:hideMark/>
          </w:tcPr>
          <w:p w:rsidR="006C756E" w:rsidRDefault="006C756E" w:rsidP="006C756E">
            <w:pPr>
              <w:spacing w:line="480" w:lineRule="auto"/>
              <w:jc w:val="center"/>
              <w:rPr>
                <w:rFonts w:eastAsia="msgothic" w:cs="msgothic"/>
                <w:color w:val="000000"/>
                <w:kern w:val="24"/>
                <w:sz w:val="16"/>
                <w:szCs w:val="16"/>
                <w:lang w:eastAsia="en-GB"/>
              </w:rPr>
            </w:pPr>
          </w:p>
          <w:p w:rsidR="00861BE3" w:rsidRDefault="008E6BF7" w:rsidP="006C756E">
            <w:pPr>
              <w:spacing w:line="480" w:lineRule="auto"/>
              <w:jc w:val="center"/>
              <w:rPr>
                <w:rFonts w:eastAsia="msgothic" w:cs="msgothic"/>
                <w:color w:val="000000"/>
                <w:kern w:val="24"/>
                <w:sz w:val="16"/>
                <w:szCs w:val="16"/>
                <w:lang w:eastAsia="en-GB"/>
              </w:rPr>
            </w:pPr>
            <w:r w:rsidRPr="00D26EDE">
              <w:rPr>
                <w:rFonts w:eastAsia="msgothic" w:cs="msgothic"/>
                <w:color w:val="000000"/>
                <w:kern w:val="24"/>
                <w:sz w:val="16"/>
                <w:szCs w:val="16"/>
                <w:lang w:eastAsia="en-GB"/>
              </w:rPr>
              <w:t>25.4</w:t>
            </w:r>
          </w:p>
          <w:p w:rsidR="008E6BF7" w:rsidRPr="0024575A" w:rsidRDefault="008E6BF7" w:rsidP="006C756E">
            <w:pPr>
              <w:spacing w:line="480" w:lineRule="auto"/>
              <w:jc w:val="center"/>
              <w:rPr>
                <w:rFonts w:eastAsia="Calibri" w:cs="Times New Roman"/>
                <w:b/>
                <w:color w:val="000000"/>
                <w:kern w:val="24"/>
                <w:sz w:val="16"/>
                <w:szCs w:val="16"/>
                <w:lang w:eastAsia="en-GB"/>
              </w:rPr>
            </w:pPr>
            <w:r w:rsidRPr="00D26EDE">
              <w:rPr>
                <w:rFonts w:eastAsia="msgothic" w:cs="msgothic"/>
                <w:color w:val="000000"/>
                <w:kern w:val="24"/>
                <w:sz w:val="16"/>
                <w:szCs w:val="16"/>
                <w:lang w:eastAsia="en-GB"/>
              </w:rPr>
              <w:t xml:space="preserve"> </w:t>
            </w:r>
            <w:r w:rsidRPr="0024575A">
              <w:rPr>
                <w:rFonts w:eastAsia="Calibri" w:cs="Times New Roman"/>
                <w:b/>
                <w:color w:val="000000"/>
                <w:kern w:val="24"/>
                <w:sz w:val="16"/>
                <w:szCs w:val="16"/>
                <w:lang w:eastAsia="en-GB"/>
              </w:rPr>
              <w:t>(</w:t>
            </w:r>
            <w:r w:rsidRPr="0024575A">
              <w:rPr>
                <w:rFonts w:eastAsia="msgothic" w:cs="msgothic"/>
                <w:b/>
                <w:color w:val="222222"/>
                <w:kern w:val="24"/>
                <w:sz w:val="16"/>
                <w:szCs w:val="16"/>
                <w:lang w:eastAsia="en-GB"/>
              </w:rPr>
              <w:t>±</w:t>
            </w:r>
            <w:r w:rsidR="0024575A" w:rsidRPr="0024575A">
              <w:rPr>
                <w:rFonts w:eastAsia="Calibri" w:cs="Times New Roman"/>
                <w:b/>
                <w:color w:val="000000"/>
                <w:kern w:val="24"/>
                <w:sz w:val="16"/>
                <w:szCs w:val="16"/>
                <w:lang w:eastAsia="en-GB"/>
              </w:rPr>
              <w:t>0.5</w:t>
            </w:r>
            <w:r w:rsidRPr="0024575A">
              <w:rPr>
                <w:rFonts w:eastAsia="Calibri" w:cs="Times New Roman"/>
                <w:b/>
                <w:color w:val="000000"/>
                <w:kern w:val="24"/>
                <w:sz w:val="16"/>
                <w:szCs w:val="16"/>
                <w:lang w:eastAsia="en-GB"/>
              </w:rPr>
              <w:t>)</w:t>
            </w:r>
          </w:p>
          <w:p w:rsidR="0024575A" w:rsidRPr="006C756E" w:rsidRDefault="0024575A" w:rsidP="006C756E">
            <w:pPr>
              <w:spacing w:line="480" w:lineRule="auto"/>
              <w:jc w:val="center"/>
              <w:rPr>
                <w:rFonts w:eastAsia="msgothic" w:cs="msgothic"/>
                <w:color w:val="000000"/>
                <w:kern w:val="24"/>
                <w:sz w:val="16"/>
                <w:szCs w:val="16"/>
                <w:lang w:eastAsia="en-GB"/>
              </w:rPr>
            </w:pPr>
            <w:r w:rsidRPr="00B328E3">
              <w:rPr>
                <w:bCs/>
                <w:i/>
                <w:iCs/>
                <w:sz w:val="16"/>
                <w:szCs w:val="16"/>
              </w:rPr>
              <w:t>(±</w:t>
            </w:r>
            <w:r>
              <w:rPr>
                <w:bCs/>
                <w:i/>
                <w:iCs/>
                <w:sz w:val="16"/>
                <w:szCs w:val="16"/>
              </w:rPr>
              <w:t>0.5)</w:t>
            </w:r>
          </w:p>
        </w:tc>
        <w:tc>
          <w:tcPr>
            <w:tcW w:w="0" w:type="auto"/>
            <w:tcBorders>
              <w:top w:val="single" w:sz="4" w:space="0" w:color="auto"/>
            </w:tcBorders>
            <w:hideMark/>
          </w:tcPr>
          <w:p w:rsidR="006C756E" w:rsidRDefault="006C756E" w:rsidP="006C756E">
            <w:pPr>
              <w:spacing w:line="480" w:lineRule="auto"/>
              <w:jc w:val="center"/>
              <w:rPr>
                <w:rFonts w:eastAsia="msgothic" w:cs="msgothic"/>
                <w:color w:val="000000"/>
                <w:kern w:val="24"/>
                <w:sz w:val="16"/>
                <w:szCs w:val="16"/>
                <w:lang w:eastAsia="en-GB"/>
              </w:rPr>
            </w:pPr>
          </w:p>
          <w:p w:rsidR="00861BE3" w:rsidRDefault="008E6BF7" w:rsidP="00861BE3">
            <w:pPr>
              <w:spacing w:line="480" w:lineRule="auto"/>
              <w:jc w:val="center"/>
              <w:rPr>
                <w:rFonts w:eastAsia="msgothic" w:cs="msgothic"/>
                <w:color w:val="000000"/>
                <w:kern w:val="24"/>
                <w:sz w:val="16"/>
                <w:szCs w:val="16"/>
                <w:lang w:eastAsia="en-GB"/>
              </w:rPr>
            </w:pPr>
            <w:r w:rsidRPr="00D26EDE">
              <w:rPr>
                <w:rFonts w:eastAsia="msgothic" w:cs="msgothic"/>
                <w:color w:val="000000"/>
                <w:kern w:val="24"/>
                <w:sz w:val="16"/>
                <w:szCs w:val="16"/>
                <w:lang w:eastAsia="en-GB"/>
              </w:rPr>
              <w:t>-7.38</w:t>
            </w:r>
          </w:p>
          <w:p w:rsidR="008E6BF7" w:rsidRPr="009B4B2E" w:rsidRDefault="008E6BF7" w:rsidP="00861BE3">
            <w:pPr>
              <w:spacing w:line="480" w:lineRule="auto"/>
              <w:jc w:val="center"/>
              <w:rPr>
                <w:rFonts w:eastAsia="msgothic" w:cs="msgothic"/>
                <w:b/>
                <w:color w:val="000000"/>
                <w:kern w:val="24"/>
                <w:sz w:val="16"/>
                <w:szCs w:val="16"/>
                <w:lang w:eastAsia="en-GB"/>
              </w:rPr>
            </w:pPr>
            <w:r w:rsidRPr="009B4B2E">
              <w:rPr>
                <w:rFonts w:eastAsia="msgothic" w:cs="msgothic"/>
                <w:b/>
                <w:color w:val="000000"/>
                <w:kern w:val="24"/>
                <w:sz w:val="16"/>
                <w:szCs w:val="16"/>
                <w:lang w:eastAsia="en-GB"/>
              </w:rPr>
              <w:t xml:space="preserve"> </w:t>
            </w:r>
            <w:r w:rsidRPr="009B4B2E">
              <w:rPr>
                <w:rFonts w:eastAsia="Calibri" w:cs="Times New Roman"/>
                <w:b/>
                <w:color w:val="000000"/>
                <w:kern w:val="24"/>
                <w:sz w:val="16"/>
                <w:szCs w:val="16"/>
                <w:lang w:eastAsia="en-GB"/>
              </w:rPr>
              <w:t>(</w:t>
            </w:r>
            <w:r w:rsidRPr="009B4B2E">
              <w:rPr>
                <w:rFonts w:eastAsia="msgothic" w:cs="msgothic"/>
                <w:b/>
                <w:color w:val="222222"/>
                <w:kern w:val="24"/>
                <w:sz w:val="16"/>
                <w:szCs w:val="16"/>
                <w:lang w:eastAsia="en-GB"/>
              </w:rPr>
              <w:t>±</w:t>
            </w:r>
            <w:r w:rsidR="0024575A" w:rsidRPr="009B4B2E">
              <w:rPr>
                <w:rFonts w:eastAsia="Calibri" w:cs="Times New Roman"/>
                <w:b/>
                <w:color w:val="000000"/>
                <w:kern w:val="24"/>
                <w:sz w:val="16"/>
                <w:szCs w:val="16"/>
                <w:lang w:eastAsia="en-GB"/>
              </w:rPr>
              <w:t>0.7</w:t>
            </w:r>
            <w:r w:rsidRPr="009B4B2E">
              <w:rPr>
                <w:rFonts w:eastAsia="Calibri" w:cs="Times New Roman"/>
                <w:b/>
                <w:color w:val="000000"/>
                <w:kern w:val="24"/>
                <w:sz w:val="16"/>
                <w:szCs w:val="16"/>
                <w:lang w:eastAsia="en-GB"/>
              </w:rPr>
              <w:t>)</w:t>
            </w:r>
          </w:p>
        </w:tc>
        <w:tc>
          <w:tcPr>
            <w:tcW w:w="0" w:type="auto"/>
            <w:tcBorders>
              <w:top w:val="single" w:sz="4" w:space="0" w:color="auto"/>
            </w:tcBorders>
            <w:hideMark/>
          </w:tcPr>
          <w:p w:rsidR="006C756E" w:rsidRDefault="006C756E" w:rsidP="006C756E">
            <w:pPr>
              <w:spacing w:line="480" w:lineRule="auto"/>
              <w:jc w:val="center"/>
              <w:rPr>
                <w:rFonts w:eastAsia="msgothic" w:cs="msgothic"/>
                <w:color w:val="000000"/>
                <w:kern w:val="24"/>
                <w:sz w:val="16"/>
                <w:szCs w:val="16"/>
                <w:lang w:eastAsia="en-GB"/>
              </w:rPr>
            </w:pPr>
          </w:p>
          <w:p w:rsidR="00861BE3" w:rsidRDefault="008E6BF7" w:rsidP="006C756E">
            <w:pPr>
              <w:spacing w:line="480" w:lineRule="auto"/>
              <w:jc w:val="center"/>
              <w:rPr>
                <w:rFonts w:eastAsia="msgothic" w:cs="msgothic"/>
                <w:color w:val="000000"/>
                <w:kern w:val="24"/>
                <w:sz w:val="16"/>
                <w:szCs w:val="16"/>
                <w:lang w:eastAsia="en-GB"/>
              </w:rPr>
            </w:pPr>
            <w:r w:rsidRPr="00D26EDE">
              <w:rPr>
                <w:rFonts w:eastAsia="msgothic" w:cs="msgothic"/>
                <w:color w:val="000000"/>
                <w:kern w:val="24"/>
                <w:sz w:val="16"/>
                <w:szCs w:val="16"/>
                <w:lang w:eastAsia="en-GB"/>
              </w:rPr>
              <w:t xml:space="preserve">32.8 </w:t>
            </w:r>
          </w:p>
          <w:p w:rsidR="008E6BF7" w:rsidRPr="009B4B2E" w:rsidRDefault="008E6BF7" w:rsidP="006C756E">
            <w:pPr>
              <w:spacing w:line="480" w:lineRule="auto"/>
              <w:jc w:val="center"/>
              <w:rPr>
                <w:rFonts w:eastAsia="Calibri" w:cs="Times New Roman"/>
                <w:b/>
                <w:color w:val="000000"/>
                <w:kern w:val="24"/>
                <w:sz w:val="16"/>
                <w:szCs w:val="16"/>
                <w:lang w:eastAsia="en-GB"/>
              </w:rPr>
            </w:pPr>
            <w:r w:rsidRPr="009B4B2E">
              <w:rPr>
                <w:rFonts w:eastAsia="Calibri" w:cs="Times New Roman"/>
                <w:b/>
                <w:color w:val="000000"/>
                <w:kern w:val="24"/>
                <w:sz w:val="16"/>
                <w:szCs w:val="16"/>
                <w:lang w:eastAsia="en-GB"/>
              </w:rPr>
              <w:t>(</w:t>
            </w:r>
            <w:r w:rsidRPr="009B4B2E">
              <w:rPr>
                <w:rFonts w:eastAsia="msgothic" w:cs="msgothic"/>
                <w:b/>
                <w:color w:val="222222"/>
                <w:kern w:val="24"/>
                <w:sz w:val="16"/>
                <w:szCs w:val="16"/>
                <w:lang w:eastAsia="en-GB"/>
              </w:rPr>
              <w:t>±</w:t>
            </w:r>
            <w:r w:rsidR="0024575A" w:rsidRPr="009B4B2E">
              <w:rPr>
                <w:rFonts w:eastAsia="Calibri" w:cs="Times New Roman"/>
                <w:b/>
                <w:color w:val="000000"/>
                <w:kern w:val="24"/>
                <w:sz w:val="16"/>
                <w:szCs w:val="16"/>
                <w:lang w:eastAsia="en-GB"/>
              </w:rPr>
              <w:t>0.3</w:t>
            </w:r>
            <w:r w:rsidRPr="009B4B2E">
              <w:rPr>
                <w:rFonts w:eastAsia="Calibri" w:cs="Times New Roman"/>
                <w:b/>
                <w:color w:val="000000"/>
                <w:kern w:val="24"/>
                <w:sz w:val="16"/>
                <w:szCs w:val="16"/>
                <w:lang w:eastAsia="en-GB"/>
              </w:rPr>
              <w:t>)</w:t>
            </w:r>
          </w:p>
          <w:p w:rsidR="0024575A" w:rsidRPr="00D26EDE" w:rsidRDefault="0024575A" w:rsidP="006C756E">
            <w:pPr>
              <w:spacing w:line="480" w:lineRule="auto"/>
              <w:jc w:val="center"/>
              <w:rPr>
                <w:rFonts w:eastAsia="Times New Roman" w:cs="Arial"/>
                <w:sz w:val="16"/>
                <w:szCs w:val="16"/>
                <w:lang w:eastAsia="en-GB"/>
              </w:rPr>
            </w:pPr>
            <w:r w:rsidRPr="00B328E3">
              <w:rPr>
                <w:bCs/>
                <w:i/>
                <w:iCs/>
                <w:sz w:val="16"/>
                <w:szCs w:val="16"/>
              </w:rPr>
              <w:t>(±</w:t>
            </w:r>
            <w:r>
              <w:rPr>
                <w:bCs/>
                <w:i/>
                <w:iCs/>
                <w:sz w:val="16"/>
                <w:szCs w:val="16"/>
              </w:rPr>
              <w:t>2.8)</w:t>
            </w:r>
          </w:p>
        </w:tc>
        <w:tc>
          <w:tcPr>
            <w:tcW w:w="0" w:type="auto"/>
            <w:tcBorders>
              <w:top w:val="single" w:sz="4" w:space="0" w:color="auto"/>
            </w:tcBorders>
            <w:hideMark/>
          </w:tcPr>
          <w:p w:rsidR="006C756E" w:rsidRDefault="006C756E" w:rsidP="006C756E">
            <w:pPr>
              <w:spacing w:line="480" w:lineRule="auto"/>
              <w:jc w:val="center"/>
              <w:rPr>
                <w:rFonts w:eastAsia="msgothic" w:cs="msgothic"/>
                <w:color w:val="000000"/>
                <w:kern w:val="24"/>
                <w:sz w:val="16"/>
                <w:szCs w:val="16"/>
                <w:lang w:eastAsia="en-GB"/>
              </w:rPr>
            </w:pPr>
          </w:p>
          <w:p w:rsidR="00861BE3" w:rsidRDefault="008E6BF7" w:rsidP="006C756E">
            <w:pPr>
              <w:spacing w:line="480" w:lineRule="auto"/>
              <w:jc w:val="center"/>
              <w:rPr>
                <w:rFonts w:eastAsia="msgothic" w:cs="msgothic"/>
                <w:color w:val="000000"/>
                <w:kern w:val="24"/>
                <w:sz w:val="16"/>
                <w:szCs w:val="16"/>
                <w:lang w:eastAsia="en-GB"/>
              </w:rPr>
            </w:pPr>
            <w:r w:rsidRPr="00D26EDE">
              <w:rPr>
                <w:rFonts w:eastAsia="msgothic" w:cs="msgothic"/>
                <w:color w:val="000000"/>
                <w:kern w:val="24"/>
                <w:sz w:val="16"/>
                <w:szCs w:val="16"/>
                <w:lang w:eastAsia="en-GB"/>
              </w:rPr>
              <w:t xml:space="preserve">1.9 </w:t>
            </w:r>
          </w:p>
          <w:p w:rsidR="008E6BF7" w:rsidRPr="009B4B2E" w:rsidRDefault="008E6BF7" w:rsidP="006C756E">
            <w:pPr>
              <w:spacing w:line="480" w:lineRule="auto"/>
              <w:jc w:val="center"/>
              <w:rPr>
                <w:rFonts w:eastAsia="Calibri" w:cs="Times New Roman"/>
                <w:b/>
                <w:color w:val="000000"/>
                <w:kern w:val="24"/>
                <w:sz w:val="16"/>
                <w:szCs w:val="16"/>
                <w:lang w:eastAsia="en-GB"/>
              </w:rPr>
            </w:pPr>
            <w:r w:rsidRPr="009B4B2E">
              <w:rPr>
                <w:rFonts w:eastAsia="Calibri" w:cs="Times New Roman"/>
                <w:b/>
                <w:color w:val="000000"/>
                <w:kern w:val="24"/>
                <w:sz w:val="16"/>
                <w:szCs w:val="16"/>
                <w:lang w:eastAsia="en-GB"/>
              </w:rPr>
              <w:t>(</w:t>
            </w:r>
            <w:r w:rsidRPr="009B4B2E">
              <w:rPr>
                <w:rFonts w:eastAsia="msgothic" w:cs="msgothic"/>
                <w:b/>
                <w:color w:val="222222"/>
                <w:kern w:val="24"/>
                <w:sz w:val="16"/>
                <w:szCs w:val="16"/>
                <w:lang w:eastAsia="en-GB"/>
              </w:rPr>
              <w:t>±</w:t>
            </w:r>
            <w:r w:rsidR="0024575A" w:rsidRPr="009B4B2E">
              <w:rPr>
                <w:rFonts w:eastAsia="Calibri" w:cs="Times New Roman"/>
                <w:b/>
                <w:color w:val="000000"/>
                <w:kern w:val="24"/>
                <w:sz w:val="16"/>
                <w:szCs w:val="16"/>
                <w:lang w:eastAsia="en-GB"/>
              </w:rPr>
              <w:t>0.03</w:t>
            </w:r>
            <w:r w:rsidRPr="009B4B2E">
              <w:rPr>
                <w:rFonts w:eastAsia="Calibri" w:cs="Times New Roman"/>
                <w:b/>
                <w:color w:val="000000"/>
                <w:kern w:val="24"/>
                <w:sz w:val="16"/>
                <w:szCs w:val="16"/>
                <w:lang w:eastAsia="en-GB"/>
              </w:rPr>
              <w:t>)</w:t>
            </w:r>
          </w:p>
          <w:p w:rsidR="009B4B2E" w:rsidRPr="00D26EDE" w:rsidRDefault="009B4B2E" w:rsidP="006C756E">
            <w:pPr>
              <w:spacing w:line="480" w:lineRule="auto"/>
              <w:jc w:val="center"/>
              <w:rPr>
                <w:rFonts w:eastAsia="Times New Roman" w:cs="Arial"/>
                <w:sz w:val="16"/>
                <w:szCs w:val="16"/>
                <w:lang w:eastAsia="en-GB"/>
              </w:rPr>
            </w:pPr>
            <w:r w:rsidRPr="00B328E3">
              <w:rPr>
                <w:bCs/>
                <w:i/>
                <w:iCs/>
                <w:sz w:val="16"/>
                <w:szCs w:val="16"/>
              </w:rPr>
              <w:t>(±</w:t>
            </w:r>
            <w:r>
              <w:rPr>
                <w:bCs/>
                <w:i/>
                <w:iCs/>
                <w:sz w:val="16"/>
                <w:szCs w:val="16"/>
              </w:rPr>
              <w:t>0.01)</w:t>
            </w:r>
          </w:p>
        </w:tc>
      </w:tr>
      <w:tr w:rsidR="008E6BF7" w:rsidRPr="00C844A5" w:rsidTr="006C756E">
        <w:trPr>
          <w:trHeight w:val="522"/>
          <w:jc w:val="center"/>
        </w:trPr>
        <w:tc>
          <w:tcPr>
            <w:tcW w:w="0" w:type="auto"/>
            <w:tcBorders>
              <w:bottom w:val="single" w:sz="4" w:space="0" w:color="auto"/>
            </w:tcBorders>
            <w:hideMark/>
          </w:tcPr>
          <w:p w:rsidR="008E6BF7" w:rsidRPr="00D26EDE" w:rsidRDefault="008E6BF7" w:rsidP="006C756E">
            <w:pPr>
              <w:spacing w:line="480" w:lineRule="auto"/>
              <w:jc w:val="center"/>
              <w:rPr>
                <w:rFonts w:eastAsia="Times New Roman" w:cs="Arial"/>
                <w:sz w:val="16"/>
                <w:szCs w:val="16"/>
                <w:lang w:eastAsia="en-GB"/>
              </w:rPr>
            </w:pPr>
            <w:r w:rsidRPr="00D26EDE">
              <w:rPr>
                <w:rFonts w:eastAsia="msgothic" w:cs="msgothic"/>
                <w:color w:val="000000"/>
                <w:kern w:val="24"/>
                <w:sz w:val="16"/>
                <w:szCs w:val="16"/>
                <w:lang w:eastAsia="en-GB"/>
              </w:rPr>
              <w:t xml:space="preserve">100 mM ammonium acetate </w:t>
            </w:r>
          </w:p>
        </w:tc>
        <w:tc>
          <w:tcPr>
            <w:tcW w:w="0" w:type="auto"/>
            <w:tcBorders>
              <w:bottom w:val="single" w:sz="4" w:space="0" w:color="auto"/>
            </w:tcBorders>
            <w:hideMark/>
          </w:tcPr>
          <w:p w:rsidR="00861BE3" w:rsidRDefault="00A86E96" w:rsidP="006C756E">
            <w:pPr>
              <w:spacing w:line="480" w:lineRule="auto"/>
              <w:jc w:val="center"/>
              <w:rPr>
                <w:rFonts w:eastAsia="msgothic" w:cs="msgothic"/>
                <w:color w:val="000000" w:themeColor="dark1"/>
                <w:kern w:val="24"/>
                <w:sz w:val="16"/>
                <w:szCs w:val="16"/>
                <w:lang w:eastAsia="en-GB"/>
              </w:rPr>
            </w:pPr>
            <w:r>
              <w:rPr>
                <w:rFonts w:eastAsia="msgothic" w:cs="msgothic"/>
                <w:color w:val="000000" w:themeColor="dark1"/>
                <w:kern w:val="24"/>
                <w:sz w:val="16"/>
                <w:szCs w:val="16"/>
                <w:lang w:eastAsia="en-GB"/>
              </w:rPr>
              <w:t>22.4</w:t>
            </w:r>
          </w:p>
          <w:p w:rsidR="008E6BF7" w:rsidRDefault="008E6BF7" w:rsidP="006C756E">
            <w:pPr>
              <w:spacing w:line="480" w:lineRule="auto"/>
              <w:jc w:val="center"/>
              <w:rPr>
                <w:rFonts w:eastAsia="msgothic" w:cs="msgothic"/>
                <w:b/>
                <w:color w:val="000000"/>
                <w:kern w:val="24"/>
                <w:sz w:val="16"/>
                <w:szCs w:val="16"/>
                <w:lang w:eastAsia="en-GB"/>
              </w:rPr>
            </w:pPr>
            <w:r w:rsidRPr="00D26EDE">
              <w:rPr>
                <w:rFonts w:eastAsia="msgothic" w:cs="msgothic"/>
                <w:color w:val="000000" w:themeColor="dark1"/>
                <w:kern w:val="24"/>
                <w:sz w:val="16"/>
                <w:szCs w:val="16"/>
                <w:lang w:eastAsia="en-GB"/>
              </w:rPr>
              <w:t xml:space="preserve"> </w:t>
            </w:r>
            <w:r w:rsidR="0024575A" w:rsidRPr="009B4B2E">
              <w:rPr>
                <w:rFonts w:eastAsia="msgothic" w:cs="msgothic"/>
                <w:b/>
                <w:color w:val="000000"/>
                <w:kern w:val="24"/>
                <w:sz w:val="16"/>
                <w:szCs w:val="16"/>
                <w:lang w:eastAsia="en-GB"/>
              </w:rPr>
              <w:t>(± 0.5</w:t>
            </w:r>
            <w:r w:rsidRPr="009B4B2E">
              <w:rPr>
                <w:rFonts w:eastAsia="msgothic" w:cs="msgothic"/>
                <w:b/>
                <w:color w:val="000000"/>
                <w:kern w:val="24"/>
                <w:sz w:val="16"/>
                <w:szCs w:val="16"/>
                <w:lang w:eastAsia="en-GB"/>
              </w:rPr>
              <w:t>)</w:t>
            </w:r>
          </w:p>
          <w:p w:rsidR="009B4B2E" w:rsidRPr="009B4B2E" w:rsidRDefault="009B4B2E" w:rsidP="009B4B2E">
            <w:pPr>
              <w:spacing w:line="480" w:lineRule="auto"/>
              <w:jc w:val="center"/>
              <w:rPr>
                <w:rFonts w:eastAsia="Times New Roman" w:cs="Arial"/>
                <w:b/>
                <w:sz w:val="16"/>
                <w:szCs w:val="16"/>
                <w:lang w:eastAsia="en-GB"/>
              </w:rPr>
            </w:pPr>
            <w:r w:rsidRPr="00B328E3">
              <w:rPr>
                <w:bCs/>
                <w:i/>
                <w:iCs/>
                <w:sz w:val="16"/>
                <w:szCs w:val="16"/>
              </w:rPr>
              <w:t>(±</w:t>
            </w:r>
            <w:r>
              <w:rPr>
                <w:bCs/>
                <w:i/>
                <w:iCs/>
                <w:sz w:val="16"/>
                <w:szCs w:val="16"/>
              </w:rPr>
              <w:t>0.8)</w:t>
            </w:r>
          </w:p>
        </w:tc>
        <w:tc>
          <w:tcPr>
            <w:tcW w:w="0" w:type="auto"/>
            <w:tcBorders>
              <w:bottom w:val="single" w:sz="4" w:space="0" w:color="auto"/>
            </w:tcBorders>
            <w:hideMark/>
          </w:tcPr>
          <w:p w:rsidR="00861BE3" w:rsidRDefault="008E6BF7" w:rsidP="006C756E">
            <w:pPr>
              <w:spacing w:line="480" w:lineRule="auto"/>
              <w:jc w:val="center"/>
              <w:rPr>
                <w:rFonts w:eastAsia="msgothic" w:cs="msgothic"/>
                <w:color w:val="000000" w:themeColor="dark1"/>
                <w:kern w:val="24"/>
                <w:sz w:val="16"/>
                <w:szCs w:val="16"/>
                <w:lang w:eastAsia="en-GB"/>
              </w:rPr>
            </w:pPr>
            <w:r w:rsidRPr="00D26EDE">
              <w:rPr>
                <w:rFonts w:eastAsia="msgothic" w:cs="msgothic"/>
                <w:color w:val="000000" w:themeColor="dark1"/>
                <w:kern w:val="24"/>
                <w:sz w:val="16"/>
                <w:szCs w:val="16"/>
                <w:lang w:eastAsia="en-GB"/>
              </w:rPr>
              <w:t>-4.67</w:t>
            </w:r>
          </w:p>
          <w:p w:rsidR="008E6BF7" w:rsidRPr="009B4B2E" w:rsidRDefault="008E6BF7" w:rsidP="006C756E">
            <w:pPr>
              <w:spacing w:line="480" w:lineRule="auto"/>
              <w:jc w:val="center"/>
              <w:rPr>
                <w:rFonts w:eastAsia="Times New Roman" w:cs="Arial"/>
                <w:b/>
                <w:sz w:val="16"/>
                <w:szCs w:val="16"/>
                <w:lang w:eastAsia="en-GB"/>
              </w:rPr>
            </w:pPr>
            <w:r w:rsidRPr="00D26EDE">
              <w:rPr>
                <w:rFonts w:eastAsia="msgothic" w:cs="msgothic"/>
                <w:color w:val="000000" w:themeColor="dark1"/>
                <w:kern w:val="24"/>
                <w:sz w:val="16"/>
                <w:szCs w:val="16"/>
                <w:lang w:eastAsia="en-GB"/>
              </w:rPr>
              <w:t xml:space="preserve"> </w:t>
            </w:r>
            <w:r w:rsidR="0024575A" w:rsidRPr="009B4B2E">
              <w:rPr>
                <w:rFonts w:eastAsia="msgothic" w:cs="msgothic"/>
                <w:b/>
                <w:color w:val="000000"/>
                <w:kern w:val="24"/>
                <w:sz w:val="16"/>
                <w:szCs w:val="16"/>
                <w:lang w:eastAsia="en-GB"/>
              </w:rPr>
              <w:t>(± 0.4</w:t>
            </w:r>
            <w:r w:rsidRPr="009B4B2E">
              <w:rPr>
                <w:rFonts w:eastAsia="msgothic" w:cs="msgothic"/>
                <w:b/>
                <w:color w:val="000000"/>
                <w:kern w:val="24"/>
                <w:sz w:val="16"/>
                <w:szCs w:val="16"/>
                <w:lang w:eastAsia="en-GB"/>
              </w:rPr>
              <w:t>)</w:t>
            </w:r>
          </w:p>
        </w:tc>
        <w:tc>
          <w:tcPr>
            <w:tcW w:w="0" w:type="auto"/>
            <w:tcBorders>
              <w:bottom w:val="single" w:sz="4" w:space="0" w:color="auto"/>
            </w:tcBorders>
            <w:hideMark/>
          </w:tcPr>
          <w:p w:rsidR="00861BE3" w:rsidRDefault="00A86E96" w:rsidP="006C756E">
            <w:pPr>
              <w:spacing w:line="480" w:lineRule="auto"/>
              <w:jc w:val="center"/>
              <w:rPr>
                <w:rFonts w:eastAsia="msgothic" w:cs="msgothic"/>
                <w:color w:val="000000" w:themeColor="dark1"/>
                <w:kern w:val="24"/>
                <w:sz w:val="16"/>
                <w:szCs w:val="16"/>
                <w:lang w:eastAsia="en-GB"/>
              </w:rPr>
            </w:pPr>
            <w:r>
              <w:rPr>
                <w:rFonts w:eastAsia="msgothic" w:cs="msgothic"/>
                <w:color w:val="000000" w:themeColor="dark1"/>
                <w:kern w:val="24"/>
                <w:sz w:val="16"/>
                <w:szCs w:val="16"/>
                <w:lang w:eastAsia="en-GB"/>
              </w:rPr>
              <w:t>27.1</w:t>
            </w:r>
            <w:r w:rsidR="008E6BF7" w:rsidRPr="00D26EDE">
              <w:rPr>
                <w:rFonts w:eastAsia="msgothic" w:cs="msgothic"/>
                <w:color w:val="000000" w:themeColor="dark1"/>
                <w:kern w:val="24"/>
                <w:sz w:val="16"/>
                <w:szCs w:val="16"/>
                <w:lang w:eastAsia="en-GB"/>
              </w:rPr>
              <w:t xml:space="preserve"> </w:t>
            </w:r>
          </w:p>
          <w:p w:rsidR="008E6BF7" w:rsidRDefault="008E6BF7" w:rsidP="006C756E">
            <w:pPr>
              <w:spacing w:line="480" w:lineRule="auto"/>
              <w:jc w:val="center"/>
              <w:rPr>
                <w:rFonts w:eastAsia="msgothic" w:cs="msgothic"/>
                <w:b/>
                <w:color w:val="000000"/>
                <w:kern w:val="24"/>
                <w:sz w:val="16"/>
                <w:szCs w:val="16"/>
                <w:lang w:eastAsia="en-GB"/>
              </w:rPr>
            </w:pPr>
            <w:r w:rsidRPr="009B4B2E">
              <w:rPr>
                <w:rFonts w:eastAsia="msgothic" w:cs="msgothic"/>
                <w:b/>
                <w:color w:val="000000"/>
                <w:kern w:val="24"/>
                <w:sz w:val="16"/>
                <w:szCs w:val="16"/>
                <w:lang w:eastAsia="en-GB"/>
              </w:rPr>
              <w:t>(±</w:t>
            </w:r>
            <w:r w:rsidR="00BF1CE8">
              <w:rPr>
                <w:rFonts w:eastAsia="msgothic" w:cs="msgothic"/>
                <w:b/>
                <w:color w:val="000000"/>
                <w:kern w:val="24"/>
                <w:sz w:val="16"/>
                <w:szCs w:val="16"/>
                <w:lang w:eastAsia="en-GB"/>
              </w:rPr>
              <w:t xml:space="preserve"> 0.1</w:t>
            </w:r>
            <w:r w:rsidRPr="009B4B2E">
              <w:rPr>
                <w:rFonts w:eastAsia="msgothic" w:cs="msgothic"/>
                <w:b/>
                <w:color w:val="000000"/>
                <w:kern w:val="24"/>
                <w:sz w:val="16"/>
                <w:szCs w:val="16"/>
                <w:lang w:eastAsia="en-GB"/>
              </w:rPr>
              <w:t>)</w:t>
            </w:r>
          </w:p>
          <w:p w:rsidR="009B4B2E" w:rsidRPr="009B4B2E" w:rsidRDefault="009B4B2E" w:rsidP="009B4B2E">
            <w:pPr>
              <w:spacing w:line="480" w:lineRule="auto"/>
              <w:jc w:val="center"/>
              <w:rPr>
                <w:rFonts w:eastAsia="Times New Roman" w:cs="Arial"/>
                <w:b/>
                <w:sz w:val="16"/>
                <w:szCs w:val="16"/>
                <w:lang w:eastAsia="en-GB"/>
              </w:rPr>
            </w:pPr>
            <w:r w:rsidRPr="00B328E3">
              <w:rPr>
                <w:bCs/>
                <w:i/>
                <w:iCs/>
                <w:sz w:val="16"/>
                <w:szCs w:val="16"/>
              </w:rPr>
              <w:t>(±</w:t>
            </w:r>
            <w:r>
              <w:rPr>
                <w:bCs/>
                <w:i/>
                <w:iCs/>
                <w:sz w:val="16"/>
                <w:szCs w:val="16"/>
              </w:rPr>
              <w:t>3)</w:t>
            </w:r>
          </w:p>
        </w:tc>
        <w:tc>
          <w:tcPr>
            <w:tcW w:w="0" w:type="auto"/>
            <w:tcBorders>
              <w:bottom w:val="single" w:sz="4" w:space="0" w:color="auto"/>
            </w:tcBorders>
            <w:hideMark/>
          </w:tcPr>
          <w:p w:rsidR="00861BE3" w:rsidRDefault="008E6BF7" w:rsidP="006C756E">
            <w:pPr>
              <w:spacing w:line="480" w:lineRule="auto"/>
              <w:jc w:val="center"/>
              <w:rPr>
                <w:rFonts w:eastAsia="msgothic" w:cs="msgothic"/>
                <w:color w:val="000000" w:themeColor="dark1"/>
                <w:kern w:val="24"/>
                <w:sz w:val="16"/>
                <w:szCs w:val="16"/>
                <w:lang w:eastAsia="en-GB"/>
              </w:rPr>
            </w:pPr>
            <w:r w:rsidRPr="00D26EDE">
              <w:rPr>
                <w:rFonts w:eastAsia="msgothic" w:cs="msgothic"/>
                <w:color w:val="000000" w:themeColor="dark1"/>
                <w:kern w:val="24"/>
                <w:sz w:val="16"/>
                <w:szCs w:val="16"/>
                <w:lang w:eastAsia="en-GB"/>
              </w:rPr>
              <w:t xml:space="preserve">2.2 </w:t>
            </w:r>
          </w:p>
          <w:p w:rsidR="008E6BF7" w:rsidRDefault="0076524B" w:rsidP="006C756E">
            <w:pPr>
              <w:spacing w:line="480" w:lineRule="auto"/>
              <w:jc w:val="center"/>
              <w:rPr>
                <w:rFonts w:eastAsia="msgothic" w:cs="msgothic"/>
                <w:b/>
                <w:color w:val="000000"/>
                <w:kern w:val="24"/>
                <w:sz w:val="16"/>
                <w:szCs w:val="16"/>
                <w:lang w:eastAsia="en-GB"/>
              </w:rPr>
            </w:pPr>
            <w:r w:rsidRPr="009B4B2E">
              <w:rPr>
                <w:rFonts w:eastAsia="msgothic" w:cs="msgothic"/>
                <w:b/>
                <w:color w:val="000000"/>
                <w:kern w:val="24"/>
                <w:sz w:val="16"/>
                <w:szCs w:val="16"/>
                <w:lang w:eastAsia="en-GB"/>
              </w:rPr>
              <w:t>(± 0.007</w:t>
            </w:r>
            <w:r w:rsidR="008E6BF7" w:rsidRPr="009B4B2E">
              <w:rPr>
                <w:rFonts w:eastAsia="msgothic" w:cs="msgothic"/>
                <w:b/>
                <w:color w:val="000000"/>
                <w:kern w:val="24"/>
                <w:sz w:val="16"/>
                <w:szCs w:val="16"/>
                <w:lang w:eastAsia="en-GB"/>
              </w:rPr>
              <w:t>)</w:t>
            </w:r>
          </w:p>
          <w:p w:rsidR="009B4B2E" w:rsidRPr="009B4B2E" w:rsidRDefault="009B4B2E" w:rsidP="006C756E">
            <w:pPr>
              <w:spacing w:line="480" w:lineRule="auto"/>
              <w:jc w:val="center"/>
              <w:rPr>
                <w:rFonts w:eastAsia="Times New Roman" w:cs="Arial"/>
                <w:b/>
                <w:sz w:val="16"/>
                <w:szCs w:val="16"/>
                <w:lang w:eastAsia="en-GB"/>
              </w:rPr>
            </w:pPr>
            <w:r w:rsidRPr="00B328E3">
              <w:rPr>
                <w:bCs/>
                <w:i/>
                <w:iCs/>
                <w:sz w:val="16"/>
                <w:szCs w:val="16"/>
              </w:rPr>
              <w:t>(±</w:t>
            </w:r>
            <w:r>
              <w:rPr>
                <w:bCs/>
                <w:i/>
                <w:iCs/>
                <w:sz w:val="16"/>
                <w:szCs w:val="16"/>
              </w:rPr>
              <w:t>0.01)</w:t>
            </w:r>
          </w:p>
        </w:tc>
      </w:tr>
    </w:tbl>
    <w:p w:rsidR="008E6BF7" w:rsidRPr="00C844A5" w:rsidRDefault="008E6BF7" w:rsidP="008E6BF7">
      <w:pPr>
        <w:spacing w:line="480" w:lineRule="auto"/>
        <w:rPr>
          <w:bCs/>
          <w:iCs/>
          <w:sz w:val="20"/>
          <w:szCs w:val="20"/>
          <w:lang w:val="en-US"/>
        </w:rPr>
      </w:pPr>
    </w:p>
    <w:p w:rsidR="008E6BF7" w:rsidRDefault="008E6BF7" w:rsidP="008E6BF7">
      <w:pPr>
        <w:spacing w:line="480" w:lineRule="auto"/>
        <w:jc w:val="both"/>
        <w:rPr>
          <w:bCs/>
          <w:iCs/>
        </w:rPr>
      </w:pPr>
      <w:r w:rsidRPr="00420A14">
        <w:rPr>
          <w:bCs/>
          <w:iCs/>
        </w:rPr>
        <w:t>Performing the titrations at different temperatures allows calculation of the heat capacity of binding</w:t>
      </w:r>
      <w:r w:rsidRPr="00420A14">
        <w:rPr>
          <w:bCs/>
          <w:i/>
          <w:iCs/>
        </w:rPr>
        <w:t xml:space="preserve"> </w:t>
      </w:r>
      <w:r>
        <w:rPr>
          <w:bCs/>
          <w:iCs/>
        </w:rPr>
        <w:t>(</w:t>
      </w:r>
      <w:r w:rsidRPr="00A4683A">
        <w:rPr>
          <w:bCs/>
          <w:iCs/>
        </w:rPr>
        <w:t>Δ</w:t>
      </w:r>
      <w:r w:rsidRPr="00420A14">
        <w:rPr>
          <w:bCs/>
          <w:i/>
          <w:iCs/>
        </w:rPr>
        <w:t>C</w:t>
      </w:r>
      <w:r w:rsidRPr="00420A14">
        <w:rPr>
          <w:bCs/>
          <w:i/>
          <w:iCs/>
          <w:vertAlign w:val="subscript"/>
        </w:rPr>
        <w:t>p</w:t>
      </w:r>
      <w:r>
        <w:rPr>
          <w:bCs/>
          <w:iCs/>
        </w:rPr>
        <w:t>)</w:t>
      </w:r>
      <w:r w:rsidRPr="00420A14">
        <w:rPr>
          <w:bCs/>
          <w:iCs/>
        </w:rPr>
        <w:t xml:space="preserve">. </w:t>
      </w:r>
      <w:r w:rsidRPr="00A4683A">
        <w:rPr>
          <w:bCs/>
          <w:iCs/>
        </w:rPr>
        <w:t>Δ</w:t>
      </w:r>
      <w:r w:rsidRPr="00420A14">
        <w:rPr>
          <w:bCs/>
          <w:i/>
          <w:iCs/>
        </w:rPr>
        <w:t>C</w:t>
      </w:r>
      <w:r w:rsidRPr="00420A14">
        <w:rPr>
          <w:bCs/>
          <w:i/>
          <w:iCs/>
          <w:vertAlign w:val="subscript"/>
        </w:rPr>
        <w:t>p</w:t>
      </w:r>
      <w:r w:rsidRPr="00420A14">
        <w:rPr>
          <w:bCs/>
          <w:i/>
          <w:iCs/>
        </w:rPr>
        <w:t xml:space="preserve"> </w:t>
      </w:r>
      <w:r w:rsidRPr="00420A14">
        <w:rPr>
          <w:bCs/>
          <w:iCs/>
        </w:rPr>
        <w:t xml:space="preserve">provides thermodynamic </w:t>
      </w:r>
      <w:r>
        <w:rPr>
          <w:bCs/>
          <w:iCs/>
        </w:rPr>
        <w:t>information</w:t>
      </w:r>
      <w:r w:rsidRPr="00420A14">
        <w:rPr>
          <w:bCs/>
          <w:iCs/>
        </w:rPr>
        <w:t xml:space="preserve"> regarding the change in hydration of apolar and polar residues of the protein in addition to the ligand itself upon binding</w:t>
      </w:r>
      <w:r>
        <w:rPr>
          <w:bCs/>
          <w:iCs/>
        </w:rPr>
        <w:t>.</w:t>
      </w:r>
      <w:r w:rsidR="0075172E" w:rsidRPr="00420A14">
        <w:rPr>
          <w:bCs/>
          <w:iCs/>
        </w:rPr>
        <w:fldChar w:fldCharType="begin"/>
      </w:r>
      <w:r w:rsidR="006421D1">
        <w:rPr>
          <w:bCs/>
          <w:iCs/>
        </w:rPr>
        <w:instrText xml:space="preserve"> ADDIN EN.CITE &lt;EndNote&gt;&lt;Cite&gt;&lt;Author&gt;Sturtevant&lt;/Author&gt;&lt;Year&gt;1977&lt;/Year&gt;&lt;RecNum&gt;493&lt;/RecNum&gt;&lt;DisplayText&gt;&lt;style face="superscript"&gt;88,214&lt;/style&gt;&lt;/DisplayText&gt;&lt;record&gt;&lt;rec-number&gt;493&lt;/rec-number&gt;&lt;foreign-keys&gt;&lt;key app="EN" db-id="5trrespwzsdr07efd5tx2w96x22re9s0fsdt"&gt;493&lt;/key&gt;&lt;/foreign-keys&gt;&lt;ref-type name="Journal Article"&gt;17&lt;/ref-type&gt;&lt;contributors&gt;&lt;authors&gt;&lt;author&gt;Sturtevant, J M&lt;/author&gt;&lt;/authors&gt;&lt;/contributors&gt;&lt;titles&gt;&lt;title&gt;Heat capacity and entropy changes in processes involving proteins&lt;/title&gt;&lt;secondary-title&gt;Proceedings of the National Academy of Sciences&lt;/secondary-title&gt;&lt;/titles&gt;&lt;periodical&gt;&lt;full-title&gt;Proceedings of the National Academy of Sciences&lt;/full-title&gt;&lt;/periodical&gt;&lt;pages&gt;2236-2240&lt;/pages&gt;&lt;volume&gt;74&lt;/volume&gt;&lt;number&gt;6&lt;/number&gt;&lt;dates&gt;&lt;year&gt;1977&lt;/year&gt;&lt;pub-dates&gt;&lt;date&gt;June 1, 1977&lt;/date&gt;&lt;/pub-dates&gt;&lt;/dates&gt;&lt;urls&gt;&lt;related-urls&gt;&lt;url&gt;http://www.pnas.org/content/74/6/2236.abstract&lt;/url&gt;&lt;/related-urls&gt;&lt;/urls&gt;&lt;/record&gt;&lt;/Cite&gt;&lt;Cite&gt;&lt;Author&gt;Privalov&lt;/Author&gt;&lt;Year&gt;1989&lt;/Year&gt;&lt;RecNum&gt;563&lt;/RecNum&gt;&lt;record&gt;&lt;rec-number&gt;563&lt;/rec-number&gt;&lt;foreign-keys&gt;&lt;key app="EN" db-id="5trrespwzsdr07efd5tx2w96x22re9s0fsdt"&gt;563&lt;/key&gt;&lt;/foreign-keys&gt;&lt;ref-type name="Journal Article"&gt;17&lt;/ref-type&gt;&lt;contributors&gt;&lt;authors&gt;&lt;author&gt;Privalov, PL&lt;/author&gt;&lt;author&gt;Gill, Stanley J&lt;/author&gt;&lt;/authors&gt;&lt;/contributors&gt;&lt;titles&gt;&lt;title&gt;The hydrophobic effect: a reappraisal&lt;/title&gt;&lt;secondary-title&gt;Pure and applied chemistry&lt;/secondary-title&gt;&lt;/titles&gt;&lt;periodical&gt;&lt;full-title&gt;Pure and applied chemistry&lt;/full-title&gt;&lt;/periodical&gt;&lt;pages&gt;1097-1104&lt;/pages&gt;&lt;volume&gt;61&lt;/volume&gt;&lt;number&gt;6&lt;/number&gt;&lt;dates&gt;&lt;year&gt;1989&lt;/year&gt;&lt;/dates&gt;&lt;isbn&gt;1365-3075&lt;/isbn&gt;&lt;urls&gt;&lt;/urls&gt;&lt;/record&gt;&lt;/Cite&gt;&lt;/EndNote&gt;</w:instrText>
      </w:r>
      <w:r w:rsidR="0075172E" w:rsidRPr="00420A14">
        <w:rPr>
          <w:bCs/>
          <w:iCs/>
        </w:rPr>
        <w:fldChar w:fldCharType="separate"/>
      </w:r>
      <w:hyperlink w:anchor="_ENREF_88" w:tooltip="Sturtevant, 1977 #493" w:history="1">
        <w:r w:rsidR="00512D09" w:rsidRPr="006421D1">
          <w:rPr>
            <w:bCs/>
            <w:iCs/>
            <w:noProof/>
            <w:vertAlign w:val="superscript"/>
          </w:rPr>
          <w:t>88</w:t>
        </w:r>
      </w:hyperlink>
      <w:r w:rsidR="006421D1" w:rsidRPr="006421D1">
        <w:rPr>
          <w:bCs/>
          <w:iCs/>
          <w:noProof/>
          <w:vertAlign w:val="superscript"/>
        </w:rPr>
        <w:t>,</w:t>
      </w:r>
      <w:hyperlink w:anchor="_ENREF_214" w:tooltip="Privalov, 1989 #563" w:history="1">
        <w:r w:rsidR="00512D09" w:rsidRPr="006421D1">
          <w:rPr>
            <w:bCs/>
            <w:iCs/>
            <w:noProof/>
            <w:vertAlign w:val="superscript"/>
          </w:rPr>
          <w:t>214</w:t>
        </w:r>
      </w:hyperlink>
      <w:r w:rsidR="0075172E" w:rsidRPr="00420A14">
        <w:rPr>
          <w:bCs/>
          <w:iCs/>
          <w:lang w:val="en-US"/>
        </w:rPr>
        <w:fldChar w:fldCharType="end"/>
      </w:r>
      <w:r w:rsidRPr="00420A14">
        <w:rPr>
          <w:bCs/>
          <w:iCs/>
        </w:rPr>
        <w:t xml:space="preserve"> In most ITC studies, a negative </w:t>
      </w:r>
      <w:r w:rsidRPr="00A4683A">
        <w:rPr>
          <w:bCs/>
          <w:iCs/>
        </w:rPr>
        <w:t>Δ</w:t>
      </w:r>
      <w:r w:rsidRPr="00420A14">
        <w:rPr>
          <w:bCs/>
          <w:i/>
          <w:iCs/>
        </w:rPr>
        <w:t>C</w:t>
      </w:r>
      <w:r w:rsidRPr="00420A14">
        <w:rPr>
          <w:bCs/>
          <w:i/>
          <w:iCs/>
          <w:vertAlign w:val="subscript"/>
        </w:rPr>
        <w:t xml:space="preserve">p </w:t>
      </w:r>
      <w:r w:rsidRPr="00420A14">
        <w:rPr>
          <w:bCs/>
          <w:iCs/>
        </w:rPr>
        <w:t>is measured which is an indication that water is being displaced from apolar groups</w:t>
      </w:r>
      <w:r>
        <w:rPr>
          <w:bCs/>
          <w:iCs/>
        </w:rPr>
        <w:t>.</w:t>
      </w:r>
      <w:hyperlink w:anchor="_ENREF_45" w:tooltip="Makhatadze, 1990 #273" w:history="1">
        <w:r w:rsidR="00512D09" w:rsidRPr="00420A14">
          <w:rPr>
            <w:bCs/>
            <w:iCs/>
          </w:rPr>
          <w:fldChar w:fldCharType="begin"/>
        </w:r>
        <w:r w:rsidR="00512D09">
          <w:rPr>
            <w:bCs/>
            <w:iCs/>
          </w:rPr>
          <w:instrText xml:space="preserve"> ADDIN EN.CITE &lt;EndNote&gt;&lt;Cite&gt;&lt;Author&gt;Makhatadze&lt;/Author&gt;&lt;Year&gt;1990&lt;/Year&gt;&lt;RecNum&gt;273&lt;/RecNum&gt;&lt;DisplayText&gt;&lt;style face="superscript"&gt;45&lt;/style&gt;&lt;/DisplayText&gt;&lt;record&gt;&lt;rec-number&gt;273&lt;/rec-number&gt;&lt;foreign-keys&gt;&lt;key app="EN" db-id="5trrespwzsdr07efd5tx2w96x22re9s0fsdt"&gt;273&lt;/key&gt;&lt;/foreign-keys&gt;&lt;ref-type name="Journal Article"&gt;17&lt;/ref-type&gt;&lt;contributors&gt;&lt;authors&gt;&lt;author&gt;Makhatadze, G. I.&lt;/author&gt;&lt;author&gt;Privalov, P. L.&lt;/author&gt;&lt;/authors&gt;&lt;/contributors&gt;&lt;titles&gt;&lt;title&gt;Heat capacity of proteins: I. Partial molar heat capacity of individual amino acid residues in aqueous solution: Hydration effect&lt;/title&gt;&lt;secondary-title&gt;Journal of Molecular Biology&lt;/secondary-title&gt;&lt;/titles&gt;&lt;periodical&gt;&lt;full-title&gt;Journal of Molecular Biology&lt;/full-title&gt;&lt;/periodical&gt;&lt;pages&gt;375-384&lt;/pages&gt;&lt;volume&gt;213&lt;/volume&gt;&lt;number&gt;2&lt;/number&gt;&lt;dates&gt;&lt;year&gt;1990&lt;/year&gt;&lt;/dates&gt;&lt;isbn&gt;0022-2836&lt;/isbn&gt;&lt;urls&gt;&lt;related-urls&gt;&lt;url&gt;http://www.sciencedirect.com/science/article/pii/S0022283605801974&lt;/url&gt;&lt;/related-urls&gt;&lt;/urls&gt;&lt;electronic-resource-num&gt;http://dx.doi.org/10.1016/S0022-2836(05)80197-4&lt;/electronic-resource-num&gt;&lt;/record&gt;&lt;/Cite&gt;&lt;/EndNote&gt;</w:instrText>
        </w:r>
        <w:r w:rsidR="00512D09" w:rsidRPr="00420A14">
          <w:rPr>
            <w:bCs/>
            <w:iCs/>
          </w:rPr>
          <w:fldChar w:fldCharType="separate"/>
        </w:r>
        <w:r w:rsidR="00512D09" w:rsidRPr="00F04E2C">
          <w:rPr>
            <w:bCs/>
            <w:iCs/>
            <w:noProof/>
            <w:vertAlign w:val="superscript"/>
          </w:rPr>
          <w:t>45</w:t>
        </w:r>
        <w:r w:rsidR="00512D09" w:rsidRPr="00420A14">
          <w:rPr>
            <w:bCs/>
            <w:iCs/>
            <w:lang w:val="en-US"/>
          </w:rPr>
          <w:fldChar w:fldCharType="end"/>
        </w:r>
      </w:hyperlink>
      <w:r>
        <w:rPr>
          <w:bCs/>
          <w:iCs/>
        </w:rPr>
        <w:t xml:space="preserve"> </w:t>
      </w:r>
      <w:r w:rsidR="00B82785">
        <w:rPr>
          <w:bCs/>
          <w:iCs/>
        </w:rPr>
        <w:t>Although rare, a p</w:t>
      </w:r>
      <w:r w:rsidR="007A76D4">
        <w:rPr>
          <w:bCs/>
          <w:iCs/>
        </w:rPr>
        <w:t xml:space="preserve">ositive </w:t>
      </w:r>
      <w:r w:rsidR="007A76D4" w:rsidRPr="00A4683A">
        <w:rPr>
          <w:bCs/>
          <w:iCs/>
        </w:rPr>
        <w:t>Δ</w:t>
      </w:r>
      <w:r w:rsidR="007A76D4" w:rsidRPr="00420A14">
        <w:rPr>
          <w:bCs/>
          <w:i/>
          <w:iCs/>
        </w:rPr>
        <w:t>C</w:t>
      </w:r>
      <w:r w:rsidR="007A76D4" w:rsidRPr="00420A14">
        <w:rPr>
          <w:bCs/>
          <w:i/>
          <w:iCs/>
          <w:vertAlign w:val="subscript"/>
        </w:rPr>
        <w:t xml:space="preserve">p </w:t>
      </w:r>
      <w:r w:rsidR="00B82785">
        <w:rPr>
          <w:bCs/>
          <w:iCs/>
        </w:rPr>
        <w:t xml:space="preserve">has been measured for </w:t>
      </w:r>
      <w:r w:rsidR="007A76D4">
        <w:rPr>
          <w:bCs/>
          <w:iCs/>
        </w:rPr>
        <w:t xml:space="preserve">binding of mRNA 5’ cap analogue to the </w:t>
      </w:r>
      <w:r w:rsidR="00B82785">
        <w:rPr>
          <w:bCs/>
          <w:iCs/>
        </w:rPr>
        <w:t>eukaryotic</w:t>
      </w:r>
      <w:r w:rsidR="007A76D4">
        <w:rPr>
          <w:bCs/>
          <w:iCs/>
        </w:rPr>
        <w:t xml:space="preserve"> initiation factor eIF4E</w:t>
      </w:r>
      <w:r w:rsidR="00B82785">
        <w:rPr>
          <w:bCs/>
          <w:iCs/>
        </w:rPr>
        <w:t>.</w:t>
      </w:r>
      <w:hyperlink w:anchor="_ENREF_275" w:tooltip="Niedzwiecka, 2002 #451" w:history="1">
        <w:r w:rsidR="00512D09">
          <w:rPr>
            <w:bCs/>
            <w:iCs/>
          </w:rPr>
          <w:fldChar w:fldCharType="begin"/>
        </w:r>
        <w:r w:rsidR="00512D09">
          <w:rPr>
            <w:bCs/>
            <w:iCs/>
          </w:rPr>
          <w:instrText xml:space="preserve"> ADDIN EN.CITE &lt;EndNote&gt;&lt;Cite&gt;&lt;Author&gt;Niedzwiecka&lt;/Author&gt;&lt;Year&gt;2002&lt;/Year&gt;&lt;RecNum&gt;451&lt;/RecNum&gt;&lt;DisplayText&gt;&lt;style face="superscript"&gt;275&lt;/style&gt;&lt;/DisplayText&gt;&lt;record&gt;&lt;rec-number&gt;451&lt;/rec-number&gt;&lt;foreign-keys&gt;&lt;key app="EN" db-id="5trrespwzsdr07efd5tx2w96x22re9s0fsdt"&gt;451&lt;/key&gt;&lt;/foreign-keys&gt;&lt;ref-type name="Journal Article"&gt;17&lt;/ref-type&gt;&lt;contributors&gt;&lt;authors&gt;&lt;author&gt;Niedzwiecka, Anna&lt;/author&gt;&lt;author&gt;Stepinski, Janusz&lt;/author&gt;&lt;author&gt;Darzynkiewicz, Edward&lt;/author&gt;&lt;author&gt;Sonenberg, Nahum&lt;/author&gt;&lt;author&gt;Stolarski, Ryszard&lt;/author&gt;&lt;/authors&gt;&lt;/contributors&gt;&lt;titles&gt;&lt;title&gt;Positive Heat Capacity Change upon Specific Binding of Translation Initiation Factor eIF4E to mRNA 5‘ Cap†&lt;/title&gt;&lt;secondary-title&gt;Biochemistry&lt;/secondary-title&gt;&lt;/titles&gt;&lt;periodical&gt;&lt;full-title&gt;Biochemistry&lt;/full-title&gt;&lt;abbr-1&gt;Biochemistry&lt;/abbr-1&gt;&lt;/periodical&gt;&lt;pages&gt;12140-12148&lt;/pages&gt;&lt;volume&gt;41&lt;/volume&gt;&lt;number&gt;40&lt;/number&gt;&lt;dates&gt;&lt;year&gt;2002&lt;/year&gt;&lt;pub-dates&gt;&lt;date&gt;2002/10/01&lt;/date&gt;&lt;/pub-dates&gt;&lt;/dates&gt;&lt;publisher&gt;American Chemical Society&lt;/publisher&gt;&lt;isbn&gt;0006-2960&lt;/isbn&gt;&lt;urls&gt;&lt;related-urls&gt;&lt;url&gt;http://dx.doi.org/10.1021/bi0258142&lt;/url&gt;&lt;/related-urls&gt;&lt;/urls&gt;&lt;electronic-resource-num&gt;10.1021/bi0258142&lt;/electronic-resource-num&gt;&lt;access-date&gt;2014/10/28&lt;/access-date&gt;&lt;/record&gt;&lt;/Cite&gt;&lt;/EndNote&gt;</w:instrText>
        </w:r>
        <w:r w:rsidR="00512D09">
          <w:rPr>
            <w:bCs/>
            <w:iCs/>
          </w:rPr>
          <w:fldChar w:fldCharType="separate"/>
        </w:r>
        <w:r w:rsidR="00512D09" w:rsidRPr="006421D1">
          <w:rPr>
            <w:bCs/>
            <w:iCs/>
            <w:noProof/>
            <w:vertAlign w:val="superscript"/>
          </w:rPr>
          <w:t>275</w:t>
        </w:r>
        <w:r w:rsidR="00512D09">
          <w:rPr>
            <w:bCs/>
            <w:iCs/>
          </w:rPr>
          <w:fldChar w:fldCharType="end"/>
        </w:r>
      </w:hyperlink>
      <w:hyperlink w:anchor="_ENREF_272" w:tooltip="Niedzwiecka, 2002 #451" w:history="1"/>
      <w:r>
        <w:rPr>
          <w:bCs/>
          <w:iCs/>
        </w:rPr>
        <w:t xml:space="preserve"> </w:t>
      </w:r>
      <w:r w:rsidR="00040F85">
        <w:rPr>
          <w:bCs/>
          <w:iCs/>
        </w:rPr>
        <w:t xml:space="preserve">Unfolding of helical peptides is found to have a negative </w:t>
      </w:r>
      <w:r w:rsidR="00040F85" w:rsidRPr="00A4683A">
        <w:rPr>
          <w:bCs/>
          <w:iCs/>
        </w:rPr>
        <w:t>Δ</w:t>
      </w:r>
      <w:r w:rsidR="00040F85" w:rsidRPr="00293A24">
        <w:rPr>
          <w:bCs/>
          <w:i/>
          <w:iCs/>
        </w:rPr>
        <w:t>C</w:t>
      </w:r>
      <w:r w:rsidR="00040F85" w:rsidRPr="00293A24">
        <w:rPr>
          <w:bCs/>
          <w:i/>
          <w:iCs/>
          <w:vertAlign w:val="subscript"/>
        </w:rPr>
        <w:t>p</w:t>
      </w:r>
      <w:r w:rsidR="00040F85">
        <w:rPr>
          <w:bCs/>
          <w:iCs/>
        </w:rPr>
        <w:t xml:space="preserve"> which is in contrast to the positive value for protein unfolding.</w:t>
      </w:r>
      <w:hyperlink w:anchor="_ENREF_276" w:tooltip="Richardson, 2004 #491" w:history="1">
        <w:r w:rsidR="00512D09">
          <w:rPr>
            <w:bCs/>
            <w:iCs/>
          </w:rPr>
          <w:fldChar w:fldCharType="begin"/>
        </w:r>
        <w:r w:rsidR="00512D09">
          <w:rPr>
            <w:bCs/>
            <w:iCs/>
          </w:rPr>
          <w:instrText xml:space="preserve"> ADDIN EN.CITE &lt;EndNote&gt;&lt;Cite&gt;&lt;Author&gt;Richardson&lt;/Author&gt;&lt;Year&gt;2004&lt;/Year&gt;&lt;RecNum&gt;491&lt;/RecNum&gt;&lt;DisplayText&gt;&lt;style face="superscript"&gt;276&lt;/style&gt;&lt;/DisplayText&gt;&lt;record&gt;&lt;rec-number&gt;491&lt;/rec-number&gt;&lt;foreign-keys&gt;&lt;key app="EN" db-id="5trrespwzsdr07efd5tx2w96x22re9s0fsdt"&gt;491&lt;/key&gt;&lt;/foreign-keys&gt;&lt;ref-type name="Journal Article"&gt;17&lt;/ref-type&gt;&lt;contributors&gt;&lt;authors&gt;&lt;author&gt;Richardson, John M.&lt;/author&gt;&lt;author&gt;Makhatadze, George I.&lt;/author&gt;&lt;/authors&gt;&lt;/contributors&gt;&lt;titles&gt;&lt;title&gt;Temperature Dependence of the Thermodynamics of Helix–Coil Transition&lt;/title&gt;&lt;secondary-title&gt;Journal of Molecular Biology&lt;/secondary-title&gt;&lt;/titles&gt;&lt;periodical&gt;&lt;full-title&gt;Journal of Molecular Biology&lt;/full-title&gt;&lt;/periodical&gt;&lt;pages&gt;1029-1037&lt;/pages&gt;&lt;volume&gt;335&lt;/volume&gt;&lt;number&gt;4&lt;/number&gt;&lt;keywords&gt;&lt;keyword&gt;CD&lt;/keyword&gt;&lt;keyword&gt;DSC&lt;/keyword&gt;&lt;keyword&gt;helix–coil transition&lt;/keyword&gt;&lt;keyword&gt;enthalpy&lt;/keyword&gt;&lt;keyword&gt;ΔCp&lt;/keyword&gt;&lt;/keywords&gt;&lt;dates&gt;&lt;year&gt;2004&lt;/year&gt;&lt;/dates&gt;&lt;isbn&gt;0022-2836&lt;/isbn&gt;&lt;urls&gt;&lt;related-urls&gt;&lt;url&gt;http://www.sciencedirect.com/science/article/pii/S0022283603014372&lt;/url&gt;&lt;/related-urls&gt;&lt;/urls&gt;&lt;electronic-resource-num&gt;http://dx.doi.org/10.1016/j.jmb.2003.11.027&lt;/electronic-resource-num&gt;&lt;/record&gt;&lt;/Cite&gt;&lt;/EndNote&gt;</w:instrText>
        </w:r>
        <w:r w:rsidR="00512D09">
          <w:rPr>
            <w:bCs/>
            <w:iCs/>
          </w:rPr>
          <w:fldChar w:fldCharType="separate"/>
        </w:r>
        <w:r w:rsidR="00512D09" w:rsidRPr="006421D1">
          <w:rPr>
            <w:bCs/>
            <w:iCs/>
            <w:noProof/>
            <w:vertAlign w:val="superscript"/>
          </w:rPr>
          <w:t>276</w:t>
        </w:r>
        <w:r w:rsidR="00512D09">
          <w:rPr>
            <w:bCs/>
            <w:iCs/>
          </w:rPr>
          <w:fldChar w:fldCharType="end"/>
        </w:r>
      </w:hyperlink>
      <w:r w:rsidR="00040F85">
        <w:rPr>
          <w:bCs/>
          <w:iCs/>
        </w:rPr>
        <w:t xml:space="preserve"> The authors suggested the negative </w:t>
      </w:r>
      <w:r w:rsidR="00040F85" w:rsidRPr="00A4683A">
        <w:rPr>
          <w:bCs/>
          <w:iCs/>
        </w:rPr>
        <w:t>Δ</w:t>
      </w:r>
      <w:r w:rsidR="00040F85" w:rsidRPr="00293A24">
        <w:rPr>
          <w:bCs/>
          <w:i/>
          <w:iCs/>
        </w:rPr>
        <w:t>C</w:t>
      </w:r>
      <w:r w:rsidR="00040F85" w:rsidRPr="00293A24">
        <w:rPr>
          <w:bCs/>
          <w:i/>
          <w:iCs/>
          <w:vertAlign w:val="subscript"/>
        </w:rPr>
        <w:t>p</w:t>
      </w:r>
      <w:r w:rsidR="00040F85">
        <w:rPr>
          <w:bCs/>
          <w:iCs/>
        </w:rPr>
        <w:t xml:space="preserve"> was due to the exposure of the polar polypeptide backbone to the solvent. Consequently, a</w:t>
      </w:r>
      <w:r w:rsidR="007A76D4">
        <w:rPr>
          <w:bCs/>
          <w:iCs/>
        </w:rPr>
        <w:t xml:space="preserve"> </w:t>
      </w:r>
      <w:r>
        <w:rPr>
          <w:bCs/>
          <w:iCs/>
        </w:rPr>
        <w:t xml:space="preserve">positive </w:t>
      </w:r>
      <w:r w:rsidRPr="00A4683A">
        <w:rPr>
          <w:bCs/>
          <w:iCs/>
        </w:rPr>
        <w:t>Δ</w:t>
      </w:r>
      <w:r w:rsidRPr="00293A24">
        <w:rPr>
          <w:bCs/>
          <w:i/>
          <w:iCs/>
        </w:rPr>
        <w:t>C</w:t>
      </w:r>
      <w:r w:rsidRPr="00293A24">
        <w:rPr>
          <w:bCs/>
          <w:i/>
          <w:iCs/>
          <w:vertAlign w:val="subscript"/>
        </w:rPr>
        <w:t>p</w:t>
      </w:r>
      <w:r>
        <w:rPr>
          <w:bCs/>
          <w:i/>
          <w:iCs/>
          <w:vertAlign w:val="subscript"/>
        </w:rPr>
        <w:t xml:space="preserve"> </w:t>
      </w:r>
      <w:r>
        <w:rPr>
          <w:bCs/>
          <w:iCs/>
        </w:rPr>
        <w:t>indicates desolvation from polar groups and solvation of hydrophobic groups. Given that phytate does not reduce the melting temperature of the protein to below 60</w:t>
      </w:r>
      <w:r>
        <w:rPr>
          <w:bCs/>
          <w:iCs/>
        </w:rPr>
        <w:sym w:font="Mathematica1" w:char="F0B0"/>
      </w:r>
      <w:r>
        <w:rPr>
          <w:bCs/>
          <w:iCs/>
        </w:rPr>
        <w:t>C it is unlikely that hydrophobic groups are being solvated.</w:t>
      </w:r>
      <w:hyperlink w:anchor="_ENREF_241" w:tooltip="Bye, 2013 #544" w:history="1">
        <w:r w:rsidR="00512D09">
          <w:rPr>
            <w:bCs/>
            <w:iCs/>
          </w:rPr>
          <w:fldChar w:fldCharType="begin"/>
        </w:r>
        <w:r w:rsidR="00512D09">
          <w:rPr>
            <w:bCs/>
            <w:iCs/>
          </w:rPr>
          <w:instrText xml:space="preserve"> ADDIN EN.CITE &lt;EndNote&gt;&lt;Cite&gt;&lt;Author&gt;Bye&lt;/Author&gt;&lt;Year&gt;2013&lt;/Year&gt;&lt;RecNum&gt;544&lt;/RecNum&gt;&lt;DisplayText&gt;&lt;style face="superscript"&gt;241&lt;/style&gt;&lt;/DisplayText&gt;&lt;record&gt;&lt;rec-number&gt;544&lt;/rec-number&gt;&lt;foreign-keys&gt;&lt;key app="EN" db-id="5trrespwzsdr07efd5tx2w96x22re9s0fsdt"&gt;544&lt;/key&gt;&lt;/foreign-keys&gt;&lt;ref-type name="Journal Article"&gt;17&lt;/ref-type&gt;&lt;contributors&gt;&lt;authors&gt;&lt;author&gt;Bye, Jordan W.&lt;/author&gt;&lt;author&gt;Cowieson, Nathan P.&lt;/author&gt;&lt;author&gt;Cowieson, Aaron J.&lt;/author&gt;&lt;author&gt;Selle, Peter H.&lt;/author&gt;&lt;author&gt;Falconer, Robert J.&lt;/author&gt;&lt;/authors&gt;&lt;/contributors&gt;&lt;titles&gt;&lt;title&gt;Dual Effects of Sodium Phytate on the Structural Stability and Solubility of Proteins&lt;/title&gt;&lt;secondary-title&gt;Journal of Agricultural and Food Chemistry&lt;/secondary-title&gt;&lt;/titles&gt;&lt;periodical&gt;&lt;full-title&gt;Journal of Agricultural and Food Chemistry&lt;/full-title&gt;&lt;/periodical&gt;&lt;pages&gt;290-295&lt;/pages&gt;&lt;volume&gt;61&lt;/volume&gt;&lt;number&gt;2&lt;/number&gt;&lt;dates&gt;&lt;year&gt;2013&lt;/year&gt;&lt;pub-dates&gt;&lt;date&gt;2013/01/16&lt;/date&gt;&lt;/pub-dates&gt;&lt;/dates&gt;&lt;publisher&gt;American Chemical Society&lt;/publisher&gt;&lt;isbn&gt;0021-8561&lt;/isbn&gt;&lt;urls&gt;&lt;related-urls&gt;&lt;url&gt;http://dx.doi.org/10.1021/jf303926v&lt;/url&gt;&lt;/related-urls&gt;&lt;/urls&gt;&lt;electronic-resource-num&gt;10.1021/jf303926v&lt;/electronic-resource-num&gt;&lt;/record&gt;&lt;/Cite&gt;&lt;/EndNote&gt;</w:instrText>
        </w:r>
        <w:r w:rsidR="00512D09">
          <w:rPr>
            <w:bCs/>
            <w:iCs/>
          </w:rPr>
          <w:fldChar w:fldCharType="separate"/>
        </w:r>
        <w:r w:rsidR="00512D09" w:rsidRPr="006421D1">
          <w:rPr>
            <w:bCs/>
            <w:iCs/>
            <w:noProof/>
            <w:vertAlign w:val="superscript"/>
          </w:rPr>
          <w:t>241</w:t>
        </w:r>
        <w:r w:rsidR="00512D09">
          <w:rPr>
            <w:bCs/>
            <w:iCs/>
          </w:rPr>
          <w:fldChar w:fldCharType="end"/>
        </w:r>
      </w:hyperlink>
      <w:r>
        <w:rPr>
          <w:bCs/>
          <w:iCs/>
        </w:rPr>
        <w:t xml:space="preserve"> More </w:t>
      </w:r>
      <w:r w:rsidR="00C07BA6">
        <w:rPr>
          <w:bCs/>
          <w:iCs/>
        </w:rPr>
        <w:t>likely,</w:t>
      </w:r>
      <w:r>
        <w:rPr>
          <w:bCs/>
          <w:iCs/>
        </w:rPr>
        <w:t xml:space="preserve"> this is due to water being removed from polar amino acids and the phosphate groups on phytate upon binding. </w:t>
      </w:r>
      <w:r w:rsidRPr="00293A24">
        <w:rPr>
          <w:bCs/>
          <w:iCs/>
        </w:rPr>
        <w:t>Gallagher and Sharp</w:t>
      </w:r>
      <w:r>
        <w:rPr>
          <w:bCs/>
          <w:iCs/>
        </w:rPr>
        <w:t xml:space="preserve"> suggested that ion-ion interactions would have a positive </w:t>
      </w:r>
      <w:r w:rsidRPr="00A4683A">
        <w:rPr>
          <w:bCs/>
          <w:iCs/>
        </w:rPr>
        <w:t>Δ</w:t>
      </w:r>
      <w:r w:rsidRPr="00293A24">
        <w:rPr>
          <w:bCs/>
          <w:i/>
          <w:iCs/>
        </w:rPr>
        <w:t>C</w:t>
      </w:r>
      <w:r w:rsidRPr="00293A24">
        <w:rPr>
          <w:bCs/>
          <w:i/>
          <w:iCs/>
          <w:vertAlign w:val="subscript"/>
        </w:rPr>
        <w:t>p</w:t>
      </w:r>
      <w:r>
        <w:rPr>
          <w:bCs/>
          <w:iCs/>
        </w:rPr>
        <w:t>.</w:t>
      </w:r>
      <w:hyperlink w:anchor="_ENREF_277" w:tooltip="Gallagher, 1998 #528" w:history="1">
        <w:r w:rsidR="00512D09" w:rsidRPr="000B2401">
          <w:rPr>
            <w:bCs/>
            <w:iCs/>
            <w:vertAlign w:val="subscript"/>
          </w:rPr>
          <w:fldChar w:fldCharType="begin"/>
        </w:r>
        <w:r w:rsidR="00512D09">
          <w:rPr>
            <w:bCs/>
            <w:iCs/>
            <w:vertAlign w:val="subscript"/>
          </w:rPr>
          <w:instrText xml:space="preserve"> ADDIN EN.CITE &lt;EndNote&gt;&lt;Cite&gt;&lt;Author&gt;Gallagher&lt;/Author&gt;&lt;Year&gt;1998&lt;/Year&gt;&lt;RecNum&gt;528&lt;/RecNum&gt;&lt;DisplayText&gt;&lt;style face="superscript"&gt;277&lt;/style&gt;&lt;/DisplayText&gt;&lt;record&gt;&lt;rec-number&gt;528&lt;/rec-number&gt;&lt;foreign-keys&gt;&lt;key app="EN" db-id="5trrespwzsdr07efd5tx2w96x22re9s0fsdt"&gt;528&lt;/key&gt;&lt;/foreign-keys&gt;&lt;ref-type name="Journal Article"&gt;17&lt;/ref-type&gt;&lt;contributors&gt;&lt;authors&gt;&lt;author&gt;Gallagher, Kelly&lt;/author&gt;&lt;author&gt;Sharp, Kim&lt;/author&gt;&lt;/authors&gt;&lt;/contributors&gt;&lt;titles&gt;&lt;title&gt;Electrostatic Contributions to Heat Capacity Changes of DNA-Ligand Binding&lt;/title&gt;&lt;secondary-title&gt;Biophysical Journal&lt;/secondary-title&gt;&lt;/titles&gt;&lt;periodical&gt;&lt;full-title&gt;Biophysical Journal&lt;/full-title&gt;&lt;/periodical&gt;&lt;pages&gt;769-776&lt;/pages&gt;&lt;volume&gt;75&lt;/volume&gt;&lt;number&gt;2&lt;/number&gt;&lt;dates&gt;&lt;year&gt;1998&lt;/year&gt;&lt;/dates&gt;&lt;isbn&gt;0006-3495&lt;/isbn&gt;&lt;urls&gt;&lt;related-urls&gt;&lt;url&gt;http://www.sciencedirect.com/science/article/pii/S0006349598775666&lt;/url&gt;&lt;/related-urls&gt;&lt;/urls&gt;&lt;electronic-resource-num&gt;http://dx.doi.org/10.1016/S0006-3495(98)77566-6&lt;/electronic-resource-num&gt;&lt;/record&gt;&lt;/Cite&gt;&lt;/EndNote&gt;</w:instrText>
        </w:r>
        <w:r w:rsidR="00512D09" w:rsidRPr="000B2401">
          <w:rPr>
            <w:bCs/>
            <w:iCs/>
            <w:vertAlign w:val="subscript"/>
          </w:rPr>
          <w:fldChar w:fldCharType="separate"/>
        </w:r>
        <w:r w:rsidR="00512D09" w:rsidRPr="006421D1">
          <w:rPr>
            <w:bCs/>
            <w:iCs/>
            <w:noProof/>
            <w:vertAlign w:val="superscript"/>
          </w:rPr>
          <w:t>277</w:t>
        </w:r>
        <w:r w:rsidR="00512D09" w:rsidRPr="000B2401">
          <w:rPr>
            <w:bCs/>
            <w:iCs/>
            <w:vertAlign w:val="subscript"/>
          </w:rPr>
          <w:fldChar w:fldCharType="end"/>
        </w:r>
      </w:hyperlink>
      <w:r>
        <w:rPr>
          <w:bCs/>
          <w:iCs/>
        </w:rPr>
        <w:t xml:space="preserve"> However</w:t>
      </w:r>
      <w:r w:rsidR="00A9326E">
        <w:rPr>
          <w:bCs/>
          <w:iCs/>
        </w:rPr>
        <w:t>,</w:t>
      </w:r>
      <w:r>
        <w:rPr>
          <w:bCs/>
          <w:iCs/>
        </w:rPr>
        <w:t xml:space="preserve"> this is opposed by ions once interacting with the protein becoming more mobile </w:t>
      </w:r>
      <w:r>
        <w:rPr>
          <w:bCs/>
          <w:iCs/>
        </w:rPr>
        <w:lastRenderedPageBreak/>
        <w:t xml:space="preserve">meaning the </w:t>
      </w:r>
      <w:r w:rsidRPr="00A4683A">
        <w:rPr>
          <w:bCs/>
          <w:iCs/>
        </w:rPr>
        <w:t>Δ</w:t>
      </w:r>
      <w:r w:rsidRPr="001C3368">
        <w:rPr>
          <w:bCs/>
          <w:i/>
          <w:iCs/>
        </w:rPr>
        <w:t>C</w:t>
      </w:r>
      <w:r w:rsidRPr="001C3368">
        <w:rPr>
          <w:bCs/>
          <w:i/>
          <w:iCs/>
          <w:vertAlign w:val="subscript"/>
        </w:rPr>
        <w:t>p</w:t>
      </w:r>
      <w:r>
        <w:rPr>
          <w:bCs/>
          <w:i/>
          <w:iCs/>
          <w:vertAlign w:val="subscript"/>
        </w:rPr>
        <w:t xml:space="preserve"> </w:t>
      </w:r>
      <w:r>
        <w:rPr>
          <w:bCs/>
          <w:iCs/>
        </w:rPr>
        <w:t>for many electrostatic interactions is negative.</w:t>
      </w:r>
      <w:hyperlink w:anchor="_ENREF_277" w:tooltip="Gallagher, 1998 #528" w:history="1">
        <w:r w:rsidR="00512D09">
          <w:rPr>
            <w:bCs/>
            <w:iCs/>
          </w:rPr>
          <w:fldChar w:fldCharType="begin"/>
        </w:r>
        <w:r w:rsidR="00512D09">
          <w:rPr>
            <w:bCs/>
            <w:iCs/>
          </w:rPr>
          <w:instrText xml:space="preserve"> ADDIN EN.CITE &lt;EndNote&gt;&lt;Cite&gt;&lt;Author&gt;Gallagher&lt;/Author&gt;&lt;Year&gt;1998&lt;/Year&gt;&lt;RecNum&gt;528&lt;/RecNum&gt;&lt;DisplayText&gt;&lt;style face="superscript"&gt;277&lt;/style&gt;&lt;/DisplayText&gt;&lt;record&gt;&lt;rec-number&gt;528&lt;/rec-number&gt;&lt;foreign-keys&gt;&lt;key app="EN" db-id="5trrespwzsdr07efd5tx2w96x22re9s0fsdt"&gt;528&lt;/key&gt;&lt;/foreign-keys&gt;&lt;ref-type name="Journal Article"&gt;17&lt;/ref-type&gt;&lt;contributors&gt;&lt;authors&gt;&lt;author&gt;Gallagher, Kelly&lt;/author&gt;&lt;author&gt;Sharp, Kim&lt;/author&gt;&lt;/authors&gt;&lt;/contributors&gt;&lt;titles&gt;&lt;title&gt;Electrostatic Contributions to Heat Capacity Changes of DNA-Ligand Binding&lt;/title&gt;&lt;secondary-title&gt;Biophysical Journal&lt;/secondary-title&gt;&lt;/titles&gt;&lt;periodical&gt;&lt;full-title&gt;Biophysical Journal&lt;/full-title&gt;&lt;/periodical&gt;&lt;pages&gt;769-776&lt;/pages&gt;&lt;volume&gt;75&lt;/volume&gt;&lt;number&gt;2&lt;/number&gt;&lt;dates&gt;&lt;year&gt;1998&lt;/year&gt;&lt;/dates&gt;&lt;isbn&gt;0006-3495&lt;/isbn&gt;&lt;urls&gt;&lt;related-urls&gt;&lt;url&gt;http://www.sciencedirect.com/science/article/pii/S0006349598775666&lt;/url&gt;&lt;/related-urls&gt;&lt;/urls&gt;&lt;electronic-resource-num&gt;http://dx.doi.org/10.1016/S0006-3495(98)77566-6&lt;/electronic-resource-num&gt;&lt;/record&gt;&lt;/Cite&gt;&lt;/EndNote&gt;</w:instrText>
        </w:r>
        <w:r w:rsidR="00512D09">
          <w:rPr>
            <w:bCs/>
            <w:iCs/>
          </w:rPr>
          <w:fldChar w:fldCharType="separate"/>
        </w:r>
        <w:r w:rsidR="00512D09" w:rsidRPr="006421D1">
          <w:rPr>
            <w:bCs/>
            <w:iCs/>
            <w:noProof/>
            <w:vertAlign w:val="superscript"/>
          </w:rPr>
          <w:t>277</w:t>
        </w:r>
        <w:r w:rsidR="00512D09">
          <w:rPr>
            <w:bCs/>
            <w:iCs/>
          </w:rPr>
          <w:fldChar w:fldCharType="end"/>
        </w:r>
      </w:hyperlink>
      <w:r>
        <w:rPr>
          <w:bCs/>
          <w:iCs/>
        </w:rPr>
        <w:t xml:space="preserve"> It seems in this specific example, with the increasing temperature, the increasingly endothermic removal of water from polar groups overrides the exothermic heat change from the increased mobility of ions. </w:t>
      </w:r>
      <w:r w:rsidR="007A76D4">
        <w:rPr>
          <w:rStyle w:val="apple-converted-space"/>
          <w:rFonts w:ascii="Arial" w:hAnsi="Arial" w:cs="Arial"/>
          <w:color w:val="000000"/>
          <w:sz w:val="20"/>
          <w:szCs w:val="20"/>
          <w:shd w:val="clear" w:color="auto" w:fill="FFFFFF"/>
        </w:rPr>
        <w:t> </w:t>
      </w:r>
    </w:p>
    <w:p w:rsidR="008E6BF7" w:rsidRPr="002D634F" w:rsidRDefault="008E6BF7" w:rsidP="008E6BF7">
      <w:pPr>
        <w:spacing w:line="480" w:lineRule="auto"/>
        <w:jc w:val="both"/>
        <w:rPr>
          <w:shd w:val="clear" w:color="auto" w:fill="FFFFFF"/>
          <w:lang w:val="en-US"/>
        </w:rPr>
      </w:pPr>
      <w:r w:rsidRPr="002D634F">
        <w:rPr>
          <w:shd w:val="clear" w:color="auto" w:fill="FFFFFF"/>
          <w:lang w:val="en-US"/>
        </w:rPr>
        <w:t xml:space="preserve">Although entropy is often readily </w:t>
      </w:r>
      <w:r w:rsidR="00A9326E" w:rsidRPr="002D634F">
        <w:rPr>
          <w:shd w:val="clear" w:color="auto" w:fill="FFFFFF"/>
          <w:lang w:val="en-US"/>
        </w:rPr>
        <w:t>interpreted,</w:t>
      </w:r>
      <w:r w:rsidRPr="002D634F">
        <w:rPr>
          <w:shd w:val="clear" w:color="auto" w:fill="FFFFFF"/>
          <w:lang w:val="en-US"/>
        </w:rPr>
        <w:t xml:space="preserve"> thermograms are typically ignored even though they provide a rich source of information regarding the binding process. </w:t>
      </w:r>
      <w:r>
        <w:rPr>
          <w:shd w:val="clear" w:color="auto" w:fill="FFFFFF"/>
          <w:lang w:val="en-US"/>
        </w:rPr>
        <w:t>Therefore</w:t>
      </w:r>
      <w:r w:rsidR="00A9326E">
        <w:rPr>
          <w:shd w:val="clear" w:color="auto" w:fill="FFFFFF"/>
          <w:lang w:val="en-US"/>
        </w:rPr>
        <w:t>,</w:t>
      </w:r>
      <w:r>
        <w:rPr>
          <w:shd w:val="clear" w:color="auto" w:fill="FFFFFF"/>
          <w:lang w:val="en-US"/>
        </w:rPr>
        <w:t xml:space="preserve"> </w:t>
      </w:r>
      <w:r w:rsidRPr="002D634F">
        <w:rPr>
          <w:shd w:val="clear" w:color="auto" w:fill="FFFFFF"/>
          <w:lang w:val="en-US"/>
        </w:rPr>
        <w:t xml:space="preserve">an interpretation of the </w:t>
      </w:r>
      <w:r w:rsidRPr="002D634F">
        <w:rPr>
          <w:rStyle w:val="il"/>
          <w:shd w:val="clear" w:color="auto" w:fill="FFFFFF"/>
          <w:lang w:val="en-US"/>
        </w:rPr>
        <w:t>salient</w:t>
      </w:r>
      <w:r w:rsidRPr="002D634F">
        <w:rPr>
          <w:rStyle w:val="apple-converted-space"/>
          <w:shd w:val="clear" w:color="auto" w:fill="FFFFFF"/>
          <w:lang w:val="en-US"/>
        </w:rPr>
        <w:t> </w:t>
      </w:r>
      <w:r w:rsidRPr="002D634F">
        <w:rPr>
          <w:shd w:val="clear" w:color="auto" w:fill="FFFFFF"/>
          <w:lang w:val="en-US"/>
        </w:rPr>
        <w:t xml:space="preserve">features of the thermograms has been offered. </w:t>
      </w:r>
    </w:p>
    <w:p w:rsidR="008E6BF7" w:rsidRDefault="008E6BF7" w:rsidP="008E6BF7">
      <w:pPr>
        <w:spacing w:line="480" w:lineRule="auto"/>
        <w:jc w:val="both"/>
        <w:rPr>
          <w:rFonts w:cs="Times New Roman"/>
          <w:lang w:val="en-US"/>
        </w:rPr>
      </w:pPr>
      <w:r w:rsidRPr="002D634F">
        <w:rPr>
          <w:shd w:val="clear" w:color="auto" w:fill="FFFFFF"/>
          <w:lang w:val="en-US"/>
        </w:rPr>
        <w:t>The first injection has been ignored and the preceding changes in the baseline as both are affected by diffusion which complicates analysis. The second injection is exothermic which is attributable to</w:t>
      </w:r>
      <w:r w:rsidRPr="0022777B">
        <w:rPr>
          <w:color w:val="222222"/>
          <w:shd w:val="clear" w:color="auto" w:fill="FFFFFF"/>
          <w:lang w:val="en-US"/>
        </w:rPr>
        <w:t xml:space="preserve"> </w:t>
      </w:r>
      <w:r w:rsidRPr="002D634F">
        <w:rPr>
          <w:shd w:val="clear" w:color="auto" w:fill="FFFFFF"/>
          <w:lang w:val="en-US"/>
        </w:rPr>
        <w:t xml:space="preserve">phytate binding to lysozyme; this is then followed by an endothermic concavity with a steady return to baseline. </w:t>
      </w:r>
      <w:r w:rsidRPr="002D634F">
        <w:rPr>
          <w:rFonts w:cs="Times New Roman"/>
          <w:lang w:val="en-US"/>
        </w:rPr>
        <w:t>The endothermic concavity disappears by the 3</w:t>
      </w:r>
      <w:r w:rsidRPr="002D634F">
        <w:rPr>
          <w:rFonts w:cs="Times New Roman"/>
          <w:vertAlign w:val="superscript"/>
          <w:lang w:val="en-US"/>
        </w:rPr>
        <w:t>rd</w:t>
      </w:r>
      <w:r w:rsidRPr="002D634F">
        <w:rPr>
          <w:rFonts w:cs="Times New Roman"/>
          <w:lang w:val="en-US"/>
        </w:rPr>
        <w:t xml:space="preserve"> injection at 10 °C, the 4</w:t>
      </w:r>
      <w:r w:rsidRPr="002D634F">
        <w:rPr>
          <w:rFonts w:cs="Times New Roman"/>
          <w:vertAlign w:val="superscript"/>
          <w:lang w:val="en-US"/>
        </w:rPr>
        <w:t>th</w:t>
      </w:r>
      <w:r w:rsidRPr="002D634F">
        <w:rPr>
          <w:rFonts w:cs="Times New Roman"/>
          <w:lang w:val="en-US"/>
        </w:rPr>
        <w:t xml:space="preserve"> injection at 25 °</w:t>
      </w:r>
      <w:r>
        <w:rPr>
          <w:rFonts w:cs="Times New Roman"/>
          <w:lang w:val="en-US"/>
        </w:rPr>
        <w:t>C and the 5</w:t>
      </w:r>
      <w:r w:rsidRPr="002D634F">
        <w:rPr>
          <w:rFonts w:cs="Times New Roman"/>
          <w:vertAlign w:val="superscript"/>
          <w:lang w:val="en-US"/>
        </w:rPr>
        <w:t>th</w:t>
      </w:r>
      <w:r w:rsidRPr="002D634F">
        <w:rPr>
          <w:rFonts w:cs="Times New Roman"/>
          <w:lang w:val="en-US"/>
        </w:rPr>
        <w:t xml:space="preserve"> injection at 40 °C. This was most pronounced at 40 °C </w:t>
      </w:r>
      <w:r>
        <w:rPr>
          <w:rFonts w:cs="Times New Roman"/>
          <w:lang w:val="en-US"/>
        </w:rPr>
        <w:t>(</w:t>
      </w:r>
      <w:r w:rsidR="0075172E">
        <w:rPr>
          <w:rFonts w:cs="Times New Roman"/>
          <w:lang w:val="en-US"/>
        </w:rPr>
        <w:fldChar w:fldCharType="begin"/>
      </w:r>
      <w:r w:rsidR="002C4025">
        <w:rPr>
          <w:rFonts w:cs="Times New Roman"/>
          <w:lang w:val="en-US"/>
        </w:rPr>
        <w:instrText xml:space="preserve"> REF _Ref442882894 \h </w:instrText>
      </w:r>
      <w:r w:rsidR="0075172E">
        <w:rPr>
          <w:rFonts w:cs="Times New Roman"/>
          <w:lang w:val="en-US"/>
        </w:rPr>
      </w:r>
      <w:r w:rsidR="0075172E">
        <w:rPr>
          <w:rFonts w:cs="Times New Roman"/>
          <w:lang w:val="en-US"/>
        </w:rPr>
        <w:fldChar w:fldCharType="separate"/>
      </w:r>
      <w:r w:rsidR="00CB4EDC">
        <w:t xml:space="preserve">Figure </w:t>
      </w:r>
      <w:r w:rsidR="00CB4EDC">
        <w:rPr>
          <w:noProof/>
        </w:rPr>
        <w:t>4</w:t>
      </w:r>
      <w:r w:rsidR="00CB4EDC">
        <w:t>.</w:t>
      </w:r>
      <w:r w:rsidR="00CB4EDC">
        <w:rPr>
          <w:noProof/>
        </w:rPr>
        <w:t>11</w:t>
      </w:r>
      <w:r w:rsidR="0075172E">
        <w:rPr>
          <w:rFonts w:cs="Times New Roman"/>
          <w:lang w:val="en-US"/>
        </w:rPr>
        <w:fldChar w:fldCharType="end"/>
      </w:r>
      <w:r w:rsidRPr="002D634F">
        <w:rPr>
          <w:rFonts w:cs="Times New Roman"/>
          <w:lang w:val="en-US"/>
        </w:rPr>
        <w:t xml:space="preserve">). </w:t>
      </w:r>
      <w:r>
        <w:rPr>
          <w:rFonts w:cs="Times New Roman"/>
          <w:lang w:val="en-US"/>
        </w:rPr>
        <w:t xml:space="preserve">In accordance with the NTA data, the most likely cause of the slow endothermic change in the baseline is due to phytate-lysozyme crosslinking. </w:t>
      </w:r>
      <w:r w:rsidRPr="002D634F">
        <w:rPr>
          <w:rFonts w:cs="Times New Roman"/>
          <w:lang w:val="en-US"/>
        </w:rPr>
        <w:t xml:space="preserve">The presence of overlapping exothermic and endothermic reactions would explain why the first stage of the binding isotherm has lower calculated exothermic values for the initial injections. </w:t>
      </w:r>
    </w:p>
    <w:p w:rsidR="008E6BF7" w:rsidRDefault="00040F10" w:rsidP="00D62013">
      <w:pPr>
        <w:keepNext/>
        <w:jc w:val="center"/>
      </w:pPr>
      <w:r>
        <w:rPr>
          <w:noProof/>
          <w:lang w:eastAsia="en-GB"/>
        </w:rPr>
        <w:lastRenderedPageBreak/>
        <w:pict>
          <v:shape id="_x0000_s1120" type="#_x0000_t202" style="position:absolute;left:0;text-align:left;margin-left:179.05pt;margin-top:-1.5pt;width:87.05pt;height:17.6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C92A53" w:rsidRDefault="003A5686" w:rsidP="00C92A53">
                  <w:pPr>
                    <w:jc w:val="center"/>
                    <w:rPr>
                      <w:rFonts w:ascii="Arial" w:hAnsi="Arial" w:cs="Arial"/>
                      <w:b/>
                      <w:color w:val="262626" w:themeColor="text1" w:themeTint="D9"/>
                      <w:sz w:val="16"/>
                      <w:szCs w:val="16"/>
                    </w:rPr>
                  </w:pPr>
                  <w:r>
                    <w:rPr>
                      <w:rFonts w:ascii="Arial" w:hAnsi="Arial" w:cs="Arial"/>
                      <w:b/>
                      <w:color w:val="262626" w:themeColor="text1" w:themeTint="D9"/>
                      <w:sz w:val="16"/>
                      <w:szCs w:val="16"/>
                    </w:rPr>
                    <w:t>Injection Number</w:t>
                  </w:r>
                </w:p>
              </w:txbxContent>
            </v:textbox>
          </v:shape>
        </w:pict>
      </w:r>
      <w:r>
        <w:rPr>
          <w:noProof/>
          <w:lang w:eastAsia="en-GB"/>
        </w:rPr>
        <w:pict>
          <v:shape id="_x0000_s1170" type="#_x0000_t202" style="position:absolute;left:0;text-align:left;margin-left:5.95pt;margin-top:8.25pt;width:26.15pt;height:249.6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A27062">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w:t>
                  </w:r>
                  <w:r>
                    <w:rPr>
                      <w:rFonts w:ascii="Arial" w:hAnsi="Arial" w:cs="Arial"/>
                      <w:b/>
                      <w:color w:val="262626" w:themeColor="text1" w:themeTint="D9"/>
                      <w:sz w:val="18"/>
                      <w:szCs w:val="18"/>
                    </w:rPr>
                    <w:t xml:space="preserve">Normalised Fit (kJ/mol)     Corrected Heat Rate </w:t>
                  </w:r>
                  <w:r w:rsidRPr="00311B45">
                    <w:rPr>
                      <w:rFonts w:ascii="Arial" w:hAnsi="Arial" w:cs="Arial"/>
                      <w:b/>
                      <w:color w:val="262626" w:themeColor="text1" w:themeTint="D9"/>
                      <w:sz w:val="18"/>
                      <w:szCs w:val="18"/>
                    </w:rPr>
                    <w:t>(µJ/s)</w:t>
                  </w:r>
                </w:p>
              </w:txbxContent>
            </v:textbox>
          </v:shape>
        </w:pict>
      </w:r>
      <w:r>
        <w:rPr>
          <w:noProof/>
          <w:lang w:eastAsia="en-GB"/>
        </w:rPr>
        <w:pict>
          <v:shape id="_x0000_s1119" type="#_x0000_t202" style="position:absolute;left:0;text-align:left;margin-left:179.05pt;margin-top:257.9pt;width:87.05pt;height:17.6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C92A53" w:rsidRDefault="003A5686" w:rsidP="00C92A53">
                  <w:pPr>
                    <w:jc w:val="center"/>
                    <w:rPr>
                      <w:rFonts w:ascii="Arial" w:hAnsi="Arial" w:cs="Arial"/>
                      <w:b/>
                      <w:color w:val="262626" w:themeColor="text1" w:themeTint="D9"/>
                      <w:sz w:val="16"/>
                      <w:szCs w:val="16"/>
                    </w:rPr>
                  </w:pPr>
                  <w:r w:rsidRPr="00C92A53">
                    <w:rPr>
                      <w:rFonts w:ascii="Arial" w:hAnsi="Arial" w:cs="Arial"/>
                      <w:b/>
                      <w:color w:val="262626" w:themeColor="text1" w:themeTint="D9"/>
                      <w:sz w:val="16"/>
                      <w:szCs w:val="16"/>
                    </w:rPr>
                    <w:t>Mole Ratio</w:t>
                  </w:r>
                </w:p>
              </w:txbxContent>
            </v:textbox>
          </v:shape>
        </w:pict>
      </w:r>
      <w:r w:rsidR="00D62013">
        <w:rPr>
          <w:noProof/>
          <w:lang w:eastAsia="en-GB"/>
        </w:rPr>
        <w:drawing>
          <wp:inline distT="0" distB="0" distL="0" distR="0" wp14:anchorId="19FB8099" wp14:editId="60813330">
            <wp:extent cx="5205730" cy="3448387"/>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5" cstate="print"/>
                    <a:srcRect/>
                    <a:stretch>
                      <a:fillRect/>
                    </a:stretch>
                  </pic:blipFill>
                  <pic:spPr bwMode="auto">
                    <a:xfrm>
                      <a:off x="0" y="0"/>
                      <a:ext cx="5205730" cy="3448387"/>
                    </a:xfrm>
                    <a:prstGeom prst="rect">
                      <a:avLst/>
                    </a:prstGeom>
                    <a:noFill/>
                    <a:ln w="9525">
                      <a:noFill/>
                      <a:miter lim="800000"/>
                      <a:headEnd/>
                      <a:tailEnd/>
                    </a:ln>
                  </pic:spPr>
                </pic:pic>
              </a:graphicData>
            </a:graphic>
          </wp:inline>
        </w:drawing>
      </w:r>
    </w:p>
    <w:p w:rsidR="008E6BF7" w:rsidRPr="00EA0186" w:rsidRDefault="008E6BF7" w:rsidP="00EA0186">
      <w:pPr>
        <w:pStyle w:val="Caption"/>
        <w:spacing w:line="480" w:lineRule="auto"/>
        <w:jc w:val="center"/>
      </w:pPr>
      <w:bookmarkStart w:id="171" w:name="_Ref442882894"/>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11</w:t>
      </w:r>
      <w:r w:rsidR="0075172E">
        <w:fldChar w:fldCharType="end"/>
      </w:r>
      <w:bookmarkEnd w:id="171"/>
      <w:r>
        <w:t xml:space="preserve">: Upper: Thermogram for the interaction of 6 mM phytate and 0.4 mM lysozyme in 10 mM ammonium acetate at 10 (blue), 25 (green) and 40°C (red). Lower: the binding isotherm for the respective thermogram. </w:t>
      </w:r>
    </w:p>
    <w:p w:rsidR="008E6BF7" w:rsidRPr="00657D6A" w:rsidRDefault="008E6BF7" w:rsidP="008E6BF7">
      <w:pPr>
        <w:spacing w:line="480" w:lineRule="auto"/>
        <w:jc w:val="both"/>
        <w:rPr>
          <w:bCs/>
          <w:iCs/>
        </w:rPr>
      </w:pPr>
      <w:r w:rsidRPr="00CC3AB0">
        <w:rPr>
          <w:rFonts w:cs="Times New Roman"/>
          <w:lang w:val="en-US"/>
        </w:rPr>
        <w:t>At 10</w:t>
      </w:r>
      <w:r w:rsidR="006F2757">
        <w:rPr>
          <w:rFonts w:cs="Times New Roman"/>
          <w:lang w:val="en-US"/>
        </w:rPr>
        <w:t xml:space="preserve"> </w:t>
      </w:r>
      <w:r w:rsidRPr="00CC3AB0">
        <w:rPr>
          <w:rFonts w:cs="Times New Roman"/>
          <w:lang w:val="en-US"/>
        </w:rPr>
        <w:t>°C, there is a slow exothermic return to baseline after a molar ratio of 1.4</w:t>
      </w:r>
      <w:r>
        <w:rPr>
          <w:rFonts w:cs="Times New Roman"/>
          <w:lang w:val="en-US"/>
        </w:rPr>
        <w:t xml:space="preserve"> (</w:t>
      </w:r>
      <w:r w:rsidR="0075172E">
        <w:rPr>
          <w:rFonts w:cs="Times New Roman"/>
          <w:lang w:val="en-US"/>
        </w:rPr>
        <w:fldChar w:fldCharType="begin"/>
      </w:r>
      <w:r w:rsidR="002C4025">
        <w:rPr>
          <w:rFonts w:cs="Times New Roman"/>
          <w:lang w:val="en-US"/>
        </w:rPr>
        <w:instrText xml:space="preserve"> REF _Ref442882943 \h </w:instrText>
      </w:r>
      <w:r w:rsidR="0075172E">
        <w:rPr>
          <w:rFonts w:cs="Times New Roman"/>
          <w:lang w:val="en-US"/>
        </w:rPr>
      </w:r>
      <w:r w:rsidR="0075172E">
        <w:rPr>
          <w:rFonts w:cs="Times New Roman"/>
          <w:lang w:val="en-US"/>
        </w:rPr>
        <w:fldChar w:fldCharType="separate"/>
      </w:r>
      <w:r w:rsidR="00CB4EDC">
        <w:t xml:space="preserve">Figure </w:t>
      </w:r>
      <w:r w:rsidR="00CB4EDC">
        <w:rPr>
          <w:noProof/>
        </w:rPr>
        <w:t>4</w:t>
      </w:r>
      <w:r w:rsidR="00CB4EDC">
        <w:t>.</w:t>
      </w:r>
      <w:r w:rsidR="00CB4EDC">
        <w:rPr>
          <w:noProof/>
        </w:rPr>
        <w:t>12</w:t>
      </w:r>
      <w:r w:rsidR="0075172E">
        <w:rPr>
          <w:rFonts w:cs="Times New Roman"/>
          <w:lang w:val="en-US"/>
        </w:rPr>
        <w:fldChar w:fldCharType="end"/>
      </w:r>
      <w:r>
        <w:rPr>
          <w:rFonts w:cs="Times New Roman"/>
          <w:lang w:val="en-US"/>
        </w:rPr>
        <w:t>)</w:t>
      </w:r>
      <w:r w:rsidRPr="00CC3AB0">
        <w:rPr>
          <w:rFonts w:cs="Times New Roman"/>
          <w:lang w:val="en-US"/>
        </w:rPr>
        <w:t xml:space="preserve">. </w:t>
      </w:r>
      <w:r w:rsidRPr="00CC3AB0">
        <w:rPr>
          <w:rStyle w:val="apple-converted-space"/>
          <w:color w:val="222222"/>
          <w:shd w:val="clear" w:color="auto" w:fill="FFFFFF"/>
        </w:rPr>
        <w:t> </w:t>
      </w:r>
      <w:r>
        <w:rPr>
          <w:color w:val="222222"/>
          <w:shd w:val="clear" w:color="auto" w:fill="FFFFFF"/>
        </w:rPr>
        <w:t xml:space="preserve">At the higher temperatures, this phenomenon is seen at 1.7 molar ratios. </w:t>
      </w:r>
      <w:r w:rsidRPr="00CC3AB0">
        <w:rPr>
          <w:color w:val="222222"/>
          <w:shd w:val="clear" w:color="auto" w:fill="FFFFFF"/>
        </w:rPr>
        <w:t xml:space="preserve">Normally this slow exothermic return to baseline is indicative of a slow dissociation process. </w:t>
      </w:r>
      <w:r>
        <w:rPr>
          <w:color w:val="222222"/>
          <w:shd w:val="clear" w:color="auto" w:fill="FFFFFF"/>
        </w:rPr>
        <w:t xml:space="preserve"> Most </w:t>
      </w:r>
      <w:r w:rsidR="009D420F">
        <w:rPr>
          <w:color w:val="222222"/>
          <w:shd w:val="clear" w:color="auto" w:fill="FFFFFF"/>
        </w:rPr>
        <w:t>likely,</w:t>
      </w:r>
      <w:r>
        <w:rPr>
          <w:color w:val="222222"/>
          <w:shd w:val="clear" w:color="auto" w:fill="FFFFFF"/>
        </w:rPr>
        <w:t xml:space="preserve"> it is due to an extensive rearrangement of the phytate-lysozyme aggregate that becomes slower with decreasing temperature and it </w:t>
      </w:r>
      <w:r w:rsidRPr="003B0A89">
        <w:rPr>
          <w:bCs/>
          <w:iCs/>
        </w:rPr>
        <w:t xml:space="preserve">may be the reason why </w:t>
      </w:r>
      <w:r>
        <w:rPr>
          <w:bCs/>
          <w:iCs/>
        </w:rPr>
        <w:t>the stoichiometry of binding at 10</w:t>
      </w:r>
      <w:r w:rsidR="006F2757">
        <w:rPr>
          <w:bCs/>
          <w:iCs/>
        </w:rPr>
        <w:t xml:space="preserve"> </w:t>
      </w:r>
      <w:r>
        <w:rPr>
          <w:bCs/>
          <w:iCs/>
        </w:rPr>
        <w:sym w:font="Mathematica1" w:char="F0B0"/>
      </w:r>
      <w:r>
        <w:rPr>
          <w:bCs/>
          <w:iCs/>
        </w:rPr>
        <w:t>C</w:t>
      </w:r>
      <w:r w:rsidRPr="003B0A89">
        <w:rPr>
          <w:bCs/>
          <w:iCs/>
        </w:rPr>
        <w:t xml:space="preserve"> </w:t>
      </w:r>
      <w:r>
        <w:rPr>
          <w:bCs/>
          <w:iCs/>
        </w:rPr>
        <w:t>does not correlate to a whole value</w:t>
      </w:r>
      <w:r w:rsidRPr="003B0A89">
        <w:rPr>
          <w:bCs/>
          <w:iCs/>
        </w:rPr>
        <w:t>.</w:t>
      </w:r>
      <w:r>
        <w:rPr>
          <w:bCs/>
          <w:iCs/>
        </w:rPr>
        <w:t xml:space="preserve"> Subsequently, i</w:t>
      </w:r>
      <w:r w:rsidRPr="003B0A89">
        <w:rPr>
          <w:bCs/>
          <w:iCs/>
        </w:rPr>
        <w:t>ncreasing the temperature seems to disrupt formation of these crosslinks</w:t>
      </w:r>
      <w:r>
        <w:rPr>
          <w:bCs/>
          <w:iCs/>
        </w:rPr>
        <w:t xml:space="preserve"> as the stoichiometry increases</w:t>
      </w:r>
      <w:r w:rsidRPr="003B0A89">
        <w:rPr>
          <w:bCs/>
          <w:iCs/>
        </w:rPr>
        <w:t>.</w:t>
      </w:r>
      <w:r>
        <w:rPr>
          <w:bCs/>
          <w:iCs/>
        </w:rPr>
        <w:t xml:space="preserve"> This is probably due the increased thermal motion within the larger phytate-lysozyme crosslinks breaking them apart.  This could mean that phytate is less able to crosslink proteins to form larger networks within the stomach. </w:t>
      </w:r>
    </w:p>
    <w:p w:rsidR="008E6BF7" w:rsidRDefault="00040F10" w:rsidP="008E6BF7">
      <w:pPr>
        <w:keepNext/>
        <w:spacing w:line="480" w:lineRule="auto"/>
        <w:jc w:val="center"/>
      </w:pPr>
      <w:r>
        <w:rPr>
          <w:bCs/>
          <w:iCs/>
          <w:noProof/>
          <w:lang w:eastAsia="en-GB"/>
        </w:rPr>
        <w:lastRenderedPageBreak/>
        <w:pict>
          <v:shape id="_x0000_s1171" type="#_x0000_t202" style="position:absolute;left:0;text-align:left;margin-left:9.7pt;margin-top:26.25pt;width:26.15pt;height:232.4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A27062">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w:t>
                  </w:r>
                  <w:r>
                    <w:rPr>
                      <w:rFonts w:ascii="Arial" w:hAnsi="Arial" w:cs="Arial"/>
                      <w:b/>
                      <w:color w:val="262626" w:themeColor="text1" w:themeTint="D9"/>
                      <w:sz w:val="18"/>
                      <w:szCs w:val="18"/>
                    </w:rPr>
                    <w:t xml:space="preserve">Normalised Fit (kJ/mol)   Corrected Heat Rate </w:t>
                  </w:r>
                  <w:r w:rsidRPr="00311B45">
                    <w:rPr>
                      <w:rFonts w:ascii="Arial" w:hAnsi="Arial" w:cs="Arial"/>
                      <w:b/>
                      <w:color w:val="262626" w:themeColor="text1" w:themeTint="D9"/>
                      <w:sz w:val="18"/>
                      <w:szCs w:val="18"/>
                    </w:rPr>
                    <w:t>(µJ/s)</w:t>
                  </w:r>
                </w:p>
              </w:txbxContent>
            </v:textbox>
          </v:shape>
        </w:pict>
      </w:r>
      <w:r>
        <w:rPr>
          <w:bCs/>
          <w:iCs/>
          <w:noProof/>
          <w:lang w:eastAsia="en-GB"/>
        </w:rPr>
        <w:pict>
          <v:shape id="_x0000_s1173" type="#_x0000_t202" style="position:absolute;left:0;text-align:left;margin-left:167.55pt;margin-top:2.65pt;width:111.3pt;height:17.6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A27062">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Injection Number</w:t>
                  </w:r>
                </w:p>
              </w:txbxContent>
            </v:textbox>
          </v:shape>
        </w:pict>
      </w:r>
      <w:r>
        <w:rPr>
          <w:bCs/>
          <w:iCs/>
          <w:noProof/>
          <w:lang w:eastAsia="en-GB"/>
        </w:rPr>
        <w:pict>
          <v:shape id="_x0000_s1172" type="#_x0000_t202" style="position:absolute;left:0;text-align:left;margin-left:173.55pt;margin-top:266.65pt;width:87.05pt;height:17.6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B141B9" w:rsidRDefault="003A5686" w:rsidP="00A27062">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iCs/>
          <w:noProof/>
          <w:lang w:eastAsia="en-GB"/>
        </w:rPr>
        <w:pict>
          <v:shape id="_x0000_s1121" type="#_x0000_t202" style="position:absolute;left:0;text-align:left;margin-left:173.55pt;margin-top:266.65pt;width:87.05pt;height:17.6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C92A53" w:rsidRDefault="003A5686" w:rsidP="00C92A53">
                  <w:pPr>
                    <w:jc w:val="center"/>
                    <w:rPr>
                      <w:rFonts w:ascii="Arial" w:hAnsi="Arial" w:cs="Arial"/>
                      <w:b/>
                      <w:color w:val="262626" w:themeColor="text1" w:themeTint="D9"/>
                      <w:sz w:val="16"/>
                      <w:szCs w:val="16"/>
                    </w:rPr>
                  </w:pPr>
                  <w:r w:rsidRPr="00C92A53">
                    <w:rPr>
                      <w:rFonts w:ascii="Arial" w:hAnsi="Arial" w:cs="Arial"/>
                      <w:b/>
                      <w:color w:val="262626" w:themeColor="text1" w:themeTint="D9"/>
                      <w:sz w:val="16"/>
                      <w:szCs w:val="16"/>
                    </w:rPr>
                    <w:t>Mole Ratio</w:t>
                  </w:r>
                </w:p>
              </w:txbxContent>
            </v:textbox>
          </v:shape>
        </w:pict>
      </w:r>
      <w:r>
        <w:rPr>
          <w:bCs/>
          <w:iCs/>
          <w:noProof/>
          <w:lang w:eastAsia="en-GB"/>
        </w:rPr>
        <w:pict>
          <v:shape id="_x0000_s1122" type="#_x0000_t202" style="position:absolute;left:0;text-align:left;margin-left:183.5pt;margin-top:2.65pt;width:87.05pt;height:17.6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w:txbxContent>
                <w:p w:rsidR="003A5686" w:rsidRPr="00C92A53" w:rsidRDefault="003A5686" w:rsidP="00C92A53">
                  <w:pPr>
                    <w:jc w:val="center"/>
                    <w:rPr>
                      <w:rFonts w:ascii="Arial" w:hAnsi="Arial" w:cs="Arial"/>
                      <w:b/>
                      <w:color w:val="262626" w:themeColor="text1" w:themeTint="D9"/>
                      <w:sz w:val="16"/>
                      <w:szCs w:val="16"/>
                    </w:rPr>
                  </w:pPr>
                  <w:r>
                    <w:rPr>
                      <w:rFonts w:ascii="Arial" w:hAnsi="Arial" w:cs="Arial"/>
                      <w:b/>
                      <w:color w:val="262626" w:themeColor="text1" w:themeTint="D9"/>
                      <w:sz w:val="16"/>
                      <w:szCs w:val="16"/>
                    </w:rPr>
                    <w:t>Injection Number</w:t>
                  </w:r>
                </w:p>
              </w:txbxContent>
            </v:textbox>
          </v:shape>
        </w:pict>
      </w:r>
      <w:r w:rsidR="00D62013">
        <w:rPr>
          <w:noProof/>
          <w:lang w:eastAsia="en-GB"/>
        </w:rPr>
        <w:drawing>
          <wp:inline distT="0" distB="0" distL="0" distR="0" wp14:anchorId="5795AED3" wp14:editId="2460AE32">
            <wp:extent cx="5205730" cy="355672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cstate="print"/>
                    <a:srcRect/>
                    <a:stretch>
                      <a:fillRect/>
                    </a:stretch>
                  </pic:blipFill>
                  <pic:spPr bwMode="auto">
                    <a:xfrm>
                      <a:off x="0" y="0"/>
                      <a:ext cx="5205730" cy="3556720"/>
                    </a:xfrm>
                    <a:prstGeom prst="rect">
                      <a:avLst/>
                    </a:prstGeom>
                    <a:noFill/>
                    <a:ln w="9525">
                      <a:noFill/>
                      <a:miter lim="800000"/>
                      <a:headEnd/>
                      <a:tailEnd/>
                    </a:ln>
                  </pic:spPr>
                </pic:pic>
              </a:graphicData>
            </a:graphic>
          </wp:inline>
        </w:drawing>
      </w:r>
    </w:p>
    <w:p w:rsidR="008E6BF7" w:rsidRPr="00657D6A" w:rsidRDefault="008E6BF7" w:rsidP="008E6BF7">
      <w:pPr>
        <w:pStyle w:val="Caption"/>
        <w:spacing w:line="480" w:lineRule="auto"/>
        <w:jc w:val="center"/>
        <w:rPr>
          <w:rFonts w:ascii="Times New Roman" w:hAnsi="Times New Roman" w:cs="Times New Roman"/>
          <w:lang w:val="en-US"/>
        </w:rPr>
      </w:pPr>
      <w:bookmarkStart w:id="172" w:name="_Ref442882943"/>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12</w:t>
      </w:r>
      <w:r w:rsidR="0075172E">
        <w:fldChar w:fldCharType="end"/>
      </w:r>
      <w:bookmarkEnd w:id="172"/>
      <w:r>
        <w:t>: Upper: Thermogram for the interaction of 6 mM phytate and 0.4 mM lysozyme in 10 mM ammonium acetate at 10 (blue), 25 (green) and 40</w:t>
      </w:r>
      <w:r w:rsidR="006F2757">
        <w:t xml:space="preserve"> </w:t>
      </w:r>
      <w:r>
        <w:t>°C (red). Lower: the binding isotherm for the respective thermogram.</w:t>
      </w:r>
    </w:p>
    <w:p w:rsidR="008E6BF7" w:rsidRDefault="008E6BF7" w:rsidP="008E6BF7">
      <w:pPr>
        <w:spacing w:line="480" w:lineRule="auto"/>
        <w:jc w:val="both"/>
        <w:rPr>
          <w:bCs/>
          <w:iCs/>
        </w:rPr>
      </w:pPr>
      <w:r>
        <w:rPr>
          <w:bCs/>
          <w:iCs/>
        </w:rPr>
        <w:t xml:space="preserve">To determine if phytate-lysozyme crosslinks was the cause behind the upward curvature observed at low molar ratios and the slow dissociation kinetics Nanoparticle Tracking Analysis (NTA) was employed. NTA uses a laser beam to scatter </w:t>
      </w:r>
      <w:r w:rsidR="009D420F">
        <w:rPr>
          <w:bCs/>
          <w:iCs/>
        </w:rPr>
        <w:t>light that</w:t>
      </w:r>
      <w:r>
        <w:rPr>
          <w:bCs/>
          <w:iCs/>
        </w:rPr>
        <w:t xml:space="preserve"> can then be visualised by a mounted camera. Due to the low refractive index, only protein aggregates of 30 nm more can be detected. This means monomeric lysozyme cannot be visualised. </w:t>
      </w:r>
    </w:p>
    <w:p w:rsidR="008E6BF7" w:rsidRDefault="0075172E" w:rsidP="008E6BF7">
      <w:pPr>
        <w:spacing w:line="480" w:lineRule="auto"/>
        <w:jc w:val="both"/>
        <w:rPr>
          <w:rFonts w:cs="Arial"/>
        </w:rPr>
      </w:pPr>
      <w:r>
        <w:rPr>
          <w:bCs/>
          <w:iCs/>
        </w:rPr>
        <w:fldChar w:fldCharType="begin"/>
      </w:r>
      <w:r w:rsidR="00C12D1F">
        <w:rPr>
          <w:bCs/>
          <w:iCs/>
        </w:rPr>
        <w:instrText xml:space="preserve"> REF _Ref442883047 \h </w:instrText>
      </w:r>
      <w:r>
        <w:rPr>
          <w:bCs/>
          <w:iCs/>
        </w:rPr>
      </w:r>
      <w:r>
        <w:rPr>
          <w:bCs/>
          <w:iCs/>
        </w:rPr>
        <w:fldChar w:fldCharType="separate"/>
      </w:r>
      <w:r w:rsidR="00CB4EDC">
        <w:t xml:space="preserve">Figure </w:t>
      </w:r>
      <w:r w:rsidR="00CB4EDC">
        <w:rPr>
          <w:noProof/>
        </w:rPr>
        <w:t>4</w:t>
      </w:r>
      <w:r w:rsidR="00CB4EDC">
        <w:t>.</w:t>
      </w:r>
      <w:r w:rsidR="00CB4EDC">
        <w:rPr>
          <w:noProof/>
        </w:rPr>
        <w:t>13</w:t>
      </w:r>
      <w:r>
        <w:rPr>
          <w:bCs/>
          <w:iCs/>
        </w:rPr>
        <w:fldChar w:fldCharType="end"/>
      </w:r>
      <w:r w:rsidR="00C12D1F">
        <w:rPr>
          <w:bCs/>
          <w:iCs/>
        </w:rPr>
        <w:t xml:space="preserve"> </w:t>
      </w:r>
      <w:r w:rsidR="008E6BF7" w:rsidRPr="009D3781">
        <w:rPr>
          <w:bCs/>
          <w:iCs/>
        </w:rPr>
        <w:t>shows the images from the NTA analysis</w:t>
      </w:r>
      <w:r w:rsidR="008E6BF7">
        <w:rPr>
          <w:bCs/>
          <w:iCs/>
        </w:rPr>
        <w:t xml:space="preserve">. NTA analysis using the Nanosight software (version 2.3) identified </w:t>
      </w:r>
      <w:r w:rsidR="008E6BF7">
        <w:rPr>
          <w:rFonts w:cs="Arial"/>
        </w:rPr>
        <w:t xml:space="preserve">2.35 particles per frame for the lysozyme solution. This is most likely dust or other particles in the solution that could not be successfully filtered using a 0.45 µM filter. No particles were visualised for the phytate solution. Increasing the phytate-lysozyme molar ratio to </w:t>
      </w:r>
      <w:r w:rsidR="008E6BF7">
        <w:rPr>
          <w:iCs/>
        </w:rPr>
        <w:t xml:space="preserve">0.132 greatly increases the number of particles, suggesting phytate-lysozyme </w:t>
      </w:r>
      <w:r w:rsidR="009D420F">
        <w:rPr>
          <w:iCs/>
        </w:rPr>
        <w:t>crosslinking that</w:t>
      </w:r>
      <w:r w:rsidR="008E6BF7">
        <w:rPr>
          <w:iCs/>
        </w:rPr>
        <w:t xml:space="preserve"> could also be occurring in the ITC cell.  </w:t>
      </w:r>
      <w:r w:rsidR="008E6BF7">
        <w:rPr>
          <w:bCs/>
          <w:iCs/>
        </w:rPr>
        <w:t xml:space="preserve">Increasing the </w:t>
      </w:r>
      <w:r w:rsidR="008E6BF7">
        <w:rPr>
          <w:bCs/>
          <w:iCs/>
        </w:rPr>
        <w:lastRenderedPageBreak/>
        <w:t xml:space="preserve">molar ratio to 0.297 also visibly increases the amount of particles. </w:t>
      </w:r>
      <w:r w:rsidR="008E6BF7">
        <w:rPr>
          <w:iCs/>
        </w:rPr>
        <w:t xml:space="preserve"> Increasing the molar ratio further would again give poor particle counting, as the larger particles have already began to hide smaller particles. Although there were some particles seen in the lysozyme solution in 10 mM ammonium acetate this does not hamper the analysis given the large amount of particles seen when phytate is added to solution. At a molar ratio of 0.132, there are more </w:t>
      </w:r>
      <w:r w:rsidR="008E6BF7" w:rsidRPr="00A97234">
        <w:rPr>
          <w:iCs/>
        </w:rPr>
        <w:t xml:space="preserve">than </w:t>
      </w:r>
      <w:r w:rsidR="008E6BF7">
        <w:rPr>
          <w:rFonts w:cs="Arial"/>
        </w:rPr>
        <w:t xml:space="preserve">72.43 particles per frame, a substantially larger number than the lysozyme solution which acted as a control. </w:t>
      </w:r>
    </w:p>
    <w:p w:rsidR="008E6BF7" w:rsidRDefault="008E6BF7" w:rsidP="008E6BF7">
      <w:pPr>
        <w:keepNext/>
        <w:jc w:val="center"/>
      </w:pPr>
      <w:r>
        <w:rPr>
          <w:noProof/>
          <w:lang w:eastAsia="en-GB"/>
        </w:rPr>
        <w:drawing>
          <wp:inline distT="0" distB="0" distL="0" distR="0" wp14:anchorId="2C0769F7" wp14:editId="3378EC3E">
            <wp:extent cx="3090863" cy="2375534"/>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090946" cy="2375598"/>
                    </a:xfrm>
                    <a:prstGeom prst="rect">
                      <a:avLst/>
                    </a:prstGeom>
                    <a:noFill/>
                    <a:ln w="9525">
                      <a:noFill/>
                      <a:miter lim="800000"/>
                      <a:headEnd/>
                      <a:tailEnd/>
                    </a:ln>
                  </pic:spPr>
                </pic:pic>
              </a:graphicData>
            </a:graphic>
          </wp:inline>
        </w:drawing>
      </w:r>
    </w:p>
    <w:p w:rsidR="008E6BF7" w:rsidRDefault="008E6BF7" w:rsidP="008E6BF7">
      <w:pPr>
        <w:pStyle w:val="Caption"/>
        <w:spacing w:line="480" w:lineRule="auto"/>
        <w:jc w:val="center"/>
      </w:pPr>
      <w:bookmarkStart w:id="173" w:name="_Ref442883047"/>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13</w:t>
      </w:r>
      <w:r w:rsidR="0075172E">
        <w:fldChar w:fldCharType="end"/>
      </w:r>
      <w:bookmarkEnd w:id="173"/>
      <w:r>
        <w:t xml:space="preserve">: Video stills from the NTA analysis. </w:t>
      </w:r>
      <w:r w:rsidR="004A3B75">
        <w:t>Top left: 400 µM lysozyme in 10</w:t>
      </w:r>
      <w:r>
        <w:t xml:space="preserve"> mM ammonium acetate buffer pH 4</w:t>
      </w:r>
      <w:r w:rsidR="00040F85">
        <w:t>. Top right: 6 mM phytate in 10</w:t>
      </w:r>
      <w:r>
        <w:t xml:space="preserve"> mM ammonium acetate buffer pH 4. Bottom left: 6 mM phytate with 400 </w:t>
      </w:r>
      <w:r w:rsidRPr="00127225">
        <w:t xml:space="preserve">µM </w:t>
      </w:r>
      <w:r>
        <w:t xml:space="preserve">at a molar ratio of </w:t>
      </w:r>
      <w:r>
        <w:rPr>
          <w:iCs/>
        </w:rPr>
        <w:t xml:space="preserve">0.132 </w:t>
      </w:r>
      <w:r w:rsidR="00040F85">
        <w:t>in 10</w:t>
      </w:r>
      <w:r>
        <w:t xml:space="preserve"> mM ammonium acetate. Bottom right: </w:t>
      </w:r>
      <w:r w:rsidRPr="00127225">
        <w:t xml:space="preserve">6 mM phytate with 400 µM at a molar ratio of </w:t>
      </w:r>
      <w:r>
        <w:rPr>
          <w:iCs/>
        </w:rPr>
        <w:t xml:space="preserve">0.297 </w:t>
      </w:r>
      <w:r>
        <w:t>in 10</w:t>
      </w:r>
      <w:r w:rsidRPr="00127225">
        <w:t xml:space="preserve"> mM ammonium acetate</w:t>
      </w:r>
      <w:r>
        <w:t>.</w:t>
      </w:r>
    </w:p>
    <w:p w:rsidR="008E6BF7" w:rsidRPr="007B2FA4" w:rsidRDefault="008E6BF7" w:rsidP="008E6BF7">
      <w:pPr>
        <w:pStyle w:val="Caption"/>
        <w:spacing w:line="480" w:lineRule="auto"/>
        <w:jc w:val="both"/>
        <w:rPr>
          <w:b w:val="0"/>
          <w:color w:val="000000" w:themeColor="text1"/>
          <w:sz w:val="22"/>
          <w:szCs w:val="22"/>
        </w:rPr>
      </w:pPr>
      <w:r w:rsidRPr="007B2FA4">
        <w:rPr>
          <w:rFonts w:cs="Arial"/>
          <w:b w:val="0"/>
          <w:color w:val="000000" w:themeColor="text1"/>
          <w:sz w:val="22"/>
          <w:szCs w:val="22"/>
        </w:rPr>
        <w:t>A similar binding isotherm was observed for the interaction of potassium phytate with lysozyme in 100 mM ammonium acetate</w:t>
      </w:r>
      <w:r w:rsidR="00C12D1F">
        <w:rPr>
          <w:rFonts w:cs="Arial"/>
          <w:b w:val="0"/>
          <w:color w:val="000000" w:themeColor="text1"/>
          <w:sz w:val="22"/>
          <w:szCs w:val="22"/>
        </w:rPr>
        <w:t xml:space="preserve"> in comparison to 10 mM acetate</w:t>
      </w:r>
      <w:r w:rsidRPr="007B2FA4">
        <w:rPr>
          <w:rFonts w:cs="Arial"/>
          <w:b w:val="0"/>
          <w:color w:val="000000" w:themeColor="text1"/>
          <w:sz w:val="22"/>
          <w:szCs w:val="22"/>
        </w:rPr>
        <w:t xml:space="preserve"> (</w:t>
      </w:r>
      <w:r w:rsidR="00040F10">
        <w:fldChar w:fldCharType="begin"/>
      </w:r>
      <w:r w:rsidR="00040F10">
        <w:instrText xml:space="preserve"> REF _Ref442882739 \h  \* MERGEFORMAT </w:instrText>
      </w:r>
      <w:r w:rsidR="00040F10">
        <w:fldChar w:fldCharType="separate"/>
      </w:r>
      <w:r w:rsidR="00CB4EDC" w:rsidRPr="00CB4EDC">
        <w:rPr>
          <w:b w:val="0"/>
          <w:color w:val="auto"/>
          <w:sz w:val="22"/>
          <w:szCs w:val="22"/>
        </w:rPr>
        <w:t xml:space="preserve">Figure </w:t>
      </w:r>
      <w:r w:rsidR="00CB4EDC" w:rsidRPr="00CB4EDC">
        <w:rPr>
          <w:b w:val="0"/>
          <w:noProof/>
          <w:color w:val="auto"/>
          <w:sz w:val="22"/>
          <w:szCs w:val="22"/>
        </w:rPr>
        <w:t>4.10</w:t>
      </w:r>
      <w:r w:rsidR="00040F10">
        <w:fldChar w:fldCharType="end"/>
      </w:r>
      <w:r w:rsidRPr="007B2FA4">
        <w:rPr>
          <w:rFonts w:cs="Arial"/>
          <w:b w:val="0"/>
          <w:color w:val="000000" w:themeColor="text1"/>
          <w:sz w:val="22"/>
          <w:szCs w:val="22"/>
        </w:rPr>
        <w:t xml:space="preserve">).  To determine if extensive crosslinking was the cause behind the downward curvature at low molar ratios for this particular binding isotherm, NTA was utilised again. </w:t>
      </w:r>
      <w:r w:rsidRPr="007B2FA4">
        <w:rPr>
          <w:b w:val="0"/>
          <w:bCs w:val="0"/>
          <w:iCs/>
          <w:color w:val="000000" w:themeColor="text1"/>
          <w:sz w:val="22"/>
          <w:szCs w:val="22"/>
        </w:rPr>
        <w:t xml:space="preserve">Two solutions of 6 mM phytate and 400 µM lysozyme were looked under the microscope separately. It seems that there were no visible particles. To determine if phytate-lysozyme crosslinking was the cause behind the downward curvature witnessed in this study, the same first two molar ratios used in the ITC study were used the NTA experiment. It seems that at a molar ratio of </w:t>
      </w:r>
      <w:r w:rsidRPr="007B2FA4">
        <w:rPr>
          <w:b w:val="0"/>
          <w:bCs w:val="0"/>
          <w:iCs/>
          <w:color w:val="000000" w:themeColor="text1"/>
          <w:sz w:val="22"/>
          <w:szCs w:val="22"/>
        </w:rPr>
        <w:lastRenderedPageBreak/>
        <w:t>0.132, lysozyme-phytate crosslinking occurs. Increasing the molar ratio to 0.297 visibly increases the amount of particles</w:t>
      </w:r>
      <w:r w:rsidR="00040F85">
        <w:rPr>
          <w:b w:val="0"/>
          <w:bCs w:val="0"/>
          <w:iCs/>
          <w:color w:val="000000" w:themeColor="text1"/>
          <w:sz w:val="22"/>
          <w:szCs w:val="22"/>
        </w:rPr>
        <w:t xml:space="preserve"> (Figure 4.14)</w:t>
      </w:r>
      <w:r w:rsidRPr="007B2FA4">
        <w:rPr>
          <w:b w:val="0"/>
          <w:bCs w:val="0"/>
          <w:iCs/>
          <w:color w:val="000000" w:themeColor="text1"/>
          <w:sz w:val="22"/>
          <w:szCs w:val="22"/>
        </w:rPr>
        <w:t>.</w:t>
      </w:r>
    </w:p>
    <w:p w:rsidR="008E6BF7" w:rsidRDefault="008E6BF7" w:rsidP="008E6BF7">
      <w:pPr>
        <w:keepNext/>
        <w:spacing w:line="480" w:lineRule="auto"/>
        <w:jc w:val="center"/>
      </w:pPr>
      <w:r w:rsidRPr="0011141C">
        <w:rPr>
          <w:iCs/>
          <w:noProof/>
          <w:lang w:eastAsia="en-GB"/>
        </w:rPr>
        <w:drawing>
          <wp:inline distT="0" distB="0" distL="0" distR="0" wp14:anchorId="410BD340" wp14:editId="7DB41816">
            <wp:extent cx="3337560" cy="2356520"/>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337560" cy="2356520"/>
                    </a:xfrm>
                    <a:prstGeom prst="rect">
                      <a:avLst/>
                    </a:prstGeom>
                  </pic:spPr>
                </pic:pic>
              </a:graphicData>
            </a:graphic>
          </wp:inline>
        </w:drawing>
      </w:r>
    </w:p>
    <w:p w:rsidR="008E6BF7" w:rsidRDefault="008E6BF7" w:rsidP="008E6BF7">
      <w:pPr>
        <w:pStyle w:val="Caption"/>
        <w:spacing w:line="480" w:lineRule="auto"/>
        <w:jc w:val="center"/>
      </w:pPr>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14</w:t>
      </w:r>
      <w:r w:rsidR="0075172E">
        <w:fldChar w:fldCharType="end"/>
      </w:r>
      <w:r>
        <w:t xml:space="preserve">: Video stills from the NTA analysis. Top left: 400 µM lysozyme in 100 mM ammonium acetate buffer pH 4. Top right: 6 mM phytate in 100 mM ammonium acetate buffer pH 4. Bottom left: 6 mM phytate with 400 </w:t>
      </w:r>
      <w:r w:rsidRPr="00127225">
        <w:t xml:space="preserve">µM </w:t>
      </w:r>
      <w:r>
        <w:t xml:space="preserve">at a molar ratio of </w:t>
      </w:r>
      <w:r>
        <w:rPr>
          <w:iCs/>
        </w:rPr>
        <w:t xml:space="preserve">0.132 </w:t>
      </w:r>
      <w:r>
        <w:t xml:space="preserve">in 100 mM ammonium acetate. Bottom right: </w:t>
      </w:r>
      <w:r w:rsidRPr="00127225">
        <w:t xml:space="preserve">6 mM phytate with 400 µM at a molar ratio of </w:t>
      </w:r>
      <w:r>
        <w:rPr>
          <w:iCs/>
        </w:rPr>
        <w:t xml:space="preserve">0.297 </w:t>
      </w:r>
      <w:r w:rsidRPr="00127225">
        <w:t>in 100 mM ammonium acetate</w:t>
      </w:r>
      <w:r>
        <w:t xml:space="preserve">. </w:t>
      </w:r>
    </w:p>
    <w:p w:rsidR="008E6BF7" w:rsidRPr="002305C4" w:rsidRDefault="008E6BF7" w:rsidP="008E6BF7">
      <w:pPr>
        <w:spacing w:line="480" w:lineRule="auto"/>
        <w:jc w:val="both"/>
      </w:pPr>
      <w:r>
        <w:t xml:space="preserve">UV spectrophotometry was employed as a method to look at further crosslinking at higher lysozyme-phytate molar ratios. UV measurements conducted with 6 mM phyate and 0.4 mM lysozyme in 100 mM ammonium acetate at 600 nm showed increasing levels of light scattering which is indicative of particle formation above a molar ratio of </w:t>
      </w:r>
      <w:r w:rsidRPr="00A04E7E">
        <w:t>0.6832</w:t>
      </w:r>
      <w:r>
        <w:t xml:space="preserve"> (</w:t>
      </w:r>
      <w:r w:rsidR="0075172E">
        <w:fldChar w:fldCharType="begin"/>
      </w:r>
      <w:r w:rsidR="00865C6F">
        <w:instrText xml:space="preserve"> REF _Ref442883755 \h </w:instrText>
      </w:r>
      <w:r w:rsidR="0075172E">
        <w:fldChar w:fldCharType="separate"/>
      </w:r>
      <w:r w:rsidR="00CB4EDC">
        <w:t xml:space="preserve">Figure </w:t>
      </w:r>
      <w:r w:rsidR="00CB4EDC">
        <w:rPr>
          <w:noProof/>
        </w:rPr>
        <w:t>4</w:t>
      </w:r>
      <w:r w:rsidR="00CB4EDC">
        <w:t>.</w:t>
      </w:r>
      <w:r w:rsidR="00CB4EDC">
        <w:rPr>
          <w:noProof/>
        </w:rPr>
        <w:t>15</w:t>
      </w:r>
      <w:r w:rsidR="0075172E">
        <w:fldChar w:fldCharType="end"/>
      </w:r>
      <w:r>
        <w:t xml:space="preserve">). Before this molar ratio was reached the absorbance did not alter much from the control (a phytate solution made to the corresponding molar ratio in 100 mM ammonium acetate). </w:t>
      </w:r>
    </w:p>
    <w:p w:rsidR="008E6BF7" w:rsidRDefault="008E6BF7" w:rsidP="00EA0186">
      <w:pPr>
        <w:keepNext/>
        <w:spacing w:line="480" w:lineRule="auto"/>
      </w:pPr>
      <w:r>
        <w:rPr>
          <w:noProof/>
          <w:lang w:eastAsia="en-GB"/>
        </w:rPr>
        <w:lastRenderedPageBreak/>
        <w:drawing>
          <wp:inline distT="0" distB="0" distL="0" distR="0" wp14:anchorId="010CFC08" wp14:editId="6A2D7214">
            <wp:extent cx="4572000" cy="2743200"/>
            <wp:effectExtent l="0" t="0" r="0" b="0"/>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E6BF7" w:rsidRPr="00233AB1" w:rsidRDefault="008E6BF7" w:rsidP="004679E5">
      <w:pPr>
        <w:pStyle w:val="Caption"/>
        <w:spacing w:line="480" w:lineRule="auto"/>
      </w:pPr>
      <w:bookmarkStart w:id="174" w:name="_Ref442883755"/>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15</w:t>
      </w:r>
      <w:r w:rsidR="0075172E">
        <w:fldChar w:fldCharType="end"/>
      </w:r>
      <w:bookmarkEnd w:id="174"/>
      <w:r>
        <w:t xml:space="preserve">: UV measurements at 600 nm of 6 mM phytate into 0.4 mM lysozyme in 100 mM ammonium acetate pH 4 (blue diamonds). (Open red squares) 100 mM ammonium acetate with phytate. </w:t>
      </w:r>
    </w:p>
    <w:p w:rsidR="008E6BF7" w:rsidRPr="00CE4E09" w:rsidRDefault="008E6BF7" w:rsidP="008E6BF7">
      <w:pPr>
        <w:spacing w:line="480" w:lineRule="auto"/>
        <w:jc w:val="both"/>
        <w:rPr>
          <w:bCs/>
          <w:iCs/>
        </w:rPr>
      </w:pPr>
      <w:r w:rsidRPr="00CE4E09">
        <w:rPr>
          <w:bCs/>
          <w:iCs/>
        </w:rPr>
        <w:t xml:space="preserve">The favourable change in </w:t>
      </w:r>
      <w:r w:rsidRPr="00CE4E09">
        <w:rPr>
          <w:bCs/>
          <w:i/>
          <w:iCs/>
        </w:rPr>
        <w:t xml:space="preserve">ΔG </w:t>
      </w:r>
      <w:r w:rsidRPr="00CE4E09">
        <w:rPr>
          <w:bCs/>
          <w:iCs/>
        </w:rPr>
        <w:t>with temperature could due to the change in crosslink formation. Phytate has a negative charge of -6 at pH 4</w:t>
      </w:r>
      <w:r>
        <w:rPr>
          <w:bCs/>
          <w:iCs/>
        </w:rPr>
        <w:t xml:space="preserve">. </w:t>
      </w:r>
      <w:hyperlink w:anchor="_ENREF_245" w:tooltip="Evans, 1982 #540" w:history="1">
        <w:r w:rsidR="00512D09">
          <w:rPr>
            <w:bCs/>
            <w:iCs/>
          </w:rPr>
          <w:fldChar w:fldCharType="begin"/>
        </w:r>
        <w:r w:rsidR="00512D09">
          <w:rPr>
            <w:bCs/>
            <w:iCs/>
          </w:rPr>
          <w:instrText xml:space="preserve"> ADDIN EN.CITE &lt;EndNote&gt;&lt;Cite&gt;&lt;Author&gt;Evans&lt;/Author&gt;&lt;Year&gt;1982&lt;/Year&gt;&lt;RecNum&gt;540&lt;/RecNum&gt;&lt;DisplayText&gt;&lt;style face="superscript"&gt;245&lt;/style&gt;&lt;/DisplayText&gt;&lt;record&gt;&lt;rec-number&gt;540&lt;/rec-number&gt;&lt;foreign-keys&gt;&lt;key app="EN" db-id="5trrespwzsdr07efd5tx2w96x22re9s0fsdt"&gt;540&lt;/key&gt;&lt;/foreign-keys&gt;&lt;ref-type name="Journal Article"&gt;17&lt;/ref-type&gt;&lt;contributors&gt;&lt;authors&gt;&lt;author&gt;Evans, W. J.&lt;/author&gt;&lt;author&gt;McCourtney, E. J.&lt;/author&gt;&lt;author&gt;Shrager, R. I.&lt;/author&gt;&lt;/authors&gt;&lt;/contributors&gt;&lt;titles&gt;&lt;title&gt;Titration studies of phytic acid&lt;/title&gt;&lt;secondary-title&gt;Journal of the American Oil Chemists’ Society&lt;/secondary-title&gt;&lt;alt-title&gt;Journal of the American Oil Chemists’ Society&lt;/alt-title&gt;&lt;/titles&gt;&lt;periodical&gt;&lt;full-title&gt;Journal of the American Oil Chemists’ Society&lt;/full-title&gt;&lt;abbr-1&gt;Journal of the American Oil Chemists’ Society&lt;/abbr-1&gt;&lt;/periodical&gt;&lt;alt-periodical&gt;&lt;full-title&gt;Journal of the American Oil Chemists’ Society&lt;/full-title&gt;&lt;abbr-1&gt;Journal of the American Oil Chemists’ Society&lt;/abbr-1&gt;&lt;/alt-periodical&gt;&lt;pages&gt;189-191&lt;/pages&gt;&lt;volume&gt;59&lt;/volume&gt;&lt;number&gt;4&lt;/number&gt;&lt;dates&gt;&lt;year&gt;1982&lt;/year&gt;&lt;pub-dates&gt;&lt;date&gt;1982/04/01&lt;/date&gt;&lt;/pub-dates&gt;&lt;/dates&gt;&lt;publisher&gt;Springer-Verlag&lt;/publisher&gt;&lt;isbn&gt;0003-021X&lt;/isbn&gt;&lt;urls&gt;&lt;related-urls&gt;&lt;url&gt;http://dx.doi.org/10.1007/BF02680274&lt;/url&gt;&lt;/related-urls&gt;&lt;/urls&gt;&lt;electronic-resource-num&gt;10.1007/bf02680274&lt;/electronic-resource-num&gt;&lt;language&gt;English&lt;/language&gt;&lt;/record&gt;&lt;/Cite&gt;&lt;/EndNote&gt;</w:instrText>
        </w:r>
        <w:r w:rsidR="00512D09">
          <w:rPr>
            <w:bCs/>
            <w:iCs/>
          </w:rPr>
          <w:fldChar w:fldCharType="separate"/>
        </w:r>
        <w:r w:rsidR="00512D09" w:rsidRPr="006421D1">
          <w:rPr>
            <w:bCs/>
            <w:iCs/>
            <w:noProof/>
            <w:vertAlign w:val="superscript"/>
          </w:rPr>
          <w:t>245</w:t>
        </w:r>
        <w:r w:rsidR="00512D09">
          <w:rPr>
            <w:bCs/>
            <w:iCs/>
          </w:rPr>
          <w:fldChar w:fldCharType="end"/>
        </w:r>
      </w:hyperlink>
      <w:r w:rsidRPr="00CE4E09">
        <w:rPr>
          <w:bCs/>
          <w:iCs/>
        </w:rPr>
        <w:t xml:space="preserve"> The phytate networks would not just sterically hinder access of other phytates to lysozyme they would also produce a shield of negative charge around the protein reducing affinity. Increasing the temperature breaks down the negatively charged networks</w:t>
      </w:r>
      <w:r>
        <w:rPr>
          <w:bCs/>
          <w:iCs/>
        </w:rPr>
        <w:t>, into smaller aggregates,</w:t>
      </w:r>
      <w:r w:rsidRPr="00CE4E09">
        <w:rPr>
          <w:bCs/>
          <w:iCs/>
        </w:rPr>
        <w:t xml:space="preserve"> which </w:t>
      </w:r>
      <w:r>
        <w:rPr>
          <w:bCs/>
          <w:iCs/>
        </w:rPr>
        <w:t xml:space="preserve">could </w:t>
      </w:r>
      <w:r w:rsidRPr="00CE4E09">
        <w:rPr>
          <w:bCs/>
          <w:iCs/>
        </w:rPr>
        <w:t xml:space="preserve">act to increase affinity. Another possible explanation could be conformational changes that would expose more positively charged regions on lysozyme. This could explain both the increase in affinity and the change in stoichiometry.  </w:t>
      </w:r>
    </w:p>
    <w:p w:rsidR="008E6BF7" w:rsidRDefault="008E6BF7" w:rsidP="008E6BF7">
      <w:pPr>
        <w:spacing w:line="480" w:lineRule="auto"/>
        <w:jc w:val="both"/>
        <w:rPr>
          <w:bCs/>
          <w:iCs/>
          <w:lang w:val="en-US"/>
        </w:rPr>
      </w:pPr>
      <w:r w:rsidRPr="002427AF">
        <w:rPr>
          <w:bCs/>
          <w:iCs/>
          <w:lang w:val="en-US"/>
        </w:rPr>
        <w:t xml:space="preserve">To understand the </w:t>
      </w:r>
      <w:r w:rsidR="00C96C5F" w:rsidRPr="002427AF">
        <w:rPr>
          <w:bCs/>
          <w:iCs/>
          <w:lang w:val="en-US"/>
        </w:rPr>
        <w:t>stoichiometry,</w:t>
      </w:r>
      <w:r w:rsidRPr="002427AF">
        <w:rPr>
          <w:bCs/>
          <w:iCs/>
          <w:lang w:val="en-US"/>
        </w:rPr>
        <w:t xml:space="preserve"> the sequence of binding events </w:t>
      </w:r>
      <w:r>
        <w:rPr>
          <w:bCs/>
          <w:iCs/>
          <w:lang w:val="en-US"/>
        </w:rPr>
        <w:t xml:space="preserve">and the charge of molecules </w:t>
      </w:r>
      <w:r w:rsidRPr="002427AF">
        <w:rPr>
          <w:bCs/>
          <w:iCs/>
          <w:lang w:val="en-US"/>
        </w:rPr>
        <w:t xml:space="preserve">needs to be considered. Lysozyme has </w:t>
      </w:r>
      <w:r>
        <w:rPr>
          <w:bCs/>
          <w:iCs/>
          <w:lang w:val="en-US"/>
        </w:rPr>
        <w:t>a positive charge at pH 4 of +12</w:t>
      </w:r>
      <w:r w:rsidRPr="002427AF">
        <w:rPr>
          <w:bCs/>
          <w:iCs/>
          <w:lang w:val="en-US"/>
        </w:rPr>
        <w:t xml:space="preserve"> </w:t>
      </w:r>
      <w:r w:rsidRPr="002427AF">
        <w:rPr>
          <w:bCs/>
          <w:iCs/>
          <w:vertAlign w:val="superscript"/>
          <w:lang w:val="en-US"/>
        </w:rPr>
        <w:t xml:space="preserve">18 </w:t>
      </w:r>
      <w:r w:rsidRPr="002427AF">
        <w:rPr>
          <w:bCs/>
          <w:iCs/>
          <w:lang w:val="en-US"/>
        </w:rPr>
        <w:t>and phy</w:t>
      </w:r>
      <w:r>
        <w:rPr>
          <w:bCs/>
          <w:iCs/>
          <w:lang w:val="en-US"/>
        </w:rPr>
        <w:t>tate has a negative charge of -6</w:t>
      </w:r>
      <w:r w:rsidRPr="002427AF">
        <w:rPr>
          <w:bCs/>
          <w:iCs/>
          <w:lang w:val="en-US"/>
        </w:rPr>
        <w:t>.</w:t>
      </w:r>
      <w:r w:rsidRPr="002427AF">
        <w:rPr>
          <w:bCs/>
          <w:iCs/>
          <w:vertAlign w:val="superscript"/>
          <w:lang w:val="en-US"/>
        </w:rPr>
        <w:t>5</w:t>
      </w:r>
      <w:r w:rsidRPr="002427AF">
        <w:rPr>
          <w:bCs/>
          <w:iCs/>
          <w:lang w:val="en-US"/>
        </w:rPr>
        <w:t xml:space="preserve"> Binding of the first phytate would result in a decrease in the net positive</w:t>
      </w:r>
      <w:r>
        <w:rPr>
          <w:bCs/>
          <w:iCs/>
          <w:lang w:val="en-US"/>
        </w:rPr>
        <w:t xml:space="preserve"> charge on the lysozyme from +11 to +6</w:t>
      </w:r>
      <w:r w:rsidRPr="002427AF">
        <w:rPr>
          <w:bCs/>
          <w:iCs/>
          <w:lang w:val="en-US"/>
        </w:rPr>
        <w:t>. In the next binding event, the net positive charg</w:t>
      </w:r>
      <w:r>
        <w:rPr>
          <w:bCs/>
          <w:iCs/>
          <w:lang w:val="en-US"/>
        </w:rPr>
        <w:t>e on the protein diminishes from +5 to 0</w:t>
      </w:r>
      <w:r w:rsidRPr="002427AF">
        <w:rPr>
          <w:bCs/>
          <w:iCs/>
          <w:lang w:val="en-US"/>
        </w:rPr>
        <w:t>.</w:t>
      </w:r>
      <w:r>
        <w:rPr>
          <w:bCs/>
          <w:iCs/>
          <w:lang w:val="en-US"/>
        </w:rPr>
        <w:t xml:space="preserve"> It is possible that the lack of positive charge on the lysozyme then allows lysozyme to aggregate as there is no longer sufficient charge repulsion to keep them apart. </w:t>
      </w:r>
    </w:p>
    <w:p w:rsidR="008E6BF7" w:rsidRPr="006E6898" w:rsidRDefault="008E6BF7" w:rsidP="008E6BF7">
      <w:pPr>
        <w:spacing w:line="480" w:lineRule="auto"/>
        <w:jc w:val="both"/>
        <w:rPr>
          <w:bCs/>
          <w:iCs/>
        </w:rPr>
      </w:pPr>
      <w:r w:rsidRPr="006E6898">
        <w:rPr>
          <w:bCs/>
          <w:iCs/>
        </w:rPr>
        <w:lastRenderedPageBreak/>
        <w:t>The stoichiometry value at 10</w:t>
      </w:r>
      <w:r w:rsidRPr="006E6898">
        <w:rPr>
          <w:bCs/>
          <w:iCs/>
        </w:rPr>
        <w:sym w:font="Mathematica1" w:char="F0B0"/>
      </w:r>
      <w:r w:rsidRPr="006E6898">
        <w:rPr>
          <w:bCs/>
          <w:iCs/>
        </w:rPr>
        <w:t>C suggests that lysozyme binds one and half phytate molecules. The half a binding stoichiometry is probably due to phytate-lysozyme crosslinking, rather than a single lysozyme binding half a phytate. Consequently, this could mean that a single phytate binds to two lysozyme molecules. Interpreting the stoichiometry values in this manner means that at 10</w:t>
      </w:r>
      <w:r w:rsidRPr="006E6898">
        <w:rPr>
          <w:bCs/>
          <w:iCs/>
        </w:rPr>
        <w:sym w:font="Mathematica1" w:char="F0B0"/>
      </w:r>
      <w:r w:rsidRPr="006E6898">
        <w:rPr>
          <w:bCs/>
          <w:iCs/>
        </w:rPr>
        <w:t>C, saturation occurs when 3 lysozyme molecules are bound by a 2 bridging phytates. Increasing the temperature to 25 and 40</w:t>
      </w:r>
      <w:r w:rsidRPr="006E6898">
        <w:rPr>
          <w:bCs/>
          <w:iCs/>
        </w:rPr>
        <w:sym w:font="Mathematica1" w:char="F0B0"/>
      </w:r>
      <w:r w:rsidRPr="006E6898">
        <w:rPr>
          <w:bCs/>
          <w:iCs/>
        </w:rPr>
        <w:t xml:space="preserve">C increases the stoichiometry value to 2. This indicates that 4 lysozyme molecules are crosslinked by 2 phytates. </w:t>
      </w:r>
    </w:p>
    <w:p w:rsidR="008E6BF7" w:rsidRDefault="008E6BF7" w:rsidP="008E6BF7">
      <w:pPr>
        <w:spacing w:line="480" w:lineRule="auto"/>
        <w:jc w:val="both"/>
        <w:rPr>
          <w:bCs/>
          <w:iCs/>
        </w:rPr>
      </w:pPr>
      <w:r>
        <w:rPr>
          <w:bCs/>
          <w:iCs/>
        </w:rPr>
        <w:t>The binding isotherm is biphasic and can be separated into two curves. The first curve does not correspond to whole binding stoichiometry. Decreasing the amount of sodium phytate to 3 and 1 mM did allow for better resolution of the binding curve (</w:t>
      </w:r>
      <w:r w:rsidR="0075172E">
        <w:rPr>
          <w:bCs/>
          <w:iCs/>
        </w:rPr>
        <w:fldChar w:fldCharType="begin"/>
      </w:r>
      <w:r w:rsidR="00865C6F">
        <w:rPr>
          <w:bCs/>
          <w:iCs/>
        </w:rPr>
        <w:instrText xml:space="preserve"> REF _Ref442883886 \h </w:instrText>
      </w:r>
      <w:r w:rsidR="0075172E">
        <w:rPr>
          <w:bCs/>
          <w:iCs/>
        </w:rPr>
      </w:r>
      <w:r w:rsidR="0075172E">
        <w:rPr>
          <w:bCs/>
          <w:iCs/>
        </w:rPr>
        <w:fldChar w:fldCharType="separate"/>
      </w:r>
      <w:r w:rsidR="00CB4EDC">
        <w:t xml:space="preserve">Figure </w:t>
      </w:r>
      <w:r w:rsidR="00CB4EDC">
        <w:rPr>
          <w:noProof/>
        </w:rPr>
        <w:t>4</w:t>
      </w:r>
      <w:r w:rsidR="00CB4EDC">
        <w:t>.</w:t>
      </w:r>
      <w:r w:rsidR="00CB4EDC">
        <w:rPr>
          <w:noProof/>
        </w:rPr>
        <w:t>16</w:t>
      </w:r>
      <w:r w:rsidR="0075172E">
        <w:rPr>
          <w:bCs/>
          <w:iCs/>
        </w:rPr>
        <w:fldChar w:fldCharType="end"/>
      </w:r>
      <w:r>
        <w:rPr>
          <w:bCs/>
          <w:iCs/>
        </w:rPr>
        <w:t xml:space="preserve">). </w:t>
      </w:r>
      <w:r w:rsidR="00C96C5F">
        <w:rPr>
          <w:bCs/>
          <w:iCs/>
        </w:rPr>
        <w:t>Additionally,</w:t>
      </w:r>
      <w:r>
        <w:rPr>
          <w:bCs/>
          <w:iCs/>
        </w:rPr>
        <w:t xml:space="preserve"> there were no initial binding enthalpies of similar </w:t>
      </w:r>
      <w:r w:rsidR="009D420F">
        <w:rPr>
          <w:bCs/>
          <w:iCs/>
        </w:rPr>
        <w:t>strength that</w:t>
      </w:r>
      <w:r>
        <w:rPr>
          <w:bCs/>
          <w:iCs/>
        </w:rPr>
        <w:t xml:space="preserve"> is normally seen in binding isotherms. Simulating the binding interaction with two distinct binding sites did not produce the curves witnessed in the ITC study if whole binding stoichiometries were used. This suggests the initial curve is due to a </w:t>
      </w:r>
      <w:r w:rsidR="008019AE">
        <w:rPr>
          <w:bCs/>
          <w:iCs/>
        </w:rPr>
        <w:t>crosslinking</w:t>
      </w:r>
      <w:r>
        <w:rPr>
          <w:bCs/>
          <w:iCs/>
        </w:rPr>
        <w:t xml:space="preserve"> event rather than cooperativity. </w:t>
      </w:r>
    </w:p>
    <w:p w:rsidR="008E6BF7" w:rsidRDefault="0014785B" w:rsidP="008E6BF7">
      <w:pPr>
        <w:keepNext/>
        <w:spacing w:line="480" w:lineRule="auto"/>
        <w:jc w:val="center"/>
      </w:pPr>
      <w:r>
        <w:rPr>
          <w:noProof/>
          <w:lang w:eastAsia="en-GB"/>
        </w:rPr>
        <w:lastRenderedPageBreak/>
        <w:drawing>
          <wp:inline distT="0" distB="0" distL="0" distR="0" wp14:anchorId="6C7E6BCA" wp14:editId="48FA19B8">
            <wp:extent cx="5147766" cy="3455719"/>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cstate="print"/>
                    <a:srcRect r="1120" b="2000"/>
                    <a:stretch>
                      <a:fillRect/>
                    </a:stretch>
                  </pic:blipFill>
                  <pic:spPr bwMode="auto">
                    <a:xfrm>
                      <a:off x="0" y="0"/>
                      <a:ext cx="5147766" cy="3455719"/>
                    </a:xfrm>
                    <a:prstGeom prst="rect">
                      <a:avLst/>
                    </a:prstGeom>
                    <a:noFill/>
                    <a:ln w="9525">
                      <a:noFill/>
                      <a:miter lim="800000"/>
                      <a:headEnd/>
                      <a:tailEnd/>
                    </a:ln>
                  </pic:spPr>
                </pic:pic>
              </a:graphicData>
            </a:graphic>
          </wp:inline>
        </w:drawing>
      </w:r>
    </w:p>
    <w:p w:rsidR="008E6BF7" w:rsidRPr="002A1541" w:rsidRDefault="008E6BF7" w:rsidP="008E6BF7">
      <w:pPr>
        <w:pStyle w:val="Caption"/>
        <w:spacing w:line="480" w:lineRule="auto"/>
        <w:jc w:val="center"/>
        <w:rPr>
          <w:bCs w:val="0"/>
          <w:iCs/>
        </w:rPr>
      </w:pPr>
      <w:bookmarkStart w:id="175" w:name="_Ref442883886"/>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16</w:t>
      </w:r>
      <w:r w:rsidR="0075172E">
        <w:fldChar w:fldCharType="end"/>
      </w:r>
      <w:bookmarkEnd w:id="175"/>
      <w:r>
        <w:t xml:space="preserve">: </w:t>
      </w:r>
      <w:r w:rsidRPr="008500D1">
        <w:t>ITC binding i</w:t>
      </w:r>
      <w:r>
        <w:t>sotherm for the interaction of 3 (open circles) and 1</w:t>
      </w:r>
      <w:r w:rsidRPr="008500D1">
        <w:t xml:space="preserve"> </w:t>
      </w:r>
      <w:r>
        <w:t xml:space="preserve">(closed squares) </w:t>
      </w:r>
      <w:r w:rsidRPr="008500D1">
        <w:t xml:space="preserve">mM </w:t>
      </w:r>
      <w:r>
        <w:t xml:space="preserve">sodium </w:t>
      </w:r>
      <w:r w:rsidRPr="008500D1">
        <w:t>phytate and 0.4 mM lysozyme in 10 mM ammonium acetate pH 4.</w:t>
      </w:r>
    </w:p>
    <w:p w:rsidR="008E6BF7" w:rsidRDefault="008E6BF7" w:rsidP="008E6BF7">
      <w:pPr>
        <w:spacing w:line="480" w:lineRule="auto"/>
        <w:jc w:val="both"/>
        <w:rPr>
          <w:bCs/>
          <w:iCs/>
        </w:rPr>
      </w:pPr>
      <w:r>
        <w:rPr>
          <w:bCs/>
          <w:iCs/>
        </w:rPr>
        <w:t xml:space="preserve">There are papers that suggest the favourable increase in </w:t>
      </w:r>
      <w:r w:rsidRPr="00CA61AF">
        <w:rPr>
          <w:bCs/>
          <w:iCs/>
        </w:rPr>
        <w:t>Δ</w:t>
      </w:r>
      <w:r w:rsidRPr="00CA61AF">
        <w:rPr>
          <w:bCs/>
          <w:i/>
          <w:iCs/>
        </w:rPr>
        <w:t>H</w:t>
      </w:r>
      <w:r>
        <w:rPr>
          <w:bCs/>
          <w:i/>
          <w:iCs/>
        </w:rPr>
        <w:t xml:space="preserve"> </w:t>
      </w:r>
      <w:r>
        <w:rPr>
          <w:bCs/>
          <w:iCs/>
        </w:rPr>
        <w:t>with the first couple of injections is indicative of positive cooperativity, that already bound ligand has a favourable effect on the next binding interaction.</w:t>
      </w:r>
      <w:hyperlink w:anchor="_ENREF_144" w:tooltip="Poncet-Legrand, 2007 #425" w:history="1">
        <w:r w:rsidR="00512D09">
          <w:rPr>
            <w:bCs/>
            <w:iCs/>
          </w:rPr>
          <w:fldChar w:fldCharType="begin">
            <w:fldData xml:space="preserve">PEVuZE5vdGU+PENpdGU+PEF1dGhvcj5QcmlnZW50PC9BdXRob3I+PFllYXI+MjAwOTwvWWVhcj48
UmVjTnVtPjQ1MDwvUmVjTnVtPjxEaXNwbGF5VGV4dD48c3R5bGUgZmFjZT0ic3VwZXJzY3JpcHQi
PjE0NC0xNDY8L3N0eWxlPjwvRGlzcGxheVRleHQ+PHJlY29yZD48cmVjLW51bWJlcj40NTA8L3Jl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dW0+PC9yZWNvcmQ+PC9DaXRlPjxDaXRlPjxBdXRob3I+RnJhemllcjwvQXV0aG9yPjxZZWFyPjIw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</w:fldData>
          </w:fldChar>
        </w:r>
        <w:r w:rsidR="00512D09">
          <w:rPr>
            <w:bCs/>
            <w:iCs/>
          </w:rPr>
          <w:instrText xml:space="preserve"> ADDIN EN.CITE </w:instrText>
        </w:r>
        <w:r w:rsidR="00512D09">
          <w:rPr>
            <w:bCs/>
            <w:iCs/>
          </w:rPr>
          <w:fldChar w:fldCharType="begin">
            <w:fldData xml:space="preserve">PEVuZE5vdGU+PENpdGU+PEF1dGhvcj5QcmlnZW50PC9BdXRob3I+PFllYXI+MjAwOTwvWWVhcj48
UmVjTnVtPjQ1MDwvUmVjTnVtPjxEaXNwbGF5VGV4dD48c3R5bGUgZmFjZT0ic3VwZXJzY3JpcHQi
PjE0NC0xNDY8L3N0eWxlPjwvRGlzcGxheVRleHQ+PHJlY29yZD48cmVjLW51bWJlcj40NTA8L3Jl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dW0+PC9yZWNvcmQ+PC9DaXRlPjxDaXRlPjxBdXRob3I+RnJhemllcjwvQXV0aG9yPjxZZWFyPjIw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</w:fldData>
          </w:fldChar>
        </w:r>
        <w:r w:rsidR="00512D09">
          <w:rPr>
            <w:bCs/>
            <w:iCs/>
          </w:rPr>
          <w:instrText xml:space="preserve"> ADDIN EN.CITE.DATA </w:instrText>
        </w:r>
        <w:r w:rsidR="00512D09">
          <w:rPr>
            <w:bCs/>
            <w:iCs/>
          </w:rPr>
        </w:r>
        <w:r w:rsidR="00512D09">
          <w:rPr>
            <w:bCs/>
            <w:iCs/>
          </w:rPr>
          <w:fldChar w:fldCharType="end"/>
        </w:r>
        <w:r w:rsidR="00512D09">
          <w:rPr>
            <w:bCs/>
            <w:iCs/>
          </w:rPr>
        </w:r>
        <w:r w:rsidR="00512D09">
          <w:rPr>
            <w:bCs/>
            <w:iCs/>
          </w:rPr>
          <w:fldChar w:fldCharType="separate"/>
        </w:r>
        <w:r w:rsidR="00512D09" w:rsidRPr="00F80CAD">
          <w:rPr>
            <w:bCs/>
            <w:iCs/>
            <w:noProof/>
            <w:vertAlign w:val="superscript"/>
          </w:rPr>
          <w:t>144-146</w:t>
        </w:r>
        <w:r w:rsidR="00512D09">
          <w:rPr>
            <w:bCs/>
            <w:iCs/>
          </w:rPr>
          <w:fldChar w:fldCharType="end"/>
        </w:r>
      </w:hyperlink>
      <w:r>
        <w:rPr>
          <w:bCs/>
          <w:iCs/>
        </w:rPr>
        <w:t xml:space="preserve"> However, the binding isotherm presented here is in a sense misleading. Simulating the curve using the one site binding model (</w:t>
      </w:r>
      <w:r w:rsidR="0075172E">
        <w:rPr>
          <w:bCs/>
          <w:iCs/>
        </w:rPr>
        <w:fldChar w:fldCharType="begin"/>
      </w:r>
      <w:r w:rsidR="00A451FF">
        <w:rPr>
          <w:bCs/>
          <w:iCs/>
        </w:rPr>
        <w:instrText xml:space="preserve"> REF _Ref442881118 \h </w:instrText>
      </w:r>
      <w:r w:rsidR="0075172E">
        <w:rPr>
          <w:bCs/>
          <w:iCs/>
        </w:rPr>
      </w:r>
      <w:r w:rsidR="0075172E">
        <w:rPr>
          <w:bCs/>
          <w:iCs/>
        </w:rPr>
        <w:fldChar w:fldCharType="separate"/>
      </w:r>
      <w:r w:rsidR="00CB4EDC">
        <w:t xml:space="preserve">Figure </w:t>
      </w:r>
      <w:r w:rsidR="00CB4EDC">
        <w:rPr>
          <w:noProof/>
        </w:rPr>
        <w:t>4</w:t>
      </w:r>
      <w:r w:rsidR="00CB4EDC">
        <w:t>.</w:t>
      </w:r>
      <w:r w:rsidR="00CB4EDC">
        <w:rPr>
          <w:noProof/>
        </w:rPr>
        <w:t>3</w:t>
      </w:r>
      <w:r w:rsidR="0075172E">
        <w:rPr>
          <w:bCs/>
          <w:iCs/>
        </w:rPr>
        <w:fldChar w:fldCharType="end"/>
      </w:r>
      <w:r>
        <w:rPr>
          <w:bCs/>
          <w:iCs/>
        </w:rPr>
        <w:t xml:space="preserve">) shows that a lack of positive cooperativity would actually be a more favourable (more exothermic) interaction than the positive cooperativity occurring (upward curvature at low molar ratios) if </w:t>
      </w:r>
      <w:r w:rsidRPr="002A5509">
        <w:rPr>
          <w:bCs/>
          <w:iCs/>
        </w:rPr>
        <w:t>Δ</w:t>
      </w:r>
      <w:r w:rsidRPr="002A5509">
        <w:rPr>
          <w:bCs/>
          <w:i/>
          <w:iCs/>
        </w:rPr>
        <w:t>H</w:t>
      </w:r>
      <w:r>
        <w:rPr>
          <w:bCs/>
          <w:i/>
          <w:iCs/>
        </w:rPr>
        <w:t xml:space="preserve"> </w:t>
      </w:r>
      <w:r>
        <w:rPr>
          <w:bCs/>
          <w:iCs/>
        </w:rPr>
        <w:t xml:space="preserve">itself is taken as an indication. A better way of describing this behaviour would be that the first initial injections become less endothermic in comparison to the rest of the binding isotherm as the language utilised in previous papers lends itself to a notion of positive cooperativity without any other evidence. It should be noted that a favourable increase in </w:t>
      </w:r>
      <w:r w:rsidRPr="00D84925">
        <w:rPr>
          <w:bCs/>
          <w:iCs/>
        </w:rPr>
        <w:t>Δ</w:t>
      </w:r>
      <w:r w:rsidRPr="00D84925">
        <w:rPr>
          <w:bCs/>
          <w:i/>
          <w:iCs/>
        </w:rPr>
        <w:t>H</w:t>
      </w:r>
      <w:r>
        <w:rPr>
          <w:bCs/>
          <w:iCs/>
        </w:rPr>
        <w:t xml:space="preserve"> does not necessarily mean </w:t>
      </w:r>
      <w:r w:rsidRPr="00D84925">
        <w:rPr>
          <w:bCs/>
          <w:iCs/>
        </w:rPr>
        <w:t xml:space="preserve">a favourable increase in </w:t>
      </w:r>
      <w:r w:rsidRPr="00824308">
        <w:rPr>
          <w:bCs/>
          <w:i/>
          <w:iCs/>
        </w:rPr>
        <w:t xml:space="preserve">ΔG </w:t>
      </w:r>
      <w:r>
        <w:rPr>
          <w:bCs/>
          <w:iCs/>
        </w:rPr>
        <w:t xml:space="preserve">as there could be an opposing </w:t>
      </w:r>
      <w:r w:rsidRPr="00D84925">
        <w:rPr>
          <w:bCs/>
          <w:i/>
          <w:iCs/>
        </w:rPr>
        <w:t>TΔS</w:t>
      </w:r>
      <w:r>
        <w:rPr>
          <w:bCs/>
          <w:iCs/>
        </w:rPr>
        <w:t xml:space="preserve">. It has been suggested that with biphasic isotherms displaying positive </w:t>
      </w:r>
      <w:r>
        <w:rPr>
          <w:bCs/>
          <w:iCs/>
        </w:rPr>
        <w:lastRenderedPageBreak/>
        <w:t xml:space="preserve">cooperativity, the first curve should have lower affinity than the second curve due to affinity increasing with increasing concentration of ligand. </w:t>
      </w:r>
      <w:r w:rsidR="0075172E">
        <w:rPr>
          <w:bCs/>
          <w:iCs/>
        </w:rPr>
        <w:fldChar w:fldCharType="begin"/>
      </w:r>
      <w:r w:rsidR="00991167">
        <w:rPr>
          <w:bCs/>
          <w:iCs/>
        </w:rPr>
        <w:instrText xml:space="preserve"> ADDIN EN.CITE &lt;EndNote&gt;&lt;Cite&gt;&lt;Author&gt;García-Fuentes&lt;/Author&gt;&lt;Year&gt;2011&lt;/Year&gt;&lt;RecNum&gt;583&lt;/RecNum&gt;&lt;DisplayText&gt;&lt;style face="superscript"&gt;149,150&lt;/style&gt;&lt;/DisplayText&gt;&lt;record&gt;&lt;rec-number&gt;583&lt;/rec-number&gt;&lt;foreign-keys&gt;&lt;key app="EN" db-id="5trrespwzsdr07efd5tx2w96x22re9s0fsdt"&gt;583&lt;/key&gt;&lt;/foreign-keys&gt;&lt;ref-type name="Book Section"&gt;5&lt;/ref-type&gt;&lt;contributors&gt;&lt;authors&gt;&lt;author&gt;García-Fuentes, Luis&lt;/author&gt;&lt;author&gt;Barón, Carmen&lt;/author&gt;&lt;author&gt;Quesada-Soriano, Indalecio&lt;/author&gt;&lt;author&gt;Ramiro&lt;/author&gt;&lt;author&gt;Téllez-Sanz&lt;/author&gt;&lt;/authors&gt;&lt;secondary-authors&gt;&lt;author&gt;Juan, Piraján&lt;/author&gt;&lt;/secondary-authors&gt;&lt;/contributors&gt;&lt;titles&gt;&lt;title&gt;Thermodynamics of Molecular Recognition by Calorimetry&lt;/title&gt;&lt;secondary-title&gt;Thermodynamics - Physical Chemistry of Aqueous Systems&lt;/secondary-title&gt;&lt;/titles&gt;&lt;pages&gt;1-26&lt;/pages&gt;&lt;dates&gt;&lt;year&gt;2011&lt;/year&gt;&lt;/dates&gt;&lt;publisher&gt;INTECH Open Access Publisher&lt;/publisher&gt;&lt;isbn&gt;9533079797&lt;/isbn&gt;&lt;urls&gt;&lt;/urls&gt;&lt;/record&gt;&lt;/Cite&gt;&lt;Cite&gt;&lt;Author&gt;Téllez‐Sanz&lt;/Author&gt;&lt;Year&gt;2006&lt;/Year&gt;&lt;RecNum&gt;432&lt;/RecNum&gt;&lt;record&gt;&lt;rec-number&gt;432&lt;/rec-number&gt;&lt;foreign-keys&gt;&lt;key app="EN" db-id="5trrespwzsdr07efd5tx2w96x22re9s0fsdt"&gt;432&lt;/key&gt;&lt;/foreign-keys&gt;&lt;ref-type name="Journal Article"&gt;17&lt;/ref-type&gt;&lt;contributors&gt;&lt;authors&gt;&lt;author&gt;Téllez‐Sanz, Ramiro&lt;/author&gt;&lt;author&gt;Cesareo, Eleonora&lt;/author&gt;&lt;author&gt;Nuccetelli, Marzia&lt;/author&gt;&lt;author&gt;Aguilera, Ana M&lt;/author&gt;&lt;author&gt;Barón, Carmen&lt;/author&gt;&lt;author&gt;Parker, Lorien J&lt;/author&gt;&lt;author&gt;Adams, Julian J&lt;/author&gt;&lt;author&gt;Morton, Craig J&lt;/author&gt;&lt;author&gt;Lo Bello, Mario&lt;/author&gt;&lt;author&gt;Parker, Michael W&lt;/author&gt;&lt;/authors&gt;&lt;/contributors&gt;&lt;titles&gt;&lt;title&gt;Calorimetric and structural studies of the nitric oxide carrier S‐nitrosoglutathione bound to human glutathione transferase P1‐1&lt;/title&gt;&lt;secondary-title&gt;Protein Science&lt;/secondary-title&gt;&lt;/titles&gt;&lt;periodical&gt;&lt;full-title&gt;Protein Science&lt;/full-title&gt;&lt;/periodical&gt;&lt;pages&gt;1093-1105&lt;/pages&gt;&lt;volume&gt;15&lt;/volume&gt;&lt;number&gt;5&lt;/number&gt;&lt;dates&gt;&lt;year&gt;2006&lt;/year&gt;&lt;/dates&gt;&lt;isbn&gt;1469-896X&lt;/isbn&gt;&lt;urls&gt;&lt;/urls&gt;&lt;/record&gt;&lt;/Cite&gt;&lt;/EndNote&gt;</w:instrText>
      </w:r>
      <w:r w:rsidR="0075172E">
        <w:rPr>
          <w:bCs/>
          <w:iCs/>
        </w:rPr>
        <w:fldChar w:fldCharType="separate"/>
      </w:r>
      <w:hyperlink w:anchor="_ENREF_149" w:tooltip="Téllez‐Sanz, 2006 #432" w:history="1">
        <w:r w:rsidR="00512D09" w:rsidRPr="00991167">
          <w:rPr>
            <w:bCs/>
            <w:iCs/>
            <w:noProof/>
            <w:vertAlign w:val="superscript"/>
          </w:rPr>
          <w:t>149</w:t>
        </w:r>
      </w:hyperlink>
      <w:r w:rsidR="00991167" w:rsidRPr="00991167">
        <w:rPr>
          <w:bCs/>
          <w:iCs/>
          <w:noProof/>
          <w:vertAlign w:val="superscript"/>
        </w:rPr>
        <w:t>,</w:t>
      </w:r>
      <w:hyperlink w:anchor="_ENREF_150" w:tooltip="García-Fuentes, 2011 #583" w:history="1">
        <w:r w:rsidR="00512D09" w:rsidRPr="00991167">
          <w:rPr>
            <w:bCs/>
            <w:iCs/>
            <w:noProof/>
            <w:vertAlign w:val="superscript"/>
          </w:rPr>
          <w:t>150</w:t>
        </w:r>
      </w:hyperlink>
      <w:r w:rsidR="0075172E">
        <w:rPr>
          <w:bCs/>
          <w:iCs/>
        </w:rPr>
        <w:fldChar w:fldCharType="end"/>
      </w:r>
      <w:r>
        <w:rPr>
          <w:bCs/>
          <w:iCs/>
        </w:rPr>
        <w:t xml:space="preserve"> </w:t>
      </w:r>
    </w:p>
    <w:p w:rsidR="00934AF3" w:rsidRDefault="00934AF3" w:rsidP="008E6BF7">
      <w:pPr>
        <w:spacing w:line="480" w:lineRule="auto"/>
        <w:jc w:val="both"/>
        <w:rPr>
          <w:bCs/>
          <w:iCs/>
        </w:rPr>
      </w:pPr>
      <w:r w:rsidRPr="008047DA">
        <w:rPr>
          <w:bCs/>
          <w:iCs/>
        </w:rPr>
        <w:t xml:space="preserve">Calculating </w:t>
      </w:r>
      <w:r w:rsidRPr="00695390">
        <w:rPr>
          <w:bCs/>
          <w:iCs/>
        </w:rPr>
        <w:t>Δ</w:t>
      </w:r>
      <w:r w:rsidRPr="008047DA">
        <w:rPr>
          <w:bCs/>
          <w:i/>
          <w:iCs/>
        </w:rPr>
        <w:t xml:space="preserve">G </w:t>
      </w:r>
      <w:r w:rsidRPr="008047DA">
        <w:rPr>
          <w:bCs/>
          <w:iCs/>
        </w:rPr>
        <w:t>for the 1</w:t>
      </w:r>
      <w:r w:rsidRPr="008047DA">
        <w:rPr>
          <w:bCs/>
          <w:iCs/>
          <w:vertAlign w:val="superscript"/>
        </w:rPr>
        <w:t>st</w:t>
      </w:r>
      <w:r w:rsidRPr="008047DA">
        <w:rPr>
          <w:bCs/>
          <w:iCs/>
        </w:rPr>
        <w:t xml:space="preserve"> curve for all three sets of titrations produces erroneous values.</w:t>
      </w:r>
      <w:r>
        <w:rPr>
          <w:bCs/>
          <w:iCs/>
        </w:rPr>
        <w:t xml:space="preserve"> This is due to the lack of similar heats at low molar ratios meaning the model has to effectively predict the lower (more favourable) limit of the enthalpy value.  Comparison of the </w:t>
      </w:r>
      <w:r w:rsidRPr="00695390">
        <w:rPr>
          <w:bCs/>
          <w:iCs/>
        </w:rPr>
        <w:t>Δ</w:t>
      </w:r>
      <w:r w:rsidRPr="00EF4F9B">
        <w:rPr>
          <w:bCs/>
          <w:i/>
          <w:iCs/>
        </w:rPr>
        <w:t>G</w:t>
      </w:r>
      <w:r>
        <w:rPr>
          <w:bCs/>
          <w:i/>
          <w:iCs/>
        </w:rPr>
        <w:t xml:space="preserve"> </w:t>
      </w:r>
      <w:r>
        <w:rPr>
          <w:bCs/>
          <w:iCs/>
        </w:rPr>
        <w:t>calculated by both the independent two site and one site model for the 2nd curve suggest that the interaction becomes stronger with increasing temperature (</w:t>
      </w:r>
      <w:r w:rsidR="0075172E">
        <w:rPr>
          <w:bCs/>
          <w:iCs/>
        </w:rPr>
        <w:fldChar w:fldCharType="begin"/>
      </w:r>
      <w:r>
        <w:rPr>
          <w:bCs/>
          <w:iCs/>
        </w:rPr>
        <w:instrText xml:space="preserve"> REF _Ref442884300 \h </w:instrText>
      </w:r>
      <w:r w:rsidR="0075172E">
        <w:rPr>
          <w:bCs/>
          <w:iCs/>
        </w:rPr>
      </w:r>
      <w:r w:rsidR="0075172E">
        <w:rPr>
          <w:bCs/>
          <w:iCs/>
        </w:rPr>
        <w:fldChar w:fldCharType="separate"/>
      </w:r>
      <w:r w:rsidR="00CB4EDC">
        <w:t xml:space="preserve">Table </w:t>
      </w:r>
      <w:r w:rsidR="00CB4EDC">
        <w:rPr>
          <w:noProof/>
        </w:rPr>
        <w:t>4</w:t>
      </w:r>
      <w:r w:rsidR="00CB4EDC">
        <w:t>.</w:t>
      </w:r>
      <w:r w:rsidR="00CB4EDC">
        <w:rPr>
          <w:noProof/>
        </w:rPr>
        <w:t>3</w:t>
      </w:r>
      <w:r w:rsidR="0075172E">
        <w:rPr>
          <w:bCs/>
          <w:iCs/>
        </w:rPr>
        <w:fldChar w:fldCharType="end"/>
      </w:r>
      <w:r>
        <w:rPr>
          <w:bCs/>
          <w:iCs/>
        </w:rPr>
        <w:t xml:space="preserve">). Trying to model the binding isotherm as cooperative binding produced </w:t>
      </w:r>
      <w:r w:rsidRPr="00E12633">
        <w:rPr>
          <w:bCs/>
          <w:iCs/>
        </w:rPr>
        <w:t>Δ</w:t>
      </w:r>
      <w:r w:rsidRPr="00E12633">
        <w:rPr>
          <w:bCs/>
          <w:i/>
          <w:iCs/>
        </w:rPr>
        <w:t>H</w:t>
      </w:r>
      <w:r>
        <w:rPr>
          <w:bCs/>
          <w:i/>
          <w:iCs/>
        </w:rPr>
        <w:t xml:space="preserve"> </w:t>
      </w:r>
      <w:r>
        <w:rPr>
          <w:bCs/>
          <w:iCs/>
        </w:rPr>
        <w:t xml:space="preserve">of -823 kJ/mol for the first site and 2000 </w:t>
      </w:r>
      <w:r w:rsidRPr="00E12633">
        <w:rPr>
          <w:bCs/>
          <w:iCs/>
        </w:rPr>
        <w:t xml:space="preserve">kJ/mol </w:t>
      </w:r>
      <w:r>
        <w:rPr>
          <w:bCs/>
          <w:iCs/>
        </w:rPr>
        <w:t xml:space="preserve">for the second. These values are far too high for the binding interactions and are similar in magnitude but not in sign to protein denaturation </w:t>
      </w:r>
      <w:r w:rsidRPr="001B3B8C">
        <w:rPr>
          <w:bCs/>
          <w:iCs/>
        </w:rPr>
        <w:t>Δ</w:t>
      </w:r>
      <w:r w:rsidRPr="001B3B8C">
        <w:rPr>
          <w:bCs/>
          <w:i/>
          <w:iCs/>
        </w:rPr>
        <w:t>H</w:t>
      </w:r>
      <w:r>
        <w:rPr>
          <w:bCs/>
          <w:iCs/>
        </w:rPr>
        <w:t xml:space="preserve">. </w:t>
      </w:r>
    </w:p>
    <w:p w:rsidR="008E6BF7" w:rsidRPr="00865C6F" w:rsidRDefault="00343A08" w:rsidP="00865C6F">
      <w:pPr>
        <w:pStyle w:val="Caption"/>
        <w:keepNext/>
        <w:spacing w:line="480" w:lineRule="auto"/>
        <w:jc w:val="center"/>
      </w:pPr>
      <w:bookmarkStart w:id="176" w:name="_Ref442884300"/>
      <w:r>
        <w:t xml:space="preserve">Table </w:t>
      </w:r>
      <w:r w:rsidR="0075172E">
        <w:fldChar w:fldCharType="begin"/>
      </w:r>
      <w:r w:rsidR="00AC2227">
        <w:instrText xml:space="preserve"> STYLEREF 1 \s </w:instrText>
      </w:r>
      <w:r w:rsidR="0075172E">
        <w:fldChar w:fldCharType="separate"/>
      </w:r>
      <w:r w:rsidR="00E71593">
        <w:rPr>
          <w:noProof/>
        </w:rPr>
        <w:t>4</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3</w:t>
      </w:r>
      <w:r w:rsidR="0075172E">
        <w:fldChar w:fldCharType="end"/>
      </w:r>
      <w:bookmarkEnd w:id="176"/>
      <w:r w:rsidR="008E6BF7" w:rsidRPr="005A7534">
        <w:rPr>
          <w:b w:val="0"/>
          <w:bCs w:val="0"/>
          <w:iCs/>
        </w:rPr>
        <w:t xml:space="preserve">: </w:t>
      </w:r>
      <w:r w:rsidR="008E6BF7" w:rsidRPr="00865C6F">
        <w:rPr>
          <w:bCs w:val="0"/>
          <w:iCs/>
        </w:rPr>
        <w:t>Thermodynamic values derived from ITC binding isotherms for phytate-lysozyme interaction at 25</w:t>
      </w:r>
      <w:r w:rsidR="008E6BF7" w:rsidRPr="00865C6F">
        <w:rPr>
          <w:bCs w:val="0"/>
          <w:iCs/>
        </w:rPr>
        <w:sym w:font="Mathematica1" w:char="F0B0"/>
      </w:r>
      <w:r w:rsidR="008E6BF7" w:rsidRPr="00865C6F">
        <w:rPr>
          <w:bCs w:val="0"/>
          <w:iCs/>
        </w:rPr>
        <w:t xml:space="preserve">C using the </w:t>
      </w:r>
      <w:r w:rsidR="00B51731" w:rsidRPr="00865C6F">
        <w:rPr>
          <w:bCs w:val="0"/>
          <w:iCs/>
        </w:rPr>
        <w:t>two-site</w:t>
      </w:r>
      <w:r w:rsidR="008E6BF7" w:rsidRPr="00865C6F">
        <w:rPr>
          <w:bCs w:val="0"/>
          <w:iCs/>
        </w:rPr>
        <w:t xml:space="preserve"> model.</w:t>
      </w:r>
      <w:r w:rsidR="00066430">
        <w:rPr>
          <w:bCs w:val="0"/>
          <w:iCs/>
        </w:rPr>
        <w:t xml:space="preserve"> </w:t>
      </w:r>
      <w:r w:rsidR="00066430">
        <w:rPr>
          <w:iCs/>
        </w:rPr>
        <w:t>The standard error (bold) and the confidence intervals (italics) are in brackets.</w:t>
      </w:r>
    </w:p>
    <w:tbl>
      <w:tblPr>
        <w:tblW w:w="0" w:type="auto"/>
        <w:jc w:val="center"/>
        <w:tblCellMar>
          <w:left w:w="0" w:type="dxa"/>
          <w:right w:w="0" w:type="dxa"/>
        </w:tblCellMar>
        <w:tblLook w:val="04A0" w:firstRow="1" w:lastRow="0" w:firstColumn="1" w:lastColumn="0" w:noHBand="0" w:noVBand="1"/>
      </w:tblPr>
      <w:tblGrid>
        <w:gridCol w:w="770"/>
        <w:gridCol w:w="770"/>
        <w:gridCol w:w="770"/>
        <w:gridCol w:w="1150"/>
        <w:gridCol w:w="770"/>
        <w:gridCol w:w="770"/>
        <w:gridCol w:w="770"/>
        <w:gridCol w:w="1150"/>
      </w:tblGrid>
      <w:tr w:rsidR="008E6BF7" w:rsidRPr="005A7534" w:rsidTr="006C756E">
        <w:trPr>
          <w:trHeight w:val="993"/>
          <w:jc w:val="center"/>
        </w:trPr>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5A7534" w:rsidRDefault="006C756E" w:rsidP="006C756E">
            <w:pPr>
              <w:spacing w:line="480" w:lineRule="auto"/>
              <w:jc w:val="center"/>
              <w:rPr>
                <w:bCs/>
                <w:iCs/>
                <w:sz w:val="16"/>
                <w:szCs w:val="16"/>
              </w:rPr>
            </w:pPr>
            <w:r>
              <w:rPr>
                <w:b/>
                <w:bCs/>
                <w:iCs/>
                <w:sz w:val="16"/>
                <w:szCs w:val="16"/>
              </w:rPr>
              <w:t>-</w:t>
            </w:r>
            <w:r w:rsidR="008E6BF7" w:rsidRPr="005A7534">
              <w:rPr>
                <w:b/>
                <w:bCs/>
                <w:iCs/>
                <w:sz w:val="16"/>
                <w:szCs w:val="16"/>
              </w:rPr>
              <w:t>Δ</w:t>
            </w:r>
            <w:r w:rsidR="008E6BF7" w:rsidRPr="005A7534">
              <w:rPr>
                <w:b/>
                <w:bCs/>
                <w:i/>
                <w:iCs/>
                <w:sz w:val="16"/>
                <w:szCs w:val="16"/>
              </w:rPr>
              <w:t>H</w:t>
            </w:r>
            <w:r w:rsidR="008E6BF7" w:rsidRPr="005A7534">
              <w:rPr>
                <w:b/>
                <w:bCs/>
                <w:i/>
                <w:iCs/>
                <w:sz w:val="16"/>
                <w:szCs w:val="16"/>
                <w:vertAlign w:val="subscript"/>
              </w:rPr>
              <w:t>1</w:t>
            </w:r>
            <w:r w:rsidR="008E6BF7" w:rsidRPr="005A7534">
              <w:rPr>
                <w:b/>
                <w:bCs/>
                <w:iCs/>
                <w:sz w:val="16"/>
                <w:szCs w:val="16"/>
                <w:vertAlign w:val="subscript"/>
              </w:rPr>
              <w:t> </w:t>
            </w:r>
          </w:p>
          <w:p w:rsidR="008E6BF7" w:rsidRPr="005A7534" w:rsidRDefault="008E6BF7" w:rsidP="006C756E">
            <w:pPr>
              <w:spacing w:line="480" w:lineRule="auto"/>
              <w:jc w:val="center"/>
              <w:rPr>
                <w:bCs/>
                <w:iCs/>
                <w:sz w:val="16"/>
                <w:szCs w:val="16"/>
              </w:rPr>
            </w:pPr>
            <w:r w:rsidRPr="005A7534">
              <w:rPr>
                <w:b/>
                <w:bCs/>
                <w:iCs/>
                <w:sz w:val="16"/>
                <w:szCs w:val="16"/>
              </w:rPr>
              <w:t>(kJ/mol)</w:t>
            </w:r>
          </w:p>
          <w:p w:rsidR="008E6BF7" w:rsidRPr="005A7534" w:rsidRDefault="008E6BF7" w:rsidP="006C756E">
            <w:pPr>
              <w:spacing w:line="480" w:lineRule="auto"/>
              <w:jc w:val="center"/>
              <w:rPr>
                <w:bCs/>
                <w:iCs/>
                <w:sz w:val="16"/>
                <w:szCs w:val="16"/>
              </w:rPr>
            </w:pP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5A7534" w:rsidRDefault="006C756E" w:rsidP="006C756E">
            <w:pPr>
              <w:spacing w:line="480" w:lineRule="auto"/>
              <w:jc w:val="center"/>
              <w:rPr>
                <w:bCs/>
                <w:iCs/>
                <w:sz w:val="16"/>
                <w:szCs w:val="16"/>
              </w:rPr>
            </w:pPr>
            <w:r>
              <w:rPr>
                <w:b/>
                <w:bCs/>
                <w:i/>
                <w:iCs/>
                <w:sz w:val="16"/>
                <w:szCs w:val="16"/>
              </w:rPr>
              <w:t>-</w:t>
            </w:r>
            <w:r w:rsidR="008E6BF7" w:rsidRPr="005A7534">
              <w:rPr>
                <w:b/>
                <w:bCs/>
                <w:i/>
                <w:iCs/>
                <w:sz w:val="16"/>
                <w:szCs w:val="16"/>
              </w:rPr>
              <w:t>T</w:t>
            </w:r>
            <w:r w:rsidR="008E6BF7" w:rsidRPr="005A7534">
              <w:rPr>
                <w:b/>
                <w:bCs/>
                <w:iCs/>
                <w:sz w:val="16"/>
                <w:szCs w:val="16"/>
              </w:rPr>
              <w:t>Δ</w:t>
            </w:r>
            <w:r w:rsidR="008E6BF7" w:rsidRPr="005A7534">
              <w:rPr>
                <w:b/>
                <w:bCs/>
                <w:i/>
                <w:iCs/>
                <w:sz w:val="16"/>
                <w:szCs w:val="16"/>
              </w:rPr>
              <w:t>S</w:t>
            </w:r>
            <w:r w:rsidR="008E6BF7" w:rsidRPr="005A7534">
              <w:rPr>
                <w:b/>
                <w:bCs/>
                <w:iCs/>
                <w:sz w:val="16"/>
                <w:szCs w:val="16"/>
                <w:vertAlign w:val="subscript"/>
              </w:rPr>
              <w:t>1</w:t>
            </w:r>
          </w:p>
          <w:p w:rsidR="008E6BF7" w:rsidRPr="005A7534" w:rsidRDefault="008E6BF7" w:rsidP="006C756E">
            <w:pPr>
              <w:spacing w:line="480" w:lineRule="auto"/>
              <w:jc w:val="center"/>
              <w:rPr>
                <w:b/>
                <w:bCs/>
                <w:iCs/>
                <w:sz w:val="16"/>
                <w:szCs w:val="16"/>
              </w:rPr>
            </w:pPr>
            <w:r w:rsidRPr="005A7534">
              <w:rPr>
                <w:b/>
                <w:bCs/>
                <w:iCs/>
                <w:sz w:val="16"/>
                <w:szCs w:val="16"/>
              </w:rPr>
              <w:t>(kJ/mol)</w:t>
            </w:r>
          </w:p>
          <w:p w:rsidR="008E6BF7" w:rsidRPr="005A7534" w:rsidRDefault="008E6BF7" w:rsidP="006C756E">
            <w:pPr>
              <w:spacing w:line="480" w:lineRule="auto"/>
              <w:jc w:val="center"/>
              <w:rPr>
                <w:bCs/>
                <w:iCs/>
                <w:sz w:val="16"/>
                <w:szCs w:val="16"/>
              </w:rPr>
            </w:pP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5A7534" w:rsidRDefault="006C756E" w:rsidP="006C756E">
            <w:pPr>
              <w:spacing w:line="480" w:lineRule="auto"/>
              <w:jc w:val="center"/>
              <w:rPr>
                <w:bCs/>
                <w:iCs/>
                <w:sz w:val="16"/>
                <w:szCs w:val="16"/>
              </w:rPr>
            </w:pPr>
            <w:r>
              <w:rPr>
                <w:b/>
                <w:bCs/>
                <w:iCs/>
                <w:sz w:val="16"/>
                <w:szCs w:val="16"/>
              </w:rPr>
              <w:t>-</w:t>
            </w:r>
            <w:r w:rsidR="008E6BF7" w:rsidRPr="005A7534">
              <w:rPr>
                <w:b/>
                <w:bCs/>
                <w:iCs/>
                <w:sz w:val="16"/>
                <w:szCs w:val="16"/>
              </w:rPr>
              <w:t>Δ</w:t>
            </w:r>
            <w:r w:rsidR="008E6BF7" w:rsidRPr="005A7534">
              <w:rPr>
                <w:b/>
                <w:bCs/>
                <w:i/>
                <w:iCs/>
                <w:sz w:val="16"/>
                <w:szCs w:val="16"/>
              </w:rPr>
              <w:t>G</w:t>
            </w:r>
            <w:r w:rsidR="008E6BF7" w:rsidRPr="005A7534">
              <w:rPr>
                <w:b/>
                <w:bCs/>
                <w:iCs/>
                <w:sz w:val="16"/>
                <w:szCs w:val="16"/>
                <w:vertAlign w:val="subscript"/>
              </w:rPr>
              <w:t>1</w:t>
            </w:r>
          </w:p>
          <w:p w:rsidR="008E6BF7" w:rsidRPr="005A7534" w:rsidRDefault="008E6BF7" w:rsidP="006C756E">
            <w:pPr>
              <w:spacing w:line="480" w:lineRule="auto"/>
              <w:jc w:val="center"/>
              <w:rPr>
                <w:bCs/>
                <w:iCs/>
                <w:sz w:val="16"/>
                <w:szCs w:val="16"/>
              </w:rPr>
            </w:pPr>
            <w:r w:rsidRPr="005A7534">
              <w:rPr>
                <w:b/>
                <w:bCs/>
                <w:iCs/>
                <w:sz w:val="16"/>
                <w:szCs w:val="16"/>
              </w:rPr>
              <w:t>(kJ/mol)</w:t>
            </w:r>
          </w:p>
          <w:p w:rsidR="008E6BF7" w:rsidRPr="005A7534" w:rsidRDefault="008E6BF7" w:rsidP="006C756E">
            <w:pPr>
              <w:spacing w:line="480" w:lineRule="auto"/>
              <w:jc w:val="center"/>
              <w:rPr>
                <w:bCs/>
                <w:iCs/>
                <w:sz w:val="16"/>
                <w:szCs w:val="16"/>
              </w:rPr>
            </w:pP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8E6BF7" w:rsidRDefault="006C756E" w:rsidP="006C756E">
            <w:pPr>
              <w:spacing w:line="480" w:lineRule="auto"/>
              <w:jc w:val="center"/>
              <w:rPr>
                <w:b/>
                <w:bCs/>
                <w:iCs/>
                <w:sz w:val="16"/>
                <w:szCs w:val="16"/>
                <w:vertAlign w:val="subscript"/>
              </w:rPr>
            </w:pPr>
            <w:r>
              <w:rPr>
                <w:b/>
                <w:bCs/>
                <w:iCs/>
                <w:sz w:val="16"/>
                <w:szCs w:val="16"/>
              </w:rPr>
              <w:t>Stoichiometry</w:t>
            </w:r>
          </w:p>
          <w:p w:rsidR="006C756E" w:rsidRPr="006C756E" w:rsidRDefault="006C756E" w:rsidP="006C756E">
            <w:pPr>
              <w:spacing w:line="480" w:lineRule="auto"/>
              <w:jc w:val="center"/>
              <w:rPr>
                <w:bCs/>
                <w:iCs/>
                <w:sz w:val="16"/>
                <w:szCs w:val="16"/>
              </w:rPr>
            </w:pPr>
            <w:r>
              <w:rPr>
                <w:b/>
                <w:bCs/>
                <w:iCs/>
                <w:sz w:val="16"/>
                <w:szCs w:val="16"/>
              </w:rPr>
              <w:t>n</w:t>
            </w:r>
            <w:r w:rsidRPr="006C756E">
              <w:rPr>
                <w:b/>
                <w:bCs/>
                <w:iCs/>
                <w:sz w:val="16"/>
                <w:szCs w:val="16"/>
                <w:vertAlign w:val="subscript"/>
              </w:rPr>
              <w:t>1</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5A7534" w:rsidRDefault="006C756E" w:rsidP="006C756E">
            <w:pPr>
              <w:spacing w:line="480" w:lineRule="auto"/>
              <w:jc w:val="center"/>
              <w:rPr>
                <w:bCs/>
                <w:iCs/>
                <w:sz w:val="16"/>
                <w:szCs w:val="16"/>
              </w:rPr>
            </w:pPr>
            <w:r>
              <w:rPr>
                <w:b/>
                <w:bCs/>
                <w:iCs/>
                <w:sz w:val="16"/>
                <w:szCs w:val="16"/>
              </w:rPr>
              <w:t>-</w:t>
            </w:r>
            <w:r w:rsidR="008E6BF7" w:rsidRPr="005A7534">
              <w:rPr>
                <w:b/>
                <w:bCs/>
                <w:iCs/>
                <w:sz w:val="16"/>
                <w:szCs w:val="16"/>
              </w:rPr>
              <w:t>Δ</w:t>
            </w:r>
            <w:r w:rsidR="008E6BF7" w:rsidRPr="005A7534">
              <w:rPr>
                <w:b/>
                <w:bCs/>
                <w:i/>
                <w:iCs/>
                <w:sz w:val="16"/>
                <w:szCs w:val="16"/>
              </w:rPr>
              <w:t>H</w:t>
            </w:r>
            <w:r w:rsidR="008E6BF7" w:rsidRPr="005A7534">
              <w:rPr>
                <w:b/>
                <w:bCs/>
                <w:i/>
                <w:iCs/>
                <w:sz w:val="16"/>
                <w:szCs w:val="16"/>
                <w:vertAlign w:val="subscript"/>
              </w:rPr>
              <w:t>2</w:t>
            </w:r>
            <w:r w:rsidR="008E6BF7" w:rsidRPr="005A7534">
              <w:rPr>
                <w:b/>
                <w:bCs/>
                <w:iCs/>
                <w:sz w:val="16"/>
                <w:szCs w:val="16"/>
                <w:vertAlign w:val="subscript"/>
              </w:rPr>
              <w:t> </w:t>
            </w:r>
          </w:p>
          <w:p w:rsidR="008E6BF7" w:rsidRPr="005A7534" w:rsidRDefault="008E6BF7" w:rsidP="006C756E">
            <w:pPr>
              <w:spacing w:line="480" w:lineRule="auto"/>
              <w:jc w:val="center"/>
              <w:rPr>
                <w:bCs/>
                <w:iCs/>
                <w:sz w:val="16"/>
                <w:szCs w:val="16"/>
              </w:rPr>
            </w:pPr>
            <w:r w:rsidRPr="005A7534">
              <w:rPr>
                <w:b/>
                <w:bCs/>
                <w:iCs/>
                <w:sz w:val="16"/>
                <w:szCs w:val="16"/>
              </w:rPr>
              <w:t>(kJ/mol)</w:t>
            </w:r>
          </w:p>
          <w:p w:rsidR="008E6BF7" w:rsidRPr="005A7534" w:rsidRDefault="008E6BF7" w:rsidP="006C756E">
            <w:pPr>
              <w:spacing w:line="480" w:lineRule="auto"/>
              <w:jc w:val="center"/>
              <w:rPr>
                <w:bCs/>
                <w:iCs/>
                <w:sz w:val="16"/>
                <w:szCs w:val="16"/>
              </w:rPr>
            </w:pP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5A7534" w:rsidRDefault="006C756E" w:rsidP="006C756E">
            <w:pPr>
              <w:spacing w:line="480" w:lineRule="auto"/>
              <w:jc w:val="center"/>
              <w:rPr>
                <w:bCs/>
                <w:iCs/>
                <w:sz w:val="16"/>
                <w:szCs w:val="16"/>
              </w:rPr>
            </w:pPr>
            <w:r>
              <w:rPr>
                <w:b/>
                <w:bCs/>
                <w:i/>
                <w:iCs/>
                <w:sz w:val="16"/>
                <w:szCs w:val="16"/>
              </w:rPr>
              <w:t>-</w:t>
            </w:r>
            <w:r w:rsidR="008E6BF7" w:rsidRPr="005A7534">
              <w:rPr>
                <w:b/>
                <w:bCs/>
                <w:i/>
                <w:iCs/>
                <w:sz w:val="16"/>
                <w:szCs w:val="16"/>
              </w:rPr>
              <w:t>T</w:t>
            </w:r>
            <w:r w:rsidR="008E6BF7" w:rsidRPr="005A7534">
              <w:rPr>
                <w:b/>
                <w:bCs/>
                <w:iCs/>
                <w:sz w:val="16"/>
                <w:szCs w:val="16"/>
              </w:rPr>
              <w:t>Δ</w:t>
            </w:r>
            <w:r w:rsidR="008E6BF7" w:rsidRPr="005A7534">
              <w:rPr>
                <w:b/>
                <w:bCs/>
                <w:i/>
                <w:iCs/>
                <w:sz w:val="16"/>
                <w:szCs w:val="16"/>
              </w:rPr>
              <w:t>S</w:t>
            </w:r>
            <w:r w:rsidR="008E6BF7" w:rsidRPr="005A7534">
              <w:rPr>
                <w:b/>
                <w:bCs/>
                <w:i/>
                <w:iCs/>
                <w:sz w:val="16"/>
                <w:szCs w:val="16"/>
                <w:vertAlign w:val="subscript"/>
              </w:rPr>
              <w:t>2</w:t>
            </w:r>
          </w:p>
          <w:p w:rsidR="008E6BF7" w:rsidRPr="005A7534" w:rsidRDefault="008E6BF7" w:rsidP="006C756E">
            <w:pPr>
              <w:spacing w:line="480" w:lineRule="auto"/>
              <w:jc w:val="center"/>
              <w:rPr>
                <w:bCs/>
                <w:iCs/>
                <w:sz w:val="16"/>
                <w:szCs w:val="16"/>
              </w:rPr>
            </w:pPr>
            <w:r w:rsidRPr="005A7534">
              <w:rPr>
                <w:b/>
                <w:bCs/>
                <w:iCs/>
                <w:sz w:val="16"/>
                <w:szCs w:val="16"/>
              </w:rPr>
              <w:t>(kJ/mol)</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8E6BF7" w:rsidRPr="005A7534" w:rsidRDefault="006C756E" w:rsidP="006C756E">
            <w:pPr>
              <w:spacing w:line="480" w:lineRule="auto"/>
              <w:jc w:val="center"/>
              <w:rPr>
                <w:bCs/>
                <w:iCs/>
                <w:sz w:val="16"/>
                <w:szCs w:val="16"/>
              </w:rPr>
            </w:pPr>
            <w:r>
              <w:rPr>
                <w:b/>
                <w:bCs/>
                <w:iCs/>
                <w:sz w:val="16"/>
                <w:szCs w:val="16"/>
              </w:rPr>
              <w:t>-</w:t>
            </w:r>
            <w:r w:rsidR="008E6BF7" w:rsidRPr="005A7534">
              <w:rPr>
                <w:b/>
                <w:bCs/>
                <w:iCs/>
                <w:sz w:val="16"/>
                <w:szCs w:val="16"/>
              </w:rPr>
              <w:t>Δ</w:t>
            </w:r>
            <w:r w:rsidR="008E6BF7" w:rsidRPr="005A7534">
              <w:rPr>
                <w:b/>
                <w:bCs/>
                <w:i/>
                <w:iCs/>
                <w:sz w:val="16"/>
                <w:szCs w:val="16"/>
              </w:rPr>
              <w:t>G</w:t>
            </w:r>
            <w:r w:rsidR="008E6BF7" w:rsidRPr="005A7534">
              <w:rPr>
                <w:b/>
                <w:bCs/>
                <w:iCs/>
                <w:sz w:val="16"/>
                <w:szCs w:val="16"/>
                <w:vertAlign w:val="subscript"/>
              </w:rPr>
              <w:t>2</w:t>
            </w:r>
          </w:p>
          <w:p w:rsidR="008E6BF7" w:rsidRPr="005A7534" w:rsidRDefault="008E6BF7" w:rsidP="006C756E">
            <w:pPr>
              <w:spacing w:line="480" w:lineRule="auto"/>
              <w:jc w:val="center"/>
              <w:rPr>
                <w:bCs/>
                <w:iCs/>
                <w:sz w:val="16"/>
                <w:szCs w:val="16"/>
              </w:rPr>
            </w:pPr>
            <w:r w:rsidRPr="005A7534">
              <w:rPr>
                <w:b/>
                <w:bCs/>
                <w:iCs/>
                <w:sz w:val="16"/>
                <w:szCs w:val="16"/>
              </w:rPr>
              <w:t>(kJ/mol)</w:t>
            </w:r>
          </w:p>
          <w:p w:rsidR="008E6BF7" w:rsidRPr="005A7534" w:rsidRDefault="008E6BF7" w:rsidP="006C756E">
            <w:pPr>
              <w:spacing w:line="480" w:lineRule="auto"/>
              <w:jc w:val="center"/>
              <w:rPr>
                <w:bCs/>
                <w:iCs/>
                <w:sz w:val="16"/>
                <w:szCs w:val="16"/>
              </w:rPr>
            </w:pP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6C756E" w:rsidRDefault="006C756E" w:rsidP="006C756E">
            <w:pPr>
              <w:spacing w:line="480" w:lineRule="auto"/>
              <w:jc w:val="center"/>
              <w:rPr>
                <w:b/>
                <w:bCs/>
                <w:iCs/>
                <w:sz w:val="16"/>
                <w:szCs w:val="16"/>
                <w:vertAlign w:val="subscript"/>
              </w:rPr>
            </w:pPr>
            <w:r>
              <w:rPr>
                <w:b/>
                <w:bCs/>
                <w:iCs/>
                <w:sz w:val="16"/>
                <w:szCs w:val="16"/>
              </w:rPr>
              <w:t>Stoichiometry</w:t>
            </w:r>
          </w:p>
          <w:p w:rsidR="008E6BF7" w:rsidRPr="0014785B" w:rsidRDefault="006C756E" w:rsidP="006C756E">
            <w:pPr>
              <w:spacing w:line="480" w:lineRule="auto"/>
              <w:jc w:val="center"/>
              <w:rPr>
                <w:b/>
                <w:bCs/>
                <w:iCs/>
                <w:sz w:val="16"/>
                <w:szCs w:val="16"/>
              </w:rPr>
            </w:pPr>
            <w:r w:rsidRPr="0014785B">
              <w:rPr>
                <w:b/>
                <w:bCs/>
                <w:iCs/>
                <w:sz w:val="16"/>
                <w:szCs w:val="16"/>
              </w:rPr>
              <w:t>n</w:t>
            </w:r>
            <w:r w:rsidRPr="0014785B">
              <w:rPr>
                <w:b/>
                <w:bCs/>
                <w:iCs/>
                <w:sz w:val="16"/>
                <w:szCs w:val="16"/>
                <w:vertAlign w:val="subscript"/>
              </w:rPr>
              <w:t>2</w:t>
            </w:r>
          </w:p>
        </w:tc>
      </w:tr>
      <w:tr w:rsidR="008E6BF7" w:rsidRPr="005A7534" w:rsidTr="006C756E">
        <w:trPr>
          <w:trHeight w:val="1206"/>
          <w:jc w:val="center"/>
        </w:trPr>
        <w:tc>
          <w:tcPr>
            <w:tcW w:w="0" w:type="auto"/>
            <w:tcBorders>
              <w:top w:val="single" w:sz="4" w:space="0" w:color="auto"/>
              <w:bottom w:val="single" w:sz="4" w:space="0" w:color="auto"/>
            </w:tcBorders>
            <w:shd w:val="clear" w:color="auto" w:fill="auto"/>
            <w:tcMar>
              <w:top w:w="15" w:type="dxa"/>
              <w:left w:w="108" w:type="dxa"/>
              <w:bottom w:w="0" w:type="dxa"/>
              <w:right w:w="108" w:type="dxa"/>
            </w:tcMar>
          </w:tcPr>
          <w:p w:rsidR="008E6BF7" w:rsidRDefault="00A86E96" w:rsidP="006C756E">
            <w:pPr>
              <w:spacing w:line="480" w:lineRule="auto"/>
              <w:jc w:val="center"/>
              <w:rPr>
                <w:bCs/>
                <w:iCs/>
                <w:sz w:val="16"/>
                <w:szCs w:val="16"/>
              </w:rPr>
            </w:pPr>
            <w:r>
              <w:rPr>
                <w:bCs/>
                <w:iCs/>
                <w:sz w:val="16"/>
                <w:szCs w:val="16"/>
              </w:rPr>
              <w:t>30</w:t>
            </w:r>
          </w:p>
          <w:p w:rsidR="00BC4A16" w:rsidRDefault="008E6BF7" w:rsidP="006C756E">
            <w:pPr>
              <w:spacing w:line="480" w:lineRule="auto"/>
              <w:jc w:val="center"/>
              <w:rPr>
                <w:b/>
                <w:bCs/>
                <w:iCs/>
                <w:sz w:val="16"/>
                <w:szCs w:val="16"/>
              </w:rPr>
            </w:pPr>
            <w:r w:rsidRPr="00071664">
              <w:rPr>
                <w:b/>
                <w:bCs/>
                <w:iCs/>
                <w:sz w:val="16"/>
                <w:szCs w:val="16"/>
              </w:rPr>
              <w:t>(±</w:t>
            </w:r>
            <w:r w:rsidR="00BF1CE8">
              <w:rPr>
                <w:b/>
                <w:bCs/>
                <w:iCs/>
                <w:sz w:val="16"/>
                <w:szCs w:val="16"/>
              </w:rPr>
              <w:t>12</w:t>
            </w:r>
            <w:r w:rsidRPr="00071664">
              <w:rPr>
                <w:b/>
                <w:bCs/>
                <w:iCs/>
                <w:sz w:val="16"/>
                <w:szCs w:val="16"/>
              </w:rPr>
              <w:t>)</w:t>
            </w:r>
          </w:p>
          <w:p w:rsidR="008E6BF7" w:rsidRPr="00BC4A16" w:rsidRDefault="008E6BF7" w:rsidP="00BC4A16">
            <w:pPr>
              <w:spacing w:line="480" w:lineRule="auto"/>
              <w:jc w:val="center"/>
              <w:rPr>
                <w:bCs/>
                <w:i/>
                <w:iCs/>
                <w:sz w:val="16"/>
                <w:szCs w:val="16"/>
              </w:rPr>
            </w:pPr>
            <w:r w:rsidRPr="00071664">
              <w:rPr>
                <w:b/>
                <w:bCs/>
                <w:iCs/>
                <w:sz w:val="16"/>
                <w:szCs w:val="16"/>
              </w:rPr>
              <w:t xml:space="preserve"> </w:t>
            </w:r>
            <w:r w:rsidR="00BC4A16" w:rsidRPr="00BC4A16">
              <w:rPr>
                <w:bCs/>
                <w:i/>
                <w:iCs/>
                <w:sz w:val="16"/>
                <w:szCs w:val="16"/>
              </w:rPr>
              <w:t>(±</w:t>
            </w:r>
            <w:r w:rsidR="00BC4A16">
              <w:rPr>
                <w:bCs/>
                <w:i/>
                <w:iCs/>
                <w:sz w:val="16"/>
                <w:szCs w:val="16"/>
              </w:rPr>
              <w:t>31</w:t>
            </w:r>
            <w:r w:rsidR="00BC4A16" w:rsidRPr="00BC4A16">
              <w:rPr>
                <w:bCs/>
                <w:i/>
                <w:iCs/>
                <w:sz w:val="16"/>
                <w:szCs w:val="16"/>
              </w:rPr>
              <w:t>)</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tcPr>
          <w:p w:rsidR="008E6BF7" w:rsidRDefault="008E6BF7" w:rsidP="006C756E">
            <w:pPr>
              <w:spacing w:line="480" w:lineRule="auto"/>
              <w:jc w:val="center"/>
              <w:rPr>
                <w:bCs/>
                <w:iCs/>
                <w:sz w:val="16"/>
                <w:szCs w:val="16"/>
              </w:rPr>
            </w:pPr>
            <w:r w:rsidRPr="005A7534">
              <w:rPr>
                <w:bCs/>
                <w:iCs/>
                <w:sz w:val="16"/>
                <w:szCs w:val="16"/>
              </w:rPr>
              <w:t>49.2</w:t>
            </w:r>
          </w:p>
          <w:p w:rsidR="008E6BF7" w:rsidRPr="00071664" w:rsidRDefault="008E6BF7" w:rsidP="00BF1CE8">
            <w:pPr>
              <w:spacing w:line="480" w:lineRule="auto"/>
              <w:jc w:val="center"/>
              <w:rPr>
                <w:b/>
                <w:bCs/>
                <w:iCs/>
                <w:sz w:val="16"/>
                <w:szCs w:val="16"/>
              </w:rPr>
            </w:pPr>
            <w:r w:rsidRPr="00071664">
              <w:rPr>
                <w:b/>
                <w:bCs/>
                <w:iCs/>
                <w:sz w:val="16"/>
                <w:szCs w:val="16"/>
              </w:rPr>
              <w:t>(±</w:t>
            </w:r>
            <w:r w:rsidR="00BF1CE8">
              <w:rPr>
                <w:b/>
                <w:bCs/>
                <w:iCs/>
                <w:sz w:val="16"/>
                <w:szCs w:val="16"/>
              </w:rPr>
              <w:t>17</w:t>
            </w:r>
            <w:r w:rsidRPr="00071664">
              <w:rPr>
                <w:b/>
                <w:bCs/>
                <w:iCs/>
                <w:sz w:val="16"/>
                <w:szCs w:val="16"/>
              </w:rPr>
              <w:t xml:space="preserve">) </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tcPr>
          <w:p w:rsidR="006C756E" w:rsidRDefault="008E6BF7" w:rsidP="006C756E">
            <w:pPr>
              <w:spacing w:line="480" w:lineRule="auto"/>
              <w:jc w:val="center"/>
              <w:rPr>
                <w:bCs/>
                <w:iCs/>
                <w:sz w:val="16"/>
                <w:szCs w:val="16"/>
              </w:rPr>
            </w:pPr>
            <w:r w:rsidRPr="005A7534">
              <w:rPr>
                <w:bCs/>
                <w:iCs/>
                <w:sz w:val="16"/>
                <w:szCs w:val="16"/>
              </w:rPr>
              <w:t xml:space="preserve">27.7 </w:t>
            </w:r>
          </w:p>
          <w:p w:rsidR="00071664" w:rsidRDefault="00071664" w:rsidP="00071664">
            <w:pPr>
              <w:tabs>
                <w:tab w:val="center" w:pos="277"/>
              </w:tabs>
              <w:spacing w:line="480" w:lineRule="auto"/>
              <w:rPr>
                <w:b/>
                <w:bCs/>
                <w:iCs/>
                <w:sz w:val="16"/>
                <w:szCs w:val="16"/>
              </w:rPr>
            </w:pPr>
            <w:r w:rsidRPr="00071664">
              <w:rPr>
                <w:b/>
                <w:bCs/>
                <w:iCs/>
                <w:sz w:val="16"/>
                <w:szCs w:val="16"/>
              </w:rPr>
              <w:tab/>
            </w:r>
            <w:r w:rsidR="00BF1CE8">
              <w:rPr>
                <w:b/>
                <w:bCs/>
                <w:iCs/>
                <w:sz w:val="16"/>
                <w:szCs w:val="16"/>
              </w:rPr>
              <w:t>(±3</w:t>
            </w:r>
            <w:r w:rsidR="008E6BF7" w:rsidRPr="00071664">
              <w:rPr>
                <w:b/>
                <w:bCs/>
                <w:iCs/>
                <w:sz w:val="16"/>
                <w:szCs w:val="16"/>
              </w:rPr>
              <w:t>)</w:t>
            </w:r>
          </w:p>
          <w:p w:rsidR="008E6BF7" w:rsidRPr="003203AD" w:rsidRDefault="003203AD" w:rsidP="003203AD">
            <w:pPr>
              <w:tabs>
                <w:tab w:val="center" w:pos="277"/>
              </w:tabs>
              <w:spacing w:line="480" w:lineRule="auto"/>
              <w:rPr>
                <w:b/>
                <w:bCs/>
                <w:iCs/>
                <w:sz w:val="16"/>
                <w:szCs w:val="16"/>
              </w:rPr>
            </w:pPr>
            <w:r w:rsidRPr="00BC4A16">
              <w:rPr>
                <w:bCs/>
                <w:i/>
                <w:iCs/>
                <w:sz w:val="16"/>
                <w:szCs w:val="16"/>
              </w:rPr>
              <w:t>(±</w:t>
            </w:r>
            <w:r>
              <w:rPr>
                <w:bCs/>
                <w:i/>
                <w:iCs/>
                <w:sz w:val="16"/>
                <w:szCs w:val="16"/>
              </w:rPr>
              <w:t>8</w:t>
            </w:r>
            <w:r w:rsidRPr="00BC4A16">
              <w:rPr>
                <w:bCs/>
                <w:i/>
                <w:iCs/>
                <w:sz w:val="16"/>
                <w:szCs w:val="16"/>
              </w:rPr>
              <w:t>)</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tcPr>
          <w:p w:rsidR="006C756E" w:rsidRDefault="008E6BF7" w:rsidP="006C756E">
            <w:pPr>
              <w:spacing w:line="480" w:lineRule="auto"/>
              <w:jc w:val="center"/>
              <w:rPr>
                <w:bCs/>
                <w:iCs/>
                <w:sz w:val="16"/>
                <w:szCs w:val="16"/>
              </w:rPr>
            </w:pPr>
            <w:r w:rsidRPr="005A7534">
              <w:rPr>
                <w:bCs/>
                <w:iCs/>
                <w:sz w:val="16"/>
                <w:szCs w:val="16"/>
              </w:rPr>
              <w:t xml:space="preserve">0.2 </w:t>
            </w:r>
          </w:p>
          <w:p w:rsidR="008E6BF7" w:rsidRDefault="008E6BF7" w:rsidP="006C756E">
            <w:pPr>
              <w:spacing w:line="480" w:lineRule="auto"/>
              <w:jc w:val="center"/>
              <w:rPr>
                <w:b/>
                <w:bCs/>
                <w:iCs/>
                <w:sz w:val="16"/>
                <w:szCs w:val="16"/>
              </w:rPr>
            </w:pPr>
            <w:r w:rsidRPr="00071664">
              <w:rPr>
                <w:b/>
                <w:bCs/>
                <w:iCs/>
                <w:sz w:val="16"/>
                <w:szCs w:val="16"/>
              </w:rPr>
              <w:t>(±0.0</w:t>
            </w:r>
            <w:r w:rsidR="00BF1CE8">
              <w:rPr>
                <w:b/>
                <w:bCs/>
                <w:iCs/>
                <w:sz w:val="16"/>
                <w:szCs w:val="16"/>
              </w:rPr>
              <w:t>6</w:t>
            </w:r>
            <w:r w:rsidRPr="00071664">
              <w:rPr>
                <w:b/>
                <w:bCs/>
                <w:iCs/>
                <w:sz w:val="16"/>
                <w:szCs w:val="16"/>
              </w:rPr>
              <w:t>)</w:t>
            </w:r>
            <w:r w:rsidR="006C756E" w:rsidRPr="00071664">
              <w:rPr>
                <w:b/>
                <w:bCs/>
                <w:iCs/>
                <w:sz w:val="16"/>
                <w:szCs w:val="16"/>
              </w:rPr>
              <w:t xml:space="preserve"> </w:t>
            </w:r>
          </w:p>
          <w:p w:rsidR="003203AD" w:rsidRPr="00071664" w:rsidRDefault="003203AD" w:rsidP="003203AD">
            <w:pPr>
              <w:spacing w:line="480" w:lineRule="auto"/>
              <w:jc w:val="center"/>
              <w:rPr>
                <w:b/>
                <w:bCs/>
                <w:iCs/>
                <w:sz w:val="16"/>
                <w:szCs w:val="16"/>
              </w:rPr>
            </w:pPr>
            <w:r w:rsidRPr="00BC4A16">
              <w:rPr>
                <w:bCs/>
                <w:i/>
                <w:iCs/>
                <w:sz w:val="16"/>
                <w:szCs w:val="16"/>
              </w:rPr>
              <w:t>(±</w:t>
            </w:r>
            <w:r>
              <w:rPr>
                <w:bCs/>
                <w:i/>
                <w:iCs/>
                <w:sz w:val="16"/>
                <w:szCs w:val="16"/>
              </w:rPr>
              <w:t>0.1</w:t>
            </w:r>
            <w:r w:rsidRPr="00BC4A16">
              <w:rPr>
                <w:bCs/>
                <w:i/>
                <w:iCs/>
                <w:sz w:val="16"/>
                <w:szCs w:val="16"/>
              </w:rPr>
              <w:t>)</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tcPr>
          <w:p w:rsidR="008E6BF7" w:rsidRDefault="008E6BF7" w:rsidP="006C756E">
            <w:pPr>
              <w:spacing w:line="480" w:lineRule="auto"/>
              <w:jc w:val="center"/>
              <w:rPr>
                <w:bCs/>
                <w:iCs/>
                <w:sz w:val="16"/>
                <w:szCs w:val="16"/>
              </w:rPr>
            </w:pPr>
            <w:r w:rsidRPr="005A7534">
              <w:rPr>
                <w:bCs/>
                <w:iCs/>
                <w:sz w:val="16"/>
                <w:szCs w:val="16"/>
              </w:rPr>
              <w:t xml:space="preserve">-26.6 </w:t>
            </w:r>
          </w:p>
          <w:p w:rsidR="008E6BF7" w:rsidRDefault="008E6BF7" w:rsidP="006C756E">
            <w:pPr>
              <w:spacing w:line="480" w:lineRule="auto"/>
              <w:jc w:val="center"/>
              <w:rPr>
                <w:b/>
                <w:bCs/>
                <w:iCs/>
                <w:sz w:val="16"/>
                <w:szCs w:val="16"/>
              </w:rPr>
            </w:pPr>
            <w:r w:rsidRPr="00071664">
              <w:rPr>
                <w:b/>
                <w:bCs/>
                <w:iCs/>
                <w:sz w:val="16"/>
                <w:szCs w:val="16"/>
              </w:rPr>
              <w:t xml:space="preserve">(±0.5) </w:t>
            </w:r>
          </w:p>
          <w:p w:rsidR="003203AD" w:rsidRPr="00071664" w:rsidRDefault="003203AD" w:rsidP="003203AD">
            <w:pPr>
              <w:spacing w:line="480" w:lineRule="auto"/>
              <w:jc w:val="center"/>
              <w:rPr>
                <w:b/>
                <w:bCs/>
                <w:iCs/>
                <w:sz w:val="16"/>
                <w:szCs w:val="16"/>
              </w:rPr>
            </w:pPr>
            <w:r w:rsidRPr="00BC4A16">
              <w:rPr>
                <w:bCs/>
                <w:i/>
                <w:iCs/>
                <w:sz w:val="16"/>
                <w:szCs w:val="16"/>
              </w:rPr>
              <w:t>(±</w:t>
            </w:r>
            <w:r w:rsidR="00E71593">
              <w:rPr>
                <w:bCs/>
                <w:i/>
                <w:iCs/>
                <w:sz w:val="16"/>
                <w:szCs w:val="16"/>
              </w:rPr>
              <w:t>1</w:t>
            </w:r>
            <w:r w:rsidRPr="00BC4A16">
              <w:rPr>
                <w:bCs/>
                <w:i/>
                <w:iCs/>
                <w:sz w:val="16"/>
                <w:szCs w:val="16"/>
              </w:rPr>
              <w:t>)</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tcPr>
          <w:p w:rsidR="006C756E" w:rsidRDefault="008E6BF7" w:rsidP="006C756E">
            <w:pPr>
              <w:spacing w:line="480" w:lineRule="auto"/>
              <w:jc w:val="center"/>
              <w:rPr>
                <w:bCs/>
                <w:iCs/>
                <w:sz w:val="16"/>
                <w:szCs w:val="16"/>
              </w:rPr>
            </w:pPr>
            <w:r w:rsidRPr="005A7534">
              <w:rPr>
                <w:bCs/>
                <w:iCs/>
                <w:sz w:val="16"/>
                <w:szCs w:val="16"/>
              </w:rPr>
              <w:t xml:space="preserve">-5.2 </w:t>
            </w:r>
          </w:p>
          <w:p w:rsidR="008E6BF7" w:rsidRPr="00071664" w:rsidRDefault="008E6BF7" w:rsidP="00BF1CE8">
            <w:pPr>
              <w:spacing w:line="480" w:lineRule="auto"/>
              <w:jc w:val="center"/>
              <w:rPr>
                <w:b/>
                <w:bCs/>
                <w:iCs/>
                <w:sz w:val="16"/>
                <w:szCs w:val="16"/>
              </w:rPr>
            </w:pPr>
            <w:r w:rsidRPr="00071664">
              <w:rPr>
                <w:b/>
                <w:bCs/>
                <w:iCs/>
                <w:sz w:val="16"/>
                <w:szCs w:val="16"/>
              </w:rPr>
              <w:t xml:space="preserve">(±0.8) </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tcPr>
          <w:p w:rsidR="006C756E" w:rsidRDefault="008E6BF7" w:rsidP="006C756E">
            <w:pPr>
              <w:spacing w:line="480" w:lineRule="auto"/>
              <w:jc w:val="center"/>
              <w:rPr>
                <w:bCs/>
                <w:iCs/>
                <w:sz w:val="16"/>
                <w:szCs w:val="16"/>
              </w:rPr>
            </w:pPr>
            <w:r w:rsidRPr="005A7534">
              <w:rPr>
                <w:bCs/>
                <w:iCs/>
                <w:sz w:val="16"/>
                <w:szCs w:val="16"/>
              </w:rPr>
              <w:t>31.7</w:t>
            </w:r>
          </w:p>
          <w:p w:rsidR="008E6BF7" w:rsidRDefault="008E6BF7" w:rsidP="006C756E">
            <w:pPr>
              <w:spacing w:line="480" w:lineRule="auto"/>
              <w:jc w:val="center"/>
              <w:rPr>
                <w:b/>
                <w:bCs/>
                <w:iCs/>
                <w:sz w:val="16"/>
                <w:szCs w:val="16"/>
              </w:rPr>
            </w:pPr>
            <w:r w:rsidRPr="00071664">
              <w:rPr>
                <w:b/>
                <w:bCs/>
                <w:iCs/>
                <w:sz w:val="16"/>
                <w:szCs w:val="16"/>
              </w:rPr>
              <w:t xml:space="preserve"> (±0.</w:t>
            </w:r>
            <w:r w:rsidR="00BF1CE8">
              <w:rPr>
                <w:b/>
                <w:bCs/>
                <w:iCs/>
                <w:sz w:val="16"/>
                <w:szCs w:val="16"/>
              </w:rPr>
              <w:t>4</w:t>
            </w:r>
            <w:r w:rsidRPr="00071664">
              <w:rPr>
                <w:b/>
                <w:bCs/>
                <w:iCs/>
                <w:sz w:val="16"/>
                <w:szCs w:val="16"/>
              </w:rPr>
              <w:t>)</w:t>
            </w:r>
          </w:p>
          <w:p w:rsidR="003203AD" w:rsidRPr="00071664" w:rsidRDefault="003203AD" w:rsidP="006C756E">
            <w:pPr>
              <w:spacing w:line="480" w:lineRule="auto"/>
              <w:jc w:val="center"/>
              <w:rPr>
                <w:b/>
                <w:bCs/>
                <w:iCs/>
                <w:sz w:val="16"/>
                <w:szCs w:val="16"/>
              </w:rPr>
            </w:pPr>
            <w:r w:rsidRPr="00BC4A16">
              <w:rPr>
                <w:bCs/>
                <w:i/>
                <w:iCs/>
                <w:sz w:val="16"/>
                <w:szCs w:val="16"/>
              </w:rPr>
              <w:t>(±</w:t>
            </w:r>
            <w:r w:rsidR="00BF1CE8">
              <w:rPr>
                <w:bCs/>
                <w:i/>
                <w:iCs/>
                <w:sz w:val="16"/>
                <w:szCs w:val="16"/>
              </w:rPr>
              <w:t>1</w:t>
            </w:r>
            <w:r w:rsidRPr="00BC4A16">
              <w:rPr>
                <w:bCs/>
                <w:i/>
                <w:iCs/>
                <w:sz w:val="16"/>
                <w:szCs w:val="16"/>
              </w:rPr>
              <w:t>)</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tcPr>
          <w:p w:rsidR="006C756E" w:rsidRDefault="008E6BF7" w:rsidP="006C756E">
            <w:pPr>
              <w:spacing w:line="480" w:lineRule="auto"/>
              <w:jc w:val="center"/>
              <w:rPr>
                <w:bCs/>
                <w:iCs/>
                <w:sz w:val="16"/>
                <w:szCs w:val="16"/>
              </w:rPr>
            </w:pPr>
            <w:r w:rsidRPr="005A7534">
              <w:rPr>
                <w:bCs/>
                <w:iCs/>
                <w:sz w:val="16"/>
                <w:szCs w:val="16"/>
              </w:rPr>
              <w:t xml:space="preserve">1.8 </w:t>
            </w:r>
          </w:p>
          <w:p w:rsidR="008E6BF7" w:rsidRDefault="008E6BF7" w:rsidP="006C756E">
            <w:pPr>
              <w:spacing w:line="480" w:lineRule="auto"/>
              <w:jc w:val="center"/>
              <w:rPr>
                <w:b/>
                <w:bCs/>
                <w:iCs/>
                <w:sz w:val="16"/>
                <w:szCs w:val="16"/>
              </w:rPr>
            </w:pPr>
            <w:r w:rsidRPr="00BC4A16">
              <w:rPr>
                <w:b/>
                <w:bCs/>
                <w:iCs/>
                <w:sz w:val="16"/>
                <w:szCs w:val="16"/>
              </w:rPr>
              <w:t xml:space="preserve">(±0.04) </w:t>
            </w:r>
          </w:p>
          <w:p w:rsidR="003203AD" w:rsidRPr="00BC4A16" w:rsidRDefault="003203AD" w:rsidP="003203AD">
            <w:pPr>
              <w:spacing w:line="480" w:lineRule="auto"/>
              <w:jc w:val="center"/>
              <w:rPr>
                <w:b/>
                <w:bCs/>
                <w:iCs/>
                <w:sz w:val="16"/>
                <w:szCs w:val="16"/>
              </w:rPr>
            </w:pPr>
            <w:r w:rsidRPr="00BC4A16">
              <w:rPr>
                <w:bCs/>
                <w:i/>
                <w:iCs/>
                <w:sz w:val="16"/>
                <w:szCs w:val="16"/>
              </w:rPr>
              <w:t>(±</w:t>
            </w:r>
            <w:r>
              <w:rPr>
                <w:bCs/>
                <w:i/>
                <w:iCs/>
                <w:sz w:val="16"/>
                <w:szCs w:val="16"/>
              </w:rPr>
              <w:t>0.1</w:t>
            </w:r>
            <w:r w:rsidRPr="00BC4A16">
              <w:rPr>
                <w:bCs/>
                <w:i/>
                <w:iCs/>
                <w:sz w:val="16"/>
                <w:szCs w:val="16"/>
              </w:rPr>
              <w:t>)</w:t>
            </w:r>
          </w:p>
        </w:tc>
      </w:tr>
    </w:tbl>
    <w:p w:rsidR="008E6BF7" w:rsidRDefault="008E6BF7" w:rsidP="008E6BF7">
      <w:pPr>
        <w:spacing w:line="480" w:lineRule="auto"/>
        <w:rPr>
          <w:bCs/>
          <w:iCs/>
        </w:rPr>
      </w:pPr>
    </w:p>
    <w:p w:rsidR="008E6BF7" w:rsidRDefault="008E6BF7" w:rsidP="008E6BF7">
      <w:pPr>
        <w:spacing w:line="480" w:lineRule="auto"/>
        <w:jc w:val="both"/>
        <w:rPr>
          <w:bCs/>
          <w:iCs/>
        </w:rPr>
      </w:pPr>
      <w:r>
        <w:rPr>
          <w:bCs/>
          <w:iCs/>
        </w:rPr>
        <w:t xml:space="preserve">Another argument against biphasic isotherms of this type always being indicative of allosteric cooperativity is one from the original authors of the MWC model. </w:t>
      </w:r>
      <w:hyperlink w:anchor="_ENREF_129" w:tooltip="Monod, 1963 #572" w:history="1">
        <w:r w:rsidR="00512D09">
          <w:rPr>
            <w:bCs/>
            <w:iCs/>
          </w:rPr>
          <w:fldChar w:fldCharType="begin"/>
        </w:r>
        <w:r w:rsidR="00512D09">
          <w:rPr>
            <w:bCs/>
            <w:iCs/>
          </w:rPr>
          <w:instrText xml:space="preserve"> ADDIN EN.CITE &lt;EndNote&gt;&lt;Cite&gt;&lt;Author&gt;Monod&lt;/Author&gt;&lt;Year&gt;1963&lt;/Year&gt;&lt;RecNum&gt;572&lt;/RecNum&gt;&lt;DisplayText&gt;&lt;style face="superscript"&gt;129&lt;/style&gt;&lt;/DisplayText&gt;&lt;record&gt;&lt;rec-number&gt;572&lt;/rec-number&gt;&lt;foreign-keys&gt;&lt;key app="EN" db-id="5trrespwzsdr07efd5tx2w96x22re9s0fsdt"&gt;572&lt;/key&gt;&lt;/foreign-keys&gt;&lt;ref-type name="Journal Article"&gt;17&lt;/ref-type&gt;&lt;contributors&gt;&lt;authors&gt;&lt;author&gt;Monod, Jacques&lt;/author&gt;&lt;author&gt;Changeux, Jean-Pierre&lt;/author&gt;&lt;author&gt;Jacob, François&lt;/author&gt;&lt;/authors&gt;&lt;/contributors&gt;&lt;titles&gt;&lt;title&gt;Allosteric proteins and cellular control systems&lt;/title&gt;&lt;secondary-title&gt;Journal of Molecular Biology&lt;/secondary-title&gt;&lt;/titles&gt;&lt;periodical&gt;&lt;full-title&gt;Journal of Molecular Biology&lt;/full-title&gt;&lt;/periodical&gt;&lt;pages&gt;306-329&lt;/pages&gt;&lt;volume&gt;6&lt;/volume&gt;&lt;number&gt;4&lt;/number&gt;&lt;dates&gt;&lt;year&gt;1963&lt;/year&gt;&lt;/dates&gt;&lt;isbn&gt;0022-2836&lt;/isbn&gt;&lt;urls&gt;&lt;related-urls&gt;&lt;url&gt;http://www.sciencedirect.com/science/article/pii/S0022283663800911&lt;/url&gt;&lt;/related-urls&gt;&lt;/urls&gt;&lt;electronic-resource-num&gt;http://dx.doi.org/10.1016/S0022-2836(63)80091-1&lt;/electronic-resource-num&gt;&lt;/record&gt;&lt;/Cite&gt;&lt;/EndNote&gt;</w:instrText>
        </w:r>
        <w:r w:rsidR="00512D09">
          <w:rPr>
            <w:bCs/>
            <w:iCs/>
          </w:rPr>
          <w:fldChar w:fldCharType="separate"/>
        </w:r>
        <w:r w:rsidR="00512D09" w:rsidRPr="00F80CAD">
          <w:rPr>
            <w:bCs/>
            <w:iCs/>
            <w:noProof/>
            <w:vertAlign w:val="superscript"/>
          </w:rPr>
          <w:t>129</w:t>
        </w:r>
        <w:r w:rsidR="00512D09">
          <w:rPr>
            <w:bCs/>
            <w:iCs/>
          </w:rPr>
          <w:fldChar w:fldCharType="end"/>
        </w:r>
      </w:hyperlink>
      <w:r>
        <w:rPr>
          <w:bCs/>
          <w:iCs/>
        </w:rPr>
        <w:t xml:space="preserve"> They suggested that allostery was used to regulate metabolism. Those proteins that are allosteric are to be considered a specialised product of selective engineering. </w:t>
      </w:r>
      <w:hyperlink w:anchor="_ENREF_129" w:tooltip="Monod, 1963 #572" w:history="1">
        <w:r w:rsidR="00512D09">
          <w:rPr>
            <w:bCs/>
            <w:iCs/>
          </w:rPr>
          <w:fldChar w:fldCharType="begin"/>
        </w:r>
        <w:r w:rsidR="00512D09">
          <w:rPr>
            <w:bCs/>
            <w:iCs/>
          </w:rPr>
          <w:instrText xml:space="preserve"> ADDIN EN.CITE &lt;EndNote&gt;&lt;Cite&gt;&lt;Author&gt;Monod&lt;/Author&gt;&lt;Year&gt;1963&lt;/Year&gt;&lt;RecNum&gt;572&lt;/RecNum&gt;&lt;DisplayText&gt;&lt;style face="superscript"&gt;129&lt;/style&gt;&lt;/DisplayText&gt;&lt;record&gt;&lt;rec-number&gt;572&lt;/rec-number&gt;&lt;foreign-keys&gt;&lt;key app="EN" db-id="5trrespwzsdr07efd5tx2w96x22re9s0fsdt"&gt;572&lt;/key&gt;&lt;/foreign-keys&gt;&lt;ref-type name="Journal Article"&gt;17&lt;/ref-type&gt;&lt;contributors&gt;&lt;authors&gt;&lt;author&gt;Monod, Jacques&lt;/author&gt;&lt;author&gt;Changeux, Jean-Pierre&lt;/author&gt;&lt;author&gt;Jacob, François&lt;/author&gt;&lt;/authors&gt;&lt;/contributors&gt;&lt;titles&gt;&lt;title&gt;Allosteric proteins and cellular control systems&lt;/title&gt;&lt;secondary-title&gt;Journal of Molecular Biology&lt;/secondary-title&gt;&lt;/titles&gt;&lt;periodical&gt;&lt;full-title&gt;Journal of Molecular Biology&lt;/full-title&gt;&lt;/periodical&gt;&lt;pages&gt;306-329&lt;/pages&gt;&lt;volume&gt;6&lt;/volume&gt;&lt;number&gt;4&lt;/number&gt;&lt;dates&gt;&lt;year&gt;1963&lt;/year&gt;&lt;/dates&gt;&lt;isbn&gt;0022-2836&lt;/isbn&gt;&lt;urls&gt;&lt;related-urls&gt;&lt;url&gt;http://www.sciencedirect.com/science/article/pii/S0022283663800911&lt;/url&gt;&lt;/related-urls&gt;&lt;/urls&gt;&lt;electronic-resource-num&gt;http://dx.doi.org/10.1016/S0022-2836(63)80091-1&lt;/electronic-resource-num&gt;&lt;/record&gt;&lt;/Cite&gt;&lt;/EndNote&gt;</w:instrText>
        </w:r>
        <w:r w:rsidR="00512D09">
          <w:rPr>
            <w:bCs/>
            <w:iCs/>
          </w:rPr>
          <w:fldChar w:fldCharType="separate"/>
        </w:r>
        <w:r w:rsidR="00512D09" w:rsidRPr="00F80CAD">
          <w:rPr>
            <w:bCs/>
            <w:iCs/>
            <w:noProof/>
            <w:vertAlign w:val="superscript"/>
          </w:rPr>
          <w:t>129</w:t>
        </w:r>
        <w:r w:rsidR="00512D09">
          <w:rPr>
            <w:bCs/>
            <w:iCs/>
          </w:rPr>
          <w:fldChar w:fldCharType="end"/>
        </w:r>
      </w:hyperlink>
      <w:r>
        <w:rPr>
          <w:bCs/>
          <w:iCs/>
        </w:rPr>
        <w:t xml:space="preserve"> To our </w:t>
      </w:r>
      <w:r>
        <w:rPr>
          <w:bCs/>
          <w:iCs/>
        </w:rPr>
        <w:lastRenderedPageBreak/>
        <w:t>knowledge lysozyme has not undergone any selective pressure to bind phytate allosterically. Phytate is used as a phosphate storage in plants in addition to acting as a signalling molecule to close guard cells surrounding the stoma.</w:t>
      </w:r>
      <w:hyperlink w:anchor="_ENREF_278" w:tooltip="Lemtiri-Chlieh, 2003 #646" w:history="1">
        <w:r w:rsidR="00512D09">
          <w:rPr>
            <w:bCs/>
            <w:iCs/>
          </w:rPr>
          <w:fldChar w:fldCharType="begin"/>
        </w:r>
        <w:r w:rsidR="00512D09">
          <w:rPr>
            <w:bCs/>
            <w:iCs/>
          </w:rPr>
          <w:instrText xml:space="preserve"> ADDIN EN.CITE &lt;EndNote&gt;&lt;Cite&gt;&lt;Author&gt;Lemtiri-Chlieh&lt;/Author&gt;&lt;Year&gt;2003&lt;/Year&gt;&lt;RecNum&gt;646&lt;/RecNum&gt;&lt;DisplayText&gt;&lt;style face="superscript"&gt;278&lt;/style&gt;&lt;/DisplayText&gt;&lt;record&gt;&lt;rec-number&gt;646&lt;/rec-number&gt;&lt;foreign-keys&gt;&lt;key app="EN" db-id="5trrespwzsdr07efd5tx2w96x22re9s0fsdt"&gt;646&lt;/key&gt;&lt;/foreign-keys&gt;&lt;ref-type name="Journal Article"&gt;17&lt;/ref-type&gt;&lt;contributors&gt;&lt;authors&gt;&lt;author&gt;Lemtiri-Chlieh, Fouad&lt;/author&gt;&lt;author&gt;MacRobbie, Enid AC&lt;/author&gt;&lt;author&gt;Webb, Alex AR&lt;/author&gt;&lt;author&gt;Manison, Nick F&lt;/author&gt;&lt;author&gt;Brownlee, Colin&lt;/author&gt;&lt;author&gt;Skepper, Jeremy N&lt;/author&gt;&lt;author&gt;Chen, Jian&lt;/author&gt;&lt;author&gt;Prestwich, Glenn D&lt;/author&gt;&lt;author&gt;Brearley, Charles A&lt;/author&gt;&lt;/authors&gt;&lt;/contributors&gt;&lt;titles&gt;&lt;title&gt;Inositol hexakisphosphate mobilizes an endomembrane store of calcium in guard cells&lt;/title&gt;&lt;secondary-title&gt;Proceedings of the National Academy of Sciences&lt;/secondary-title&gt;&lt;/titles&gt;&lt;periodical&gt;&lt;full-title&gt;Proceedings of the National Academy of Sciences&lt;/full-title&gt;&lt;/periodical&gt;&lt;pages&gt;10091-10095&lt;/pages&gt;&lt;volume&gt;100&lt;/volume&gt;&lt;number&gt;17&lt;/number&gt;&lt;dates&gt;&lt;year&gt;2003&lt;/year&gt;&lt;/dates&gt;&lt;isbn&gt;0027-8424&lt;/isbn&gt;&lt;urls&gt;&lt;/urls&gt;&lt;/record&gt;&lt;/Cite&gt;&lt;/EndNote&gt;</w:instrText>
        </w:r>
        <w:r w:rsidR="00512D09">
          <w:rPr>
            <w:bCs/>
            <w:iCs/>
          </w:rPr>
          <w:fldChar w:fldCharType="separate"/>
        </w:r>
        <w:r w:rsidR="00512D09" w:rsidRPr="006421D1">
          <w:rPr>
            <w:bCs/>
            <w:iCs/>
            <w:noProof/>
            <w:vertAlign w:val="superscript"/>
          </w:rPr>
          <w:t>278</w:t>
        </w:r>
        <w:r w:rsidR="00512D09">
          <w:rPr>
            <w:bCs/>
            <w:iCs/>
          </w:rPr>
          <w:fldChar w:fldCharType="end"/>
        </w:r>
      </w:hyperlink>
      <w:r>
        <w:rPr>
          <w:bCs/>
          <w:iCs/>
        </w:rPr>
        <w:t xml:space="preserve"> Although it can bind to proteases involved in digestion and exogenous protein sources causing malnutrition, there is no evidence that phytate evolved as a method as a plant defence mechanism to deter herbivores. Allosteric cooperativity should therefore be treated as a rare and specialised binding event, and not a mechanism that can be regularly used to explain unusual binding isotherms in ITC data.</w:t>
      </w:r>
    </w:p>
    <w:p w:rsidR="008E6BF7" w:rsidRDefault="008E6BF7" w:rsidP="008E6BF7">
      <w:pPr>
        <w:spacing w:line="480" w:lineRule="auto"/>
        <w:jc w:val="both"/>
        <w:rPr>
          <w:bCs/>
          <w:iCs/>
        </w:rPr>
      </w:pPr>
      <w:r>
        <w:rPr>
          <w:bCs/>
          <w:iCs/>
        </w:rPr>
        <w:t>Based on the above arguments it is suggested that phytate binding is multisite and occurs independently or at least not positively cooperative. I</w:t>
      </w:r>
      <w:r w:rsidR="008F2959">
        <w:rPr>
          <w:bCs/>
          <w:iCs/>
        </w:rPr>
        <w:t>t is</w:t>
      </w:r>
      <w:r>
        <w:rPr>
          <w:bCs/>
          <w:iCs/>
        </w:rPr>
        <w:t xml:space="preserve"> also </w:t>
      </w:r>
      <w:r w:rsidR="00934AF3">
        <w:rPr>
          <w:bCs/>
          <w:iCs/>
        </w:rPr>
        <w:t>unlikely</w:t>
      </w:r>
      <w:r>
        <w:rPr>
          <w:bCs/>
          <w:iCs/>
        </w:rPr>
        <w:t xml:space="preserve"> that this is a form of cooperativity that does not result in a change in </w:t>
      </w:r>
      <w:r w:rsidRPr="004B7FB0">
        <w:rPr>
          <w:bCs/>
          <w:i/>
          <w:iCs/>
        </w:rPr>
        <w:t>ΔG</w:t>
      </w:r>
      <w:r>
        <w:rPr>
          <w:bCs/>
          <w:i/>
          <w:iCs/>
        </w:rPr>
        <w:t xml:space="preserve"> </w:t>
      </w:r>
      <w:r>
        <w:rPr>
          <w:bCs/>
          <w:iCs/>
        </w:rPr>
        <w:t xml:space="preserve">but a change in </w:t>
      </w:r>
      <w:r w:rsidRPr="004B7FB0">
        <w:rPr>
          <w:bCs/>
          <w:i/>
          <w:iCs/>
        </w:rPr>
        <w:t>ΔH</w:t>
      </w:r>
      <w:r>
        <w:rPr>
          <w:bCs/>
          <w:iCs/>
        </w:rPr>
        <w:t xml:space="preserve"> – so called isoenergetic cooperativity.</w:t>
      </w:r>
      <w:hyperlink w:anchor="_ENREF_139" w:tooltip="Fisher, 1997 #600" w:history="1">
        <w:r w:rsidR="00512D09">
          <w:rPr>
            <w:bCs/>
            <w:iCs/>
          </w:rPr>
          <w:fldChar w:fldCharType="begin"/>
        </w:r>
        <w:r w:rsidR="00512D09">
          <w:rPr>
            <w:bCs/>
            <w:iCs/>
          </w:rPr>
          <w:instrText xml:space="preserve"> ADDIN EN.CITE &lt;EndNote&gt;&lt;Cite&gt;&lt;Author&gt;Fisher&lt;/Author&gt;&lt;Year&gt;1997&lt;/Year&gt;&lt;RecNum&gt;600&lt;/RecNum&gt;&lt;DisplayText&gt;&lt;style face="superscript"&gt;139&lt;/style&gt;&lt;/DisplayText&gt;&lt;record&gt;&lt;rec-number&gt;600&lt;/rec-number&gt;&lt;foreign-keys&gt;&lt;key app="EN" db-id="5trrespwzsdr07efd5tx2w96x22re9s0fsdt"&gt;600&lt;/key&gt;&lt;/foreign-keys&gt;&lt;ref-type name="Journal Article"&gt;17&lt;/ref-type&gt;&lt;contributors&gt;&lt;authors&gt;&lt;author&gt;Fisher, Harvey F.&lt;/author&gt;&lt;author&gt;Tally, Jon&lt;/author&gt;&lt;/authors&gt;&lt;/contributors&gt;&lt;titles&gt;&lt;title&gt;Isoergonic Cooperativity in Glutamate Dehydrogenase Complexes:  A New Form of Allostery&lt;/title&gt;&lt;secondary-title&gt;Biochemistry&lt;/secondary-title&gt;&lt;/titles&gt;&lt;periodical&gt;&lt;full-title&gt;Biochemistry&lt;/full-title&gt;&lt;abbr-1&gt;Biochemistry&lt;/abbr-1&gt;&lt;/periodical&gt;&lt;pages&gt;10807-10810&lt;/pages&gt;&lt;volume&gt;36&lt;/volume&gt;&lt;number&gt;36&lt;/number&gt;&lt;dates&gt;&lt;year&gt;1997&lt;/year&gt;&lt;pub-dates&gt;&lt;date&gt;1997/09/01&lt;/date&gt;&lt;/pub-dates&gt;&lt;/dates&gt;&lt;publisher&gt;American Chemical Society&lt;/publisher&gt;&lt;isbn&gt;0006-2960&lt;/isbn&gt;&lt;urls&gt;&lt;related-urls&gt;&lt;url&gt;http://dx.doi.org/10.1021/bi9708388&lt;/url&gt;&lt;/related-urls&gt;&lt;/urls&gt;&lt;electronic-resource-num&gt;10.1021/bi9708388&lt;/electronic-resource-num&gt;&lt;/record&gt;&lt;/Cite&gt;&lt;/EndNote&gt;</w:instrText>
        </w:r>
        <w:r w:rsidR="00512D09">
          <w:rPr>
            <w:bCs/>
            <w:iCs/>
          </w:rPr>
          <w:fldChar w:fldCharType="separate"/>
        </w:r>
        <w:r w:rsidR="00512D09" w:rsidRPr="00F80CAD">
          <w:rPr>
            <w:bCs/>
            <w:iCs/>
            <w:noProof/>
            <w:vertAlign w:val="superscript"/>
          </w:rPr>
          <w:t>139</w:t>
        </w:r>
        <w:r w:rsidR="00512D09">
          <w:rPr>
            <w:bCs/>
            <w:iCs/>
          </w:rPr>
          <w:fldChar w:fldCharType="end"/>
        </w:r>
      </w:hyperlink>
      <w:r>
        <w:rPr>
          <w:bCs/>
          <w:iCs/>
        </w:rPr>
        <w:t xml:space="preserve"> As this form of cooperativity has no discernible reason to exist. </w:t>
      </w:r>
    </w:p>
    <w:p w:rsidR="008E6BF7" w:rsidRDefault="008E6BF7" w:rsidP="008E6BF7">
      <w:pPr>
        <w:spacing w:line="480" w:lineRule="auto"/>
        <w:jc w:val="both"/>
        <w:rPr>
          <w:bCs/>
          <w:iCs/>
        </w:rPr>
      </w:pPr>
      <w:r>
        <w:rPr>
          <w:bCs/>
          <w:iCs/>
        </w:rPr>
        <w:t>Some papers have suggested that networking (otherwise known as crosslinking or a similarly labelled phenomena) assists in further binding interactions.</w:t>
      </w:r>
      <w:hyperlink w:anchor="_ENREF_279" w:tooltip="Huang, 2011 #592" w:history="1">
        <w:r w:rsidR="00512D09">
          <w:rPr>
            <w:bCs/>
            <w:iCs/>
          </w:rPr>
          <w:fldChar w:fldCharType="begin"/>
        </w:r>
        <w:r w:rsidR="00512D09">
          <w:rPr>
            <w:bCs/>
            <w:iCs/>
          </w:rPr>
          <w:instrText xml:space="preserve"> ADDIN EN.CITE &lt;EndNote&gt;&lt;Cite&gt;&lt;Author&gt;Huang&lt;/Author&gt;&lt;Year&gt;2011&lt;/Year&gt;&lt;RecNum&gt;592&lt;/RecNum&gt;&lt;DisplayText&gt;&lt;style face="superscript"&gt;279&lt;/style&gt;&lt;/DisplayText&gt;&lt;record&gt;&lt;rec-number&gt;592&lt;/rec-number&gt;&lt;foreign-keys&gt;&lt;key app="EN" db-id="5trrespwzsdr07efd5tx2w96x22re9s0fsdt"&gt;592&lt;/key&gt;&lt;/foreign-keys&gt;&lt;ref-type name="Journal Article"&gt;17&lt;/ref-type&gt;&lt;contributors&gt;&lt;authors&gt;&lt;author&gt;Huang, Yan&lt;/author&gt;&lt;author&gt;Lapitsky, Yakov&lt;/author&gt;&lt;/authors&gt;&lt;/contributors&gt;&lt;titles&gt;&lt;title&gt;Monovalent Salt Enhances Colloidal Stability during the Formation of Chitosan/Tripolyphosphate Microgels&lt;/title&gt;&lt;secondary-title&gt;Langmuir&lt;/secondary-title&gt;&lt;/titles&gt;&lt;periodical&gt;&lt;full-title&gt;Langmuir&lt;/full-title&gt;&lt;/periodical&gt;&lt;pages&gt;10392-10399&lt;/pages&gt;&lt;volume&gt;27&lt;/volume&gt;&lt;number&gt;17&lt;/number&gt;&lt;dates&gt;&lt;year&gt;2011&lt;/year&gt;&lt;pub-dates&gt;&lt;date&gt;2011/09/06&lt;/date&gt;&lt;/pub-dates&gt;&lt;/dates&gt;&lt;publisher&gt;American Chemical Society&lt;/publisher&gt;&lt;isbn&gt;0743-7463&lt;/isbn&gt;&lt;urls&gt;&lt;related-urls&gt;&lt;url&gt;http://dx.doi.org/10.1021/la201194a&lt;/url&gt;&lt;/related-urls&gt;&lt;/urls&gt;&lt;electronic-resource-num&gt;10.1021/la201194a&lt;/electronic-resource-num&gt;&lt;/record&gt;&lt;/Cite&gt;&lt;/EndNote&gt;</w:instrText>
        </w:r>
        <w:r w:rsidR="00512D09">
          <w:rPr>
            <w:bCs/>
            <w:iCs/>
          </w:rPr>
          <w:fldChar w:fldCharType="separate"/>
        </w:r>
        <w:r w:rsidR="00512D09" w:rsidRPr="006421D1">
          <w:rPr>
            <w:bCs/>
            <w:iCs/>
            <w:noProof/>
            <w:vertAlign w:val="superscript"/>
          </w:rPr>
          <w:t>279</w:t>
        </w:r>
        <w:r w:rsidR="00512D09">
          <w:rPr>
            <w:bCs/>
            <w:iCs/>
          </w:rPr>
          <w:fldChar w:fldCharType="end"/>
        </w:r>
      </w:hyperlink>
      <w:r>
        <w:rPr>
          <w:bCs/>
          <w:iCs/>
        </w:rPr>
        <w:t xml:space="preserve"> This has been labelled cooperative binding. This is sometimes conflated with allosteric cooperativity but they are not the same.</w:t>
      </w:r>
      <w:hyperlink w:anchor="_ENREF_138" w:tooltip="Krishnamurthy, 2006 #581" w:history="1">
        <w:r w:rsidR="00512D09">
          <w:rPr>
            <w:bCs/>
            <w:iCs/>
          </w:rPr>
          <w:fldChar w:fldCharType="begin"/>
        </w:r>
        <w:r w:rsidR="00512D09">
          <w:rPr>
            <w:bCs/>
            <w:iCs/>
          </w:rPr>
          <w:instrText xml:space="preserve"> ADDIN EN.CITE &lt;EndNote&gt;&lt;Cite&gt;&lt;Author&gt;Krishnamurthy&lt;/Author&gt;&lt;Year&gt;2006&lt;/Year&gt;&lt;RecNum&gt;581&lt;/RecNum&gt;&lt;DisplayText&gt;&lt;style face="superscript"&gt;138&lt;/style&gt;&lt;/DisplayText&gt;&lt;record&gt;&lt;rec-number&gt;581&lt;/rec-number&gt;&lt;foreign-keys&gt;&lt;key app="EN" db-id="5trrespwzsdr07efd5tx2w96x22re9s0fsdt"&gt;581&lt;/key&gt;&lt;/foreign-keys&gt;&lt;ref-type name="Book Section"&gt;5&lt;/ref-type&gt;&lt;contributors&gt;&lt;authors&gt;&lt;author&gt;Krishnamurthy, Vijay M.&lt;/author&gt;&lt;author&gt;Estroff, Lara A.&lt;/author&gt;&lt;author&gt;Whitesides, George M.&lt;/author&gt;&lt;/authors&gt;&lt;/contributors&gt;&lt;titles&gt;&lt;title&gt;Multivalency in Ligand Design&lt;/title&gt;&lt;secondary-title&gt;Fragment-based Approaches in Drug Discovery&lt;/secondary-title&gt;&lt;/titles&gt;&lt;pages&gt;11-53&lt;/pages&gt;&lt;keywords&gt;&lt;keyword&gt;drug discovery&lt;/keyword&gt;&lt;keyword&gt;concept&lt;/keyword&gt;&lt;keyword&gt;theory&lt;/keyword&gt;&lt;keyword&gt;multivalency in ligand design&lt;/keyword&gt;&lt;keyword&gt;key experimental studies&lt;/keyword&gt;&lt;keyword&gt;multivalency&lt;/keyword&gt;&lt;keyword&gt;representative experimental studies&lt;/keyword&gt;&lt;keyword&gt;design rules&lt;/keyword&gt;&lt;keyword&gt;lead discovery&lt;/keyword&gt;&lt;keyword&gt;challenges&lt;/keyword&gt;&lt;keyword&gt;unsolved problems in multivalency&lt;/keyword&gt;&lt;/keywords&gt;&lt;dates&gt;&lt;year&gt;2006&lt;/year&gt;&lt;/dates&gt;&lt;publisher&gt;Wiley-VCH Verlag GmbH &amp;amp; Co. KGaA&lt;/publisher&gt;&lt;isbn&gt;9783527608768&lt;/isbn&gt;&lt;urls&gt;&lt;related-urls&gt;&lt;url&gt;http://dx.doi.org/10.1002/3527608761.ch2&lt;/url&gt;&lt;/related-urls&gt;&lt;/urls&gt;&lt;electronic-resource-num&gt;10.1002/3527608761.ch2&lt;/electronic-resource-num&gt;&lt;/record&gt;&lt;/Cite&gt;&lt;/EndNote&gt;</w:instrText>
        </w:r>
        <w:r w:rsidR="00512D09">
          <w:rPr>
            <w:bCs/>
            <w:iCs/>
          </w:rPr>
          <w:fldChar w:fldCharType="separate"/>
        </w:r>
        <w:r w:rsidR="00512D09" w:rsidRPr="00F80CAD">
          <w:rPr>
            <w:bCs/>
            <w:iCs/>
            <w:noProof/>
            <w:vertAlign w:val="superscript"/>
          </w:rPr>
          <w:t>138</w:t>
        </w:r>
        <w:r w:rsidR="00512D09">
          <w:rPr>
            <w:bCs/>
            <w:iCs/>
          </w:rPr>
          <w:fldChar w:fldCharType="end"/>
        </w:r>
      </w:hyperlink>
      <w:r>
        <w:rPr>
          <w:bCs/>
          <w:iCs/>
        </w:rPr>
        <w:t xml:space="preserve"> In many cases, networking or crosslinking describes an interaction that involves the ligand binding to multiple macromolecules. </w:t>
      </w:r>
      <w:hyperlink w:anchor="_ENREF_280" w:tooltip="Dam, 2000 #585" w:history="1">
        <w:r w:rsidR="00512D09">
          <w:rPr>
            <w:bCs/>
            <w:iCs/>
          </w:rPr>
          <w:fldChar w:fldCharType="begin"/>
        </w:r>
        <w:r w:rsidR="00512D09">
          <w:rPr>
            <w:bCs/>
            <w:iCs/>
          </w:rPr>
          <w:instrText xml:space="preserve"> ADDIN EN.CITE &lt;EndNote&gt;&lt;Cite&gt;&lt;Author&gt;Dam&lt;/Author&gt;&lt;Year&gt;2000&lt;/Year&gt;&lt;RecNum&gt;585&lt;/RecNum&gt;&lt;DisplayText&gt;&lt;style face="superscript"&gt;280&lt;/style&gt;&lt;/DisplayText&gt;&lt;record&gt;&lt;rec-number&gt;585&lt;/rec-number&gt;&lt;foreign-keys&gt;&lt;key app="EN" db-id="5trrespwzsdr07efd5tx2w96x22re9s0fsdt"&gt;585&lt;/key&gt;&lt;/foreign-keys&gt;&lt;ref-type name="Journal Article"&gt;17&lt;/ref-type&gt;&lt;contributors&gt;&lt;authors&gt;&lt;author&gt;Dam, T. K.&lt;/author&gt;&lt;/authors&gt;&lt;/contributors&gt;&lt;titles&gt;&lt;title&gt;Binding of Multivalent Carbohydrates to Concanavalin A and Dioclea grandiflora Lectin. Thermodynamic Analysis Of The &amp;quot;Multivalency Effect&amp;quot;&lt;/title&gt;&lt;secondary-title&gt;Journal of Biological Chemistry&lt;/secondary-title&gt;&lt;/titles&gt;&lt;periodical&gt;&lt;full-title&gt;Journal of Biological Chemistry&lt;/full-title&gt;&lt;/periodical&gt;&lt;pages&gt;14223-14230&lt;/pages&gt;&lt;volume&gt;275&lt;/volume&gt;&lt;number&gt;19&lt;/number&gt;&lt;dates&gt;&lt;year&gt;2000&lt;/year&gt;&lt;pub-dates&gt;&lt;date&gt;May 12, 2000&lt;/date&gt;&lt;/pub-dates&gt;&lt;/dates&gt;&lt;isbn&gt;00219258&lt;/isbn&gt;&lt;urls&gt;&lt;related-urls&gt;&lt;url&gt;http://www.jbc.org/content/275/19/14223.abstract&lt;/url&gt;&lt;/related-urls&gt;&lt;/urls&gt;&lt;electronic-resource-num&gt;10.1074/jbc.275.19.14223&lt;/electronic-resource-num&gt;&lt;/record&gt;&lt;/Cite&gt;&lt;/EndNote&gt;</w:instrText>
        </w:r>
        <w:r w:rsidR="00512D09">
          <w:rPr>
            <w:bCs/>
            <w:iCs/>
          </w:rPr>
          <w:fldChar w:fldCharType="separate"/>
        </w:r>
        <w:r w:rsidR="00512D09" w:rsidRPr="006421D1">
          <w:rPr>
            <w:bCs/>
            <w:iCs/>
            <w:noProof/>
            <w:vertAlign w:val="superscript"/>
          </w:rPr>
          <w:t>280</w:t>
        </w:r>
        <w:r w:rsidR="00512D09">
          <w:rPr>
            <w:bCs/>
            <w:iCs/>
          </w:rPr>
          <w:fldChar w:fldCharType="end"/>
        </w:r>
      </w:hyperlink>
      <w:r>
        <w:rPr>
          <w:bCs/>
          <w:iCs/>
        </w:rPr>
        <w:t xml:space="preserve"> </w:t>
      </w:r>
      <w:r w:rsidR="00070ABA">
        <w:rPr>
          <w:bCs/>
          <w:iCs/>
        </w:rPr>
        <w:t>Presumably,</w:t>
      </w:r>
      <w:r>
        <w:rPr>
          <w:bCs/>
          <w:iCs/>
        </w:rPr>
        <w:t xml:space="preserve"> crosslinking lysozyme molecules via a bridiging phytate would induce less favourable binding due to the decrease of net positive charge on the two lysozyme molecules.  </w:t>
      </w:r>
      <w:r w:rsidR="00070ABA">
        <w:rPr>
          <w:bCs/>
          <w:iCs/>
        </w:rPr>
        <w:t>Therefore,</w:t>
      </w:r>
      <w:r>
        <w:rPr>
          <w:bCs/>
          <w:iCs/>
        </w:rPr>
        <w:t xml:space="preserve"> although crosslinking or aggregation may be responsible for the biphasic binding isotherm it does not necessarily mean it induces or is a signature of positive cooperativity. </w:t>
      </w:r>
    </w:p>
    <w:p w:rsidR="008E6BF7" w:rsidRDefault="008E6BF7" w:rsidP="008E6BF7">
      <w:pPr>
        <w:spacing w:line="480" w:lineRule="auto"/>
        <w:jc w:val="both"/>
        <w:rPr>
          <w:bCs/>
          <w:iCs/>
        </w:rPr>
      </w:pPr>
      <w:r w:rsidRPr="00E62A97">
        <w:rPr>
          <w:bCs/>
          <w:iCs/>
        </w:rPr>
        <w:t>The Derjaguin–Landau–Verwey–Overbeek (DLVO)</w:t>
      </w:r>
      <w:r>
        <w:rPr>
          <w:bCs/>
          <w:iCs/>
        </w:rPr>
        <w:t xml:space="preserve"> theory of the stability of lyophobic colloids was put forward to describe the behaviour of colloidal suspensions in aqueous electrolyte solutions.</w:t>
      </w:r>
      <w:hyperlink w:anchor="_ENREF_281" w:tooltip="Leckband, 1999 #623" w:history="1">
        <w:r w:rsidR="00512D09">
          <w:rPr>
            <w:bCs/>
            <w:iCs/>
          </w:rPr>
          <w:fldChar w:fldCharType="begin"/>
        </w:r>
        <w:r w:rsidR="00512D09">
          <w:rPr>
            <w:bCs/>
            <w:iCs/>
          </w:rPr>
          <w:instrText xml:space="preserve"> ADDIN EN.CITE &lt;EndNote&gt;&lt;Cite&gt;&lt;Author&gt;Leckband&lt;/Author&gt;&lt;Year&gt;1999&lt;/Year&gt;&lt;RecNum&gt;623&lt;/RecNum&gt;&lt;DisplayText&gt;&lt;style face="superscript"&gt;281&lt;/style&gt;&lt;/DisplayText&gt;&lt;record&gt;&lt;rec-number&gt;623&lt;/rec-number&gt;&lt;foreign-keys&gt;&lt;key app="EN" db-id="5trrespwzsdr07efd5tx2w96x22re9s0fsdt"&gt;623&lt;/key&gt;&lt;/foreign-keys&gt;&lt;ref-type name="Journal Article"&gt;17&lt;/ref-type&gt;&lt;contributors&gt;&lt;authors&gt;&lt;author&gt;Leckband, D.&lt;/author&gt;&lt;author&gt;Sivasankar, S.&lt;/author&gt;&lt;/authors&gt;&lt;/contributors&gt;&lt;titles&gt;&lt;title&gt;Forces controlling protein interactions: theory and experiment&lt;/title&gt;&lt;secondary-title&gt;Colloids and Surfaces B: Biointerfaces&lt;/secondary-title&gt;&lt;/titles&gt;&lt;periodical&gt;&lt;full-title&gt;Colloids and Surfaces B: Biointerfaces&lt;/full-title&gt;&lt;/periodical&gt;&lt;pages&gt;83-97&lt;/pages&gt;&lt;volume&gt;14&lt;/volume&gt;&lt;number&gt;1–4&lt;/number&gt;&lt;keywords&gt;&lt;keyword&gt;DLVO forces&lt;/keyword&gt;&lt;keyword&gt;Protein solution behavior&lt;/keyword&gt;&lt;keyword&gt;van der Waals forces&lt;/keyword&gt;&lt;/keywords&gt;&lt;dates&gt;&lt;year&gt;1999&lt;/year&gt;&lt;/dates&gt;&lt;isbn&gt;0927-7765&lt;/isbn&gt;&lt;urls&gt;&lt;related-urls&gt;&lt;url&gt;http://www.sciencedirect.com/science/article/pii/S0927776599000272&lt;/url&gt;&lt;/related-urls&gt;&lt;/urls&gt;&lt;electronic-resource-num&gt;http://dx.doi.org/10.1016/S0927-7765(99)00027-2&lt;/electronic-resource-num&gt;&lt;/record&gt;&lt;/Cite&gt;&lt;/EndNote&gt;</w:instrText>
        </w:r>
        <w:r w:rsidR="00512D09">
          <w:rPr>
            <w:bCs/>
            <w:iCs/>
          </w:rPr>
          <w:fldChar w:fldCharType="separate"/>
        </w:r>
        <w:r w:rsidR="00512D09" w:rsidRPr="006421D1">
          <w:rPr>
            <w:bCs/>
            <w:iCs/>
            <w:noProof/>
            <w:vertAlign w:val="superscript"/>
          </w:rPr>
          <w:t>281</w:t>
        </w:r>
        <w:r w:rsidR="00512D09">
          <w:rPr>
            <w:bCs/>
            <w:iCs/>
          </w:rPr>
          <w:fldChar w:fldCharType="end"/>
        </w:r>
      </w:hyperlink>
      <w:r>
        <w:rPr>
          <w:bCs/>
          <w:iCs/>
        </w:rPr>
        <w:t xml:space="preserve"> The theory suggests that the stability of colloidal suspensions is due </w:t>
      </w:r>
      <w:r>
        <w:rPr>
          <w:bCs/>
          <w:iCs/>
        </w:rPr>
        <w:lastRenderedPageBreak/>
        <w:t>to a balance of electrostatic repulsion and van der Waals attraction. For particles to aggregate, the repulsive electrostatic repulsion must be overcome and for this to occur, in some cases, the opposing charges must be neutralised. Van der Waals attraction is the consequence of forces between particles. The attractive force drives the formation of larger aggregates. Due to the intricacy of protein structure and the complex interplay of interactions governing protein-ligand formation, DVLO theory perhaps cannot describe the phytate-lysozyme interaction quantitatively. However</w:t>
      </w:r>
      <w:r w:rsidR="00CB479F">
        <w:rPr>
          <w:bCs/>
          <w:iCs/>
        </w:rPr>
        <w:t>,</w:t>
      </w:r>
      <w:r>
        <w:rPr>
          <w:bCs/>
          <w:iCs/>
        </w:rPr>
        <w:t xml:space="preserve"> it does explain it to some extent qualitatively.  Lysozyme has an overall positive </w:t>
      </w:r>
      <w:r w:rsidR="009D420F">
        <w:rPr>
          <w:bCs/>
          <w:iCs/>
        </w:rPr>
        <w:t>charge that</w:t>
      </w:r>
      <w:r>
        <w:rPr>
          <w:bCs/>
          <w:iCs/>
        </w:rPr>
        <w:t xml:space="preserve"> acts to repel other lysozyme molecules in solution. Phytate neutralises the positive charge on lysozyme upon binding. This allows aggregation of phytate-lysozyme complexes due to a lack of charge repulsion and favourable van der Waals forces between the complexes.   </w:t>
      </w:r>
    </w:p>
    <w:p w:rsidR="008E6BF7" w:rsidRDefault="008E6BF7" w:rsidP="008E6BF7">
      <w:pPr>
        <w:spacing w:line="480" w:lineRule="auto"/>
        <w:jc w:val="both"/>
        <w:rPr>
          <w:bCs/>
          <w:iCs/>
        </w:rPr>
      </w:pPr>
      <w:r>
        <w:rPr>
          <w:bCs/>
          <w:iCs/>
        </w:rPr>
        <w:t xml:space="preserve">Although this study suggests </w:t>
      </w:r>
      <w:r w:rsidR="009D420F">
        <w:rPr>
          <w:bCs/>
          <w:iCs/>
        </w:rPr>
        <w:t>that,</w:t>
      </w:r>
      <w:r>
        <w:rPr>
          <w:bCs/>
          <w:iCs/>
        </w:rPr>
        <w:t xml:space="preserve"> the biphasic nature of these binding isotherms is due to an aggregation or crosslinking event, in some ITC binding isotherms the b</w:t>
      </w:r>
      <w:r w:rsidRPr="008B316E">
        <w:rPr>
          <w:bCs/>
          <w:iCs/>
        </w:rPr>
        <w:t xml:space="preserve">iphasicity </w:t>
      </w:r>
      <w:r>
        <w:rPr>
          <w:bCs/>
          <w:iCs/>
        </w:rPr>
        <w:t xml:space="preserve">does not appear. Dam </w:t>
      </w:r>
      <w:r w:rsidRPr="008C0616">
        <w:rPr>
          <w:bCs/>
          <w:i/>
          <w:iCs/>
        </w:rPr>
        <w:t>et al</w:t>
      </w:r>
      <w:r w:rsidR="008F2959">
        <w:rPr>
          <w:bCs/>
          <w:i/>
          <w:iCs/>
        </w:rPr>
        <w:t>.</w:t>
      </w:r>
      <w:r>
        <w:rPr>
          <w:bCs/>
          <w:iCs/>
        </w:rPr>
        <w:t xml:space="preserve"> studied carbohydrates binding to </w:t>
      </w:r>
      <w:r w:rsidR="009D420F">
        <w:rPr>
          <w:bCs/>
          <w:iCs/>
        </w:rPr>
        <w:t>lectins that</w:t>
      </w:r>
      <w:r>
        <w:rPr>
          <w:bCs/>
          <w:iCs/>
        </w:rPr>
        <w:t xml:space="preserve"> are known to form soluble networks, but the titrations were not biphasic. </w:t>
      </w:r>
      <w:r w:rsidR="0075172E">
        <w:rPr>
          <w:bCs/>
          <w:iCs/>
        </w:rPr>
        <w:fldChar w:fldCharType="begin">
          <w:fldData xml:space="preserve">PEVuZE5vdGU+PENpdGU+PEF1dGhvcj5EYW08L0F1dGhvcj48WWVhcj4yMDAwPC9ZZWFyPjxSZWNO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</w:fldData>
        </w:fldChar>
      </w:r>
      <w:r w:rsidR="006421D1">
        <w:rPr>
          <w:bCs/>
          <w:iCs/>
        </w:rPr>
        <w:instrText xml:space="preserve"> ADDIN EN.CITE </w:instrText>
      </w:r>
      <w:r w:rsidR="0075172E">
        <w:rPr>
          <w:bCs/>
          <w:iCs/>
        </w:rPr>
        <w:fldChar w:fldCharType="begin">
          <w:fldData xml:space="preserve">PEVuZE5vdGU+PENpdGU+PEF1dGhvcj5EYW08L0F1dGhvcj48WWVhcj4yMDAwPC9ZZWFyPjxSZWNO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</w:fldData>
        </w:fldChar>
      </w:r>
      <w:r w:rsidR="006421D1">
        <w:rPr>
          <w:bCs/>
          <w:iCs/>
        </w:rPr>
        <w:instrText xml:space="preserve"> ADDIN EN.CITE.DATA </w:instrText>
      </w:r>
      <w:r w:rsidR="0075172E">
        <w:rPr>
          <w:bCs/>
          <w:iCs/>
        </w:rPr>
      </w:r>
      <w:r w:rsidR="0075172E">
        <w:rPr>
          <w:bCs/>
          <w:iCs/>
        </w:rPr>
        <w:fldChar w:fldCharType="end"/>
      </w:r>
      <w:r w:rsidR="0075172E">
        <w:rPr>
          <w:bCs/>
          <w:iCs/>
        </w:rPr>
      </w:r>
      <w:r w:rsidR="0075172E">
        <w:rPr>
          <w:bCs/>
          <w:iCs/>
        </w:rPr>
        <w:fldChar w:fldCharType="separate"/>
      </w:r>
      <w:hyperlink w:anchor="_ENREF_280" w:tooltip="Dam, 2000 #585" w:history="1">
        <w:r w:rsidR="00512D09" w:rsidRPr="006421D1">
          <w:rPr>
            <w:bCs/>
            <w:iCs/>
            <w:noProof/>
            <w:vertAlign w:val="superscript"/>
          </w:rPr>
          <w:t>280</w:t>
        </w:r>
      </w:hyperlink>
      <w:r w:rsidR="006421D1" w:rsidRPr="006421D1">
        <w:rPr>
          <w:bCs/>
          <w:iCs/>
          <w:noProof/>
          <w:vertAlign w:val="superscript"/>
        </w:rPr>
        <w:t>,</w:t>
      </w:r>
      <w:hyperlink w:anchor="_ENREF_282" w:tooltip="Dam, 2002 #593" w:history="1">
        <w:r w:rsidR="00512D09" w:rsidRPr="006421D1">
          <w:rPr>
            <w:bCs/>
            <w:iCs/>
            <w:noProof/>
            <w:vertAlign w:val="superscript"/>
          </w:rPr>
          <w:t>282</w:t>
        </w:r>
      </w:hyperlink>
      <w:r w:rsidR="0075172E">
        <w:rPr>
          <w:bCs/>
          <w:iCs/>
        </w:rPr>
        <w:fldChar w:fldCharType="end"/>
      </w:r>
      <w:r>
        <w:rPr>
          <w:bCs/>
          <w:iCs/>
        </w:rPr>
        <w:t xml:space="preserve"> </w:t>
      </w:r>
      <w:r w:rsidRPr="00727628">
        <w:rPr>
          <w:bCs/>
          <w:iCs/>
        </w:rPr>
        <w:t xml:space="preserve">Tannins are known protein precipitating agents </w:t>
      </w:r>
      <w:r>
        <w:rPr>
          <w:bCs/>
          <w:iCs/>
        </w:rPr>
        <w:t>and their action is thought to be due to crosslinking macromolecules in solution</w:t>
      </w:r>
      <w:r w:rsidRPr="00727628">
        <w:rPr>
          <w:bCs/>
          <w:iCs/>
        </w:rPr>
        <w:t xml:space="preserve">. However, titration of tannins into </w:t>
      </w:r>
      <w:r>
        <w:rPr>
          <w:bCs/>
          <w:iCs/>
        </w:rPr>
        <w:t>macromolecule</w:t>
      </w:r>
      <w:r w:rsidRPr="00727628">
        <w:rPr>
          <w:bCs/>
          <w:iCs/>
        </w:rPr>
        <w:t xml:space="preserve"> solutions does not always induce the upward curvature </w:t>
      </w:r>
      <w:r>
        <w:rPr>
          <w:bCs/>
          <w:iCs/>
        </w:rPr>
        <w:t xml:space="preserve">at low molar ratios </w:t>
      </w:r>
      <w:r w:rsidRPr="00727628">
        <w:rPr>
          <w:bCs/>
          <w:iCs/>
        </w:rPr>
        <w:t>even though some level of crosslinking would be occurring in the cell</w:t>
      </w:r>
      <w:r>
        <w:rPr>
          <w:bCs/>
          <w:iCs/>
        </w:rPr>
        <w:t>.</w:t>
      </w:r>
      <w:r w:rsidRPr="00727628">
        <w:rPr>
          <w:bCs/>
          <w:iCs/>
        </w:rPr>
        <w:t xml:space="preserve"> </w:t>
      </w:r>
      <w:hyperlink w:anchor="_ENREF_220" w:tooltip="McRae, 2010 #408" w:history="1">
        <w:r w:rsidR="00512D09" w:rsidRPr="00727628">
          <w:rPr>
            <w:bCs/>
            <w:iCs/>
          </w:rPr>
          <w:fldChar w:fldCharType="begin">
            <w:fldData xml:space="preserve">PEVuZE5vdGU+PENpdGU+PEF1dGhvcj5NY1JhZTwvQXV0aG9yPjxZZWFyPjIwMTA8L1llYXI+PFJl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==
</w:fldData>
          </w:fldChar>
        </w:r>
        <w:r w:rsidR="00512D09">
          <w:rPr>
            <w:bCs/>
            <w:iCs/>
          </w:rPr>
          <w:instrText xml:space="preserve"> ADDIN EN.CITE </w:instrText>
        </w:r>
        <w:r w:rsidR="00512D09">
          <w:rPr>
            <w:bCs/>
            <w:iCs/>
          </w:rPr>
          <w:fldChar w:fldCharType="begin">
            <w:fldData xml:space="preserve">PEVuZE5vdGU+PENpdGU+PEF1dGhvcj5NY1JhZTwvQXV0aG9yPjxZZWFyPjIwMTA8L1llYXI+PFJl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==
</w:fldData>
          </w:fldChar>
        </w:r>
        <w:r w:rsidR="00512D09">
          <w:rPr>
            <w:bCs/>
            <w:iCs/>
          </w:rPr>
          <w:instrText xml:space="preserve"> ADDIN EN.CITE.DATA </w:instrText>
        </w:r>
        <w:r w:rsidR="00512D09">
          <w:rPr>
            <w:bCs/>
            <w:iCs/>
          </w:rPr>
        </w:r>
        <w:r w:rsidR="00512D09">
          <w:rPr>
            <w:bCs/>
            <w:iCs/>
          </w:rPr>
          <w:fldChar w:fldCharType="end"/>
        </w:r>
        <w:r w:rsidR="00512D09" w:rsidRPr="00727628">
          <w:rPr>
            <w:bCs/>
            <w:iCs/>
          </w:rPr>
        </w:r>
        <w:r w:rsidR="00512D09" w:rsidRPr="00727628">
          <w:rPr>
            <w:bCs/>
            <w:iCs/>
          </w:rPr>
          <w:fldChar w:fldCharType="separate"/>
        </w:r>
        <w:r w:rsidR="00512D09" w:rsidRPr="006421D1">
          <w:rPr>
            <w:bCs/>
            <w:iCs/>
            <w:noProof/>
            <w:vertAlign w:val="superscript"/>
          </w:rPr>
          <w:t>220</w:t>
        </w:r>
        <w:r w:rsidR="00512D09" w:rsidRPr="00727628">
          <w:rPr>
            <w:bCs/>
            <w:iCs/>
          </w:rPr>
          <w:fldChar w:fldCharType="end"/>
        </w:r>
      </w:hyperlink>
      <w:r>
        <w:rPr>
          <w:bCs/>
          <w:iCs/>
        </w:rPr>
        <w:t xml:space="preserve"> It could be suggested that the biphasic nature is due to crosslinking differing protein sites via a ligand or perhaps to an extensive crosslinking process. It is important to point out that </w:t>
      </w:r>
      <w:r w:rsidR="008019AE">
        <w:rPr>
          <w:bCs/>
          <w:iCs/>
        </w:rPr>
        <w:t>crosslinking</w:t>
      </w:r>
      <w:r>
        <w:rPr>
          <w:bCs/>
          <w:iCs/>
        </w:rPr>
        <w:t xml:space="preserve"> is not synonymous with positive cooperativity. If </w:t>
      </w:r>
      <w:r w:rsidR="008019AE">
        <w:rPr>
          <w:bCs/>
          <w:iCs/>
        </w:rPr>
        <w:t>crosslinking</w:t>
      </w:r>
      <w:r>
        <w:rPr>
          <w:bCs/>
          <w:iCs/>
        </w:rPr>
        <w:t xml:space="preserve"> were a mechanism for positive cooperativity it makes little sense as presumably less soluble lysozyme would be less able to bind phytate.  </w:t>
      </w:r>
    </w:p>
    <w:p w:rsidR="008E6BF7" w:rsidRDefault="008E6BF7" w:rsidP="008E6BF7">
      <w:pPr>
        <w:spacing w:line="480" w:lineRule="auto"/>
        <w:jc w:val="both"/>
        <w:rPr>
          <w:bCs/>
          <w:iCs/>
        </w:rPr>
      </w:pPr>
      <w:r w:rsidRPr="007E6028">
        <w:rPr>
          <w:bCs/>
          <w:iCs/>
        </w:rPr>
        <w:t>Cooper suggested that changing the concentration of the macromolecule would alter the enthalpy significantly if aggregation was present</w:t>
      </w:r>
      <w:r>
        <w:rPr>
          <w:bCs/>
          <w:iCs/>
        </w:rPr>
        <w:t>.</w:t>
      </w:r>
      <w:hyperlink w:anchor="_ENREF_213" w:tooltip="Cooper, 1993 #416" w:history="1">
        <w:r w:rsidR="00512D09" w:rsidRPr="007E6028">
          <w:rPr>
            <w:bCs/>
            <w:iCs/>
          </w:rPr>
          <w:fldChar w:fldCharType="begin"/>
        </w:r>
        <w:r w:rsidR="00512D09">
          <w:rPr>
            <w:bCs/>
            <w:iCs/>
          </w:rPr>
          <w:instrText xml:space="preserve"> ADDIN EN.CITE &lt;EndNote&gt;&lt;Cite&gt;&lt;Author&gt;Cooper&lt;/Author&gt;&lt;Year&gt;1993&lt;/Year&gt;&lt;RecNum&gt;416&lt;/RecNum&gt;&lt;DisplayText&gt;&lt;style face="superscript"&gt;213&lt;/style&gt;&lt;/DisplayText&gt;&lt;record&gt;&lt;rec-number&gt;416&lt;/rec-number&gt;&lt;foreign-keys&gt;&lt;key app="EN" db-id="5trrespwzsdr07efd5tx2w96x22re9s0fsdt"&gt;416&lt;/key&gt;&lt;/foreign-keys&gt;&lt;ref-type name="Journal Article"&gt;17&lt;/ref-type&gt;&lt;contributors&gt;&lt;authors&gt;&lt;author&gt;Cooper, Alan&lt;/author&gt;&lt;author&gt;McAuley-Hecht, Katherine E.&lt;/author&gt;&lt;/authors&gt;&lt;/contributors&gt;&lt;titles&gt;&lt;title&gt;Microcalorimetry and the Molecular Recognition of Peptides and Proteins&lt;/title&gt;&lt;secondary-title&gt;Philosophical Transactions of the Royal Society of London. Series A: Physical and Engineering Sciences&lt;/secondary-title&gt;&lt;/titles&gt;&lt;periodical&gt;&lt;full-title&gt;Philosophical Transactions of the Royal Society of London. Series A: Physical and Engineering Sciences&lt;/full-title&gt;&lt;/periodical&gt;&lt;pages&gt;23-35&lt;/pages&gt;&lt;volume&gt;345&lt;/volume&gt;&lt;number&gt;1674&lt;/number&gt;&lt;dates&gt;&lt;year&gt;1993&lt;/year&gt;&lt;pub-dates&gt;&lt;date&gt;October 15, 1993&lt;/date&gt;&lt;/pub-dates&gt;&lt;/dates&gt;&lt;urls&gt;&lt;related-urls&gt;&lt;url&gt;http://rsta.royalsocietypublishing.org/content/345/1674/23.abstract&lt;/url&gt;&lt;/related-urls&gt;&lt;/urls&gt;&lt;electronic-resource-num&gt;10.1098/rsta.1993.0114&lt;/electronic-resource-num&gt;&lt;/record&gt;&lt;/Cite&gt;&lt;/EndNote&gt;</w:instrText>
        </w:r>
        <w:r w:rsidR="00512D09" w:rsidRPr="007E6028">
          <w:rPr>
            <w:bCs/>
            <w:iCs/>
          </w:rPr>
          <w:fldChar w:fldCharType="separate"/>
        </w:r>
        <w:r w:rsidR="00512D09" w:rsidRPr="006421D1">
          <w:rPr>
            <w:bCs/>
            <w:iCs/>
            <w:noProof/>
            <w:vertAlign w:val="superscript"/>
          </w:rPr>
          <w:t>213</w:t>
        </w:r>
        <w:r w:rsidR="00512D09" w:rsidRPr="007E6028">
          <w:fldChar w:fldCharType="end"/>
        </w:r>
      </w:hyperlink>
      <w:r w:rsidRPr="007E6028">
        <w:rPr>
          <w:bCs/>
          <w:iCs/>
        </w:rPr>
        <w:t xml:space="preserve"> </w:t>
      </w:r>
      <w:r>
        <w:rPr>
          <w:bCs/>
          <w:iCs/>
        </w:rPr>
        <w:t>C</w:t>
      </w:r>
      <w:r w:rsidRPr="007E6028">
        <w:rPr>
          <w:bCs/>
          <w:iCs/>
        </w:rPr>
        <w:t xml:space="preserve">hanging the protein concentration </w:t>
      </w:r>
      <w:r w:rsidRPr="007E6028">
        <w:rPr>
          <w:bCs/>
          <w:iCs/>
        </w:rPr>
        <w:lastRenderedPageBreak/>
        <w:t xml:space="preserve">from 0.4 mM lysozyme to 0.184 mM lysozyme </w:t>
      </w:r>
      <w:r>
        <w:rPr>
          <w:bCs/>
          <w:iCs/>
        </w:rPr>
        <w:t xml:space="preserve">in 10 mM ammonium acetate </w:t>
      </w:r>
      <w:r w:rsidRPr="007E6028">
        <w:rPr>
          <w:bCs/>
          <w:iCs/>
        </w:rPr>
        <w:t>did not significant</w:t>
      </w:r>
      <w:r>
        <w:rPr>
          <w:bCs/>
          <w:iCs/>
        </w:rPr>
        <w:t>ly alter the enthalpy (</w:t>
      </w:r>
      <w:r w:rsidR="0075172E">
        <w:rPr>
          <w:bCs/>
          <w:iCs/>
        </w:rPr>
        <w:fldChar w:fldCharType="begin"/>
      </w:r>
      <w:r w:rsidR="00FA4BEA">
        <w:rPr>
          <w:bCs/>
          <w:iCs/>
        </w:rPr>
        <w:instrText xml:space="preserve"> REF _Ref442884448 \h </w:instrText>
      </w:r>
      <w:r w:rsidR="0075172E">
        <w:rPr>
          <w:bCs/>
          <w:iCs/>
        </w:rPr>
      </w:r>
      <w:r w:rsidR="0075172E">
        <w:rPr>
          <w:bCs/>
          <w:iCs/>
        </w:rPr>
        <w:fldChar w:fldCharType="separate"/>
      </w:r>
      <w:r w:rsidR="00CB4EDC">
        <w:t xml:space="preserve">Figure </w:t>
      </w:r>
      <w:r w:rsidR="00CB4EDC">
        <w:rPr>
          <w:noProof/>
        </w:rPr>
        <w:t>4</w:t>
      </w:r>
      <w:r w:rsidR="00CB4EDC">
        <w:t>.</w:t>
      </w:r>
      <w:r w:rsidR="00CB4EDC">
        <w:rPr>
          <w:noProof/>
        </w:rPr>
        <w:t>17</w:t>
      </w:r>
      <w:r w:rsidR="0075172E">
        <w:rPr>
          <w:bCs/>
          <w:iCs/>
        </w:rPr>
        <w:fldChar w:fldCharType="end"/>
      </w:r>
      <w:r w:rsidRPr="007E6028">
        <w:rPr>
          <w:bCs/>
          <w:iCs/>
        </w:rPr>
        <w:t xml:space="preserve">). The change in </w:t>
      </w:r>
      <w:r w:rsidR="001926E7" w:rsidRPr="001D171F">
        <w:rPr>
          <w:rFonts w:eastAsiaTheme="minorEastAsia"/>
        </w:rPr>
        <w:t>Δ</w:t>
      </w:r>
      <w:r w:rsidR="001926E7">
        <w:rPr>
          <w:rFonts w:eastAsiaTheme="minorEastAsia"/>
          <w:i/>
        </w:rPr>
        <w:t>H</w:t>
      </w:r>
      <w:r w:rsidR="001926E7" w:rsidRPr="007E6028">
        <w:rPr>
          <w:bCs/>
          <w:iCs/>
        </w:rPr>
        <w:t xml:space="preserve"> </w:t>
      </w:r>
      <w:r w:rsidRPr="007E6028">
        <w:rPr>
          <w:bCs/>
          <w:iCs/>
        </w:rPr>
        <w:t xml:space="preserve">between the two titrations was calculated to be </w:t>
      </w:r>
      <w:r>
        <w:rPr>
          <w:bCs/>
          <w:iCs/>
        </w:rPr>
        <w:t>0</w:t>
      </w:r>
      <w:r w:rsidRPr="007E6028">
        <w:rPr>
          <w:bCs/>
          <w:iCs/>
        </w:rPr>
        <w:t>.3 kJ/mol. However</w:t>
      </w:r>
      <w:r w:rsidR="00CB479F">
        <w:rPr>
          <w:bCs/>
          <w:iCs/>
        </w:rPr>
        <w:t>,</w:t>
      </w:r>
      <w:r w:rsidRPr="007E6028">
        <w:rPr>
          <w:bCs/>
          <w:iCs/>
        </w:rPr>
        <w:t xml:space="preserve"> at the end of both titrations precipitation was clearly visible. Presumably, this is a crosslinking induced precipitation</w:t>
      </w:r>
      <w:r>
        <w:rPr>
          <w:bCs/>
          <w:iCs/>
        </w:rPr>
        <w:t xml:space="preserve"> reaction rather than a normal binding </w:t>
      </w:r>
      <w:r w:rsidRPr="007E6028">
        <w:rPr>
          <w:bCs/>
          <w:iCs/>
        </w:rPr>
        <w:t xml:space="preserve">interaction. </w:t>
      </w:r>
    </w:p>
    <w:p w:rsidR="008E6BF7" w:rsidRPr="00233AB1" w:rsidRDefault="00040F10" w:rsidP="0014785B">
      <w:pPr>
        <w:spacing w:line="480" w:lineRule="auto"/>
        <w:jc w:val="center"/>
        <w:rPr>
          <w:bCs/>
          <w:iCs/>
        </w:rPr>
      </w:pPr>
      <w:r>
        <w:rPr>
          <w:bCs/>
          <w:iCs/>
          <w:noProof/>
          <w:lang w:eastAsia="en-GB"/>
        </w:rPr>
        <w:pict>
          <v:shape id="Text Box 86" o:spid="_x0000_s1049" type="#_x0000_t202" style="position:absolute;left:0;text-align:left;margin-left:-11.5pt;margin-top:26.5pt;width:24.05pt;height:218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" strokecolor="white [3212]">
            <v:textbox style="layout-flow:vertical;mso-layout-flow-alt:bottom-to-top">
              <w:txbxContent>
                <w:p w:rsidR="003A5686" w:rsidRPr="00C27A17" w:rsidRDefault="003A5686" w:rsidP="00800BC5">
                  <w:pPr>
                    <w:rPr>
                      <w:rFonts w:ascii="Arial" w:hAnsi="Arial" w:cs="Arial"/>
                      <w:b/>
                      <w:color w:val="262626" w:themeColor="text1" w:themeTint="D9"/>
                      <w:sz w:val="18"/>
                      <w:szCs w:val="18"/>
                    </w:rPr>
                  </w:pPr>
                  <w:r w:rsidRPr="00C27A17">
                    <w:rPr>
                      <w:rFonts w:ascii="Arial" w:hAnsi="Arial" w:cs="Arial"/>
                      <w:b/>
                      <w:color w:val="262626" w:themeColor="text1" w:themeTint="D9"/>
                      <w:sz w:val="18"/>
                      <w:szCs w:val="18"/>
                    </w:rPr>
                    <w:t>Normalised Fit (kJ/mol)      Raw Heat Rate (µJ/s)</w:t>
                  </w:r>
                </w:p>
              </w:txbxContent>
            </v:textbox>
          </v:shape>
        </w:pict>
      </w:r>
      <w:r w:rsidR="003908F4">
        <w:rPr>
          <w:bCs/>
          <w:iCs/>
          <w:noProof/>
          <w:lang w:eastAsia="en-GB"/>
        </w:rPr>
        <w:drawing>
          <wp:inline distT="0" distB="0" distL="0" distR="0" wp14:anchorId="3DB99311" wp14:editId="134BCA3F">
            <wp:extent cx="5205730" cy="3493237"/>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5205730" cy="3493237"/>
                    </a:xfrm>
                    <a:prstGeom prst="rect">
                      <a:avLst/>
                    </a:prstGeom>
                    <a:noFill/>
                    <a:ln w="9525">
                      <a:noFill/>
                      <a:miter lim="800000"/>
                      <a:headEnd/>
                      <a:tailEnd/>
                    </a:ln>
                  </pic:spPr>
                </pic:pic>
              </a:graphicData>
            </a:graphic>
          </wp:inline>
        </w:drawing>
      </w:r>
    </w:p>
    <w:p w:rsidR="008E6BF7" w:rsidRDefault="008E6BF7" w:rsidP="008E6BF7">
      <w:pPr>
        <w:pStyle w:val="Caption"/>
        <w:spacing w:line="480" w:lineRule="auto"/>
        <w:jc w:val="center"/>
      </w:pPr>
      <w:bookmarkStart w:id="177" w:name="_Ref442884448"/>
      <w:bookmarkStart w:id="178" w:name="_Ref442884390"/>
      <w:r>
        <w:t xml:space="preserve">Figure </w:t>
      </w:r>
      <w:r w:rsidR="0075172E">
        <w:fldChar w:fldCharType="begin"/>
      </w:r>
      <w:r w:rsidR="00AC2227">
        <w:instrText xml:space="preserve"> STYLEREF 1 \s </w:instrText>
      </w:r>
      <w:r w:rsidR="0075172E">
        <w:fldChar w:fldCharType="separate"/>
      </w:r>
      <w:r w:rsidR="00CB4EDC">
        <w:rPr>
          <w:noProof/>
        </w:rPr>
        <w:t>4</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17</w:t>
      </w:r>
      <w:r w:rsidR="0075172E">
        <w:fldChar w:fldCharType="end"/>
      </w:r>
      <w:bookmarkEnd w:id="177"/>
      <w:r>
        <w:t>: Upper: The</w:t>
      </w:r>
      <w:r w:rsidR="00D31B90">
        <w:t>r</w:t>
      </w:r>
      <w:r>
        <w:t>mograms for the interactions of  6</w:t>
      </w:r>
      <w:r w:rsidRPr="001824F9">
        <w:t xml:space="preserve"> mM phytate and 0.4</w:t>
      </w:r>
      <w:r>
        <w:t xml:space="preserve"> and 0.184 </w:t>
      </w:r>
      <w:r w:rsidRPr="001824F9">
        <w:t>mM lysozyme in 10</w:t>
      </w:r>
      <w:r>
        <w:t xml:space="preserve"> </w:t>
      </w:r>
      <w:r w:rsidRPr="001824F9">
        <w:t>mM ammonium acetate pH 4</w:t>
      </w:r>
      <w:r>
        <w:t xml:space="preserve"> at 25</w:t>
      </w:r>
      <w:r w:rsidR="006F2757">
        <w:t xml:space="preserve"> </w:t>
      </w:r>
      <w:r>
        <w:t>°C</w:t>
      </w:r>
      <w:r w:rsidRPr="001824F9">
        <w:t>.</w:t>
      </w:r>
      <w:r>
        <w:t xml:space="preserve"> </w:t>
      </w:r>
      <w:r w:rsidRPr="001824F9">
        <w:t>ITC binding i</w:t>
      </w:r>
      <w:r>
        <w:t>sotherm for the interaction of 6</w:t>
      </w:r>
      <w:r w:rsidRPr="001824F9">
        <w:t xml:space="preserve"> mM phytate and 0.4</w:t>
      </w:r>
      <w:r>
        <w:t xml:space="preserve"> (</w:t>
      </w:r>
      <w:r w:rsidR="00D61B08">
        <w:t>open triangles</w:t>
      </w:r>
      <w:r>
        <w:t xml:space="preserve">) and 0.184 (closed </w:t>
      </w:r>
      <w:r w:rsidR="00D61B08">
        <w:t>diamonds</w:t>
      </w:r>
      <w:r>
        <w:t>)</w:t>
      </w:r>
      <w:r w:rsidRPr="001824F9">
        <w:t xml:space="preserve"> mM lysozyme in 10</w:t>
      </w:r>
      <w:r>
        <w:t xml:space="preserve"> </w:t>
      </w:r>
      <w:r w:rsidRPr="001824F9">
        <w:t>mM ammonium acetate pH 4</w:t>
      </w:r>
      <w:r>
        <w:t xml:space="preserve"> at 25</w:t>
      </w:r>
      <w:r w:rsidR="006F2757">
        <w:t xml:space="preserve"> </w:t>
      </w:r>
      <w:r>
        <w:t>°C</w:t>
      </w:r>
      <w:r w:rsidRPr="001824F9">
        <w:t>.</w:t>
      </w:r>
      <w:bookmarkEnd w:id="178"/>
      <w:r w:rsidR="004E0F1C">
        <w:t xml:space="preserve"> Solid line represents single site independent binding model fit.</w:t>
      </w:r>
    </w:p>
    <w:p w:rsidR="005B74DA" w:rsidRDefault="005B74DA" w:rsidP="005B74DA"/>
    <w:p w:rsidR="005B74DA" w:rsidRDefault="005B74DA" w:rsidP="005B74DA"/>
    <w:p w:rsidR="005B74DA" w:rsidRDefault="005B74DA" w:rsidP="005B74DA"/>
    <w:p w:rsidR="005B74DA" w:rsidRPr="005B74DA" w:rsidRDefault="005B74DA" w:rsidP="005B74DA"/>
    <w:p w:rsidR="008E6BF7" w:rsidRPr="003E5B9E" w:rsidRDefault="008E6BF7" w:rsidP="00343A08">
      <w:pPr>
        <w:pStyle w:val="Heading2"/>
        <w:spacing w:line="480" w:lineRule="auto"/>
      </w:pPr>
      <w:bookmarkStart w:id="179" w:name="_Toc459130720"/>
      <w:r w:rsidRPr="003E5B9E">
        <w:lastRenderedPageBreak/>
        <w:t>Conclusion</w:t>
      </w:r>
      <w:bookmarkEnd w:id="179"/>
    </w:p>
    <w:p w:rsidR="008E6BF7" w:rsidRDefault="008E6BF7" w:rsidP="008E6BF7">
      <w:pPr>
        <w:spacing w:line="480" w:lineRule="auto"/>
        <w:jc w:val="both"/>
        <w:rPr>
          <w:bCs/>
          <w:iCs/>
        </w:rPr>
      </w:pPr>
      <w:r>
        <w:rPr>
          <w:bCs/>
          <w:iCs/>
        </w:rPr>
        <w:t xml:space="preserve">In conclusion, the ITC study reveals that the phytate-lysozyme interaction is enthalpically driven and the source of this favourable </w:t>
      </w:r>
      <w:r w:rsidRPr="00926E1F">
        <w:rPr>
          <w:bCs/>
          <w:iCs/>
        </w:rPr>
        <w:t>Δ</w:t>
      </w:r>
      <w:r w:rsidRPr="00926E1F">
        <w:rPr>
          <w:bCs/>
          <w:i/>
          <w:iCs/>
        </w:rPr>
        <w:t>H</w:t>
      </w:r>
      <w:r>
        <w:rPr>
          <w:bCs/>
          <w:iCs/>
        </w:rPr>
        <w:t xml:space="preserve"> is most likely electrostatic interaction. The change in stoichiometry suggests a crosslinking process that becomes less favourable with increasing temperature. Additionally, increasing the temperature increases the affinity phytate has for lysozyme. </w:t>
      </w:r>
      <w:r w:rsidR="001F0AEC">
        <w:rPr>
          <w:bCs/>
          <w:iCs/>
        </w:rPr>
        <w:t>Finally,</w:t>
      </w:r>
      <w:r>
        <w:rPr>
          <w:bCs/>
          <w:iCs/>
        </w:rPr>
        <w:t xml:space="preserve"> it is suggested that the apparent initial increase in </w:t>
      </w:r>
      <w:r w:rsidRPr="000A0E46">
        <w:rPr>
          <w:bCs/>
          <w:iCs/>
        </w:rPr>
        <w:t>Δ</w:t>
      </w:r>
      <w:r w:rsidRPr="000A0E46">
        <w:rPr>
          <w:bCs/>
          <w:i/>
          <w:iCs/>
        </w:rPr>
        <w:t>H</w:t>
      </w:r>
      <w:r>
        <w:rPr>
          <w:bCs/>
          <w:iCs/>
        </w:rPr>
        <w:t xml:space="preserve"> for the first few injections should not be taken as allosteric positive cooperativity without thorough inspection, as has been done previously with ITC data, as the biphasic isotherm can be explained by a crosslinking phenomena. In cases where allostery is suspected there should be structural (protein conformational changes), thermodynamic (changing protein affinity for the ligand with increasing concentration of the ligand) and biological (arguments based in terms of evolution) evidence. </w:t>
      </w:r>
    </w:p>
    <w:p w:rsidR="000574FF" w:rsidRDefault="000574FF" w:rsidP="0095721B"/>
    <w:p w:rsidR="0059143E" w:rsidRDefault="0059143E" w:rsidP="0095721B"/>
    <w:p w:rsidR="0059143E" w:rsidRDefault="0059143E" w:rsidP="0095721B"/>
    <w:p w:rsidR="0059143E" w:rsidRDefault="0059143E" w:rsidP="0095721B"/>
    <w:p w:rsidR="0059143E" w:rsidRDefault="0059143E" w:rsidP="0095721B"/>
    <w:p w:rsidR="0059143E" w:rsidRDefault="0059143E" w:rsidP="0095721B"/>
    <w:p w:rsidR="0059143E" w:rsidRDefault="0059143E" w:rsidP="0095721B"/>
    <w:p w:rsidR="0059143E" w:rsidRDefault="0059143E" w:rsidP="0095721B"/>
    <w:p w:rsidR="0059143E" w:rsidRDefault="0059143E" w:rsidP="0095721B"/>
    <w:p w:rsidR="0059143E" w:rsidRDefault="0059143E" w:rsidP="0095721B"/>
    <w:p w:rsidR="0059143E" w:rsidRDefault="0059143E" w:rsidP="0095721B"/>
    <w:p w:rsidR="0059143E" w:rsidRDefault="0059143E" w:rsidP="0095721B"/>
    <w:p w:rsidR="0059143E" w:rsidRDefault="0059143E" w:rsidP="0095721B"/>
    <w:p w:rsidR="0059143E" w:rsidRDefault="0059143E" w:rsidP="0095721B"/>
    <w:p w:rsidR="00956B80" w:rsidRPr="00626B72" w:rsidRDefault="00626B72" w:rsidP="00626B72">
      <w:pPr>
        <w:pStyle w:val="Heading1"/>
        <w:spacing w:line="480" w:lineRule="auto"/>
        <w:jc w:val="center"/>
        <w:rPr>
          <w:shd w:val="clear" w:color="auto" w:fill="FFFFFF"/>
        </w:rPr>
      </w:pPr>
      <w:bookmarkStart w:id="180" w:name="_Toc459130721"/>
      <w:r w:rsidRPr="00626B72">
        <w:rPr>
          <w:shd w:val="clear" w:color="auto" w:fill="FFFFFF"/>
        </w:rPr>
        <w:lastRenderedPageBreak/>
        <w:t>Chapter 5</w:t>
      </w:r>
      <w:r w:rsidR="00956B80" w:rsidRPr="00626B72">
        <w:rPr>
          <w:shd w:val="clear" w:color="auto" w:fill="FFFFFF"/>
        </w:rPr>
        <w:t>: A Continuous Isothermal Titration Calorimetry (cITC) Study of the Interaction between Phytate and Lysozyme</w:t>
      </w:r>
      <w:bookmarkEnd w:id="180"/>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Default="00956B80" w:rsidP="00956B80">
      <w:pPr>
        <w:spacing w:line="480" w:lineRule="auto"/>
        <w:jc w:val="both"/>
      </w:pPr>
    </w:p>
    <w:p w:rsidR="00956B80" w:rsidRPr="00626B72" w:rsidRDefault="00956B80" w:rsidP="00626B72">
      <w:pPr>
        <w:pStyle w:val="Heading2"/>
        <w:spacing w:line="480" w:lineRule="auto"/>
      </w:pPr>
      <w:bookmarkStart w:id="181" w:name="_Toc459130722"/>
      <w:r w:rsidRPr="00626B72">
        <w:lastRenderedPageBreak/>
        <w:t>Summary</w:t>
      </w:r>
      <w:bookmarkEnd w:id="181"/>
    </w:p>
    <w:p w:rsidR="00956B80" w:rsidRDefault="00956B80" w:rsidP="00956B80">
      <w:pPr>
        <w:spacing w:line="480" w:lineRule="auto"/>
        <w:jc w:val="both"/>
      </w:pPr>
      <w:r>
        <w:t xml:space="preserve">Continuous </w:t>
      </w:r>
      <w:r w:rsidR="00DF451E">
        <w:t xml:space="preserve">Isothermal Titration Calorimetry </w:t>
      </w:r>
      <w:r>
        <w:t>(cITC) is a method where the ligand solution is continuously titrated over one time interval. This offers the opportunity of thousands of data points meaning the thermodynamics of complex binding modes could be calculated. Continuously titrating a solution of 6 mM phytate into 0.4 mM lysozyme in the presence of 10 mM ammonium acetate produced binding isotherms that had similar shapes in comparison to the ITC studies using incremental injections (iITC). This suggested that the binding stoichiometry at two molar ratios does involve binding to multiple sites. There was a discrepancy at 10</w:t>
      </w:r>
      <w:r w:rsidR="006F2757">
        <w:t xml:space="preserve"> </w:t>
      </w:r>
      <w:r>
        <w:t xml:space="preserve">°C between the iITC and cITC binding isotherms. It was suggested that this was due to the crosslinking phenomena becoming more extensive with decreasing temperature. </w:t>
      </w:r>
    </w:p>
    <w:p w:rsidR="008F2959" w:rsidRDefault="008F2959" w:rsidP="00956B80">
      <w:pPr>
        <w:spacing w:line="480" w:lineRule="auto"/>
        <w:jc w:val="both"/>
      </w:pPr>
    </w:p>
    <w:p w:rsidR="008F2959" w:rsidRDefault="008F2959" w:rsidP="00956B80">
      <w:pPr>
        <w:spacing w:line="480" w:lineRule="auto"/>
        <w:jc w:val="both"/>
        <w:rPr>
          <w:b/>
        </w:rPr>
      </w:pPr>
    </w:p>
    <w:p w:rsidR="00956B80" w:rsidRDefault="00956B80" w:rsidP="00956B80">
      <w:pPr>
        <w:spacing w:line="480" w:lineRule="auto"/>
        <w:jc w:val="both"/>
        <w:rPr>
          <w:b/>
        </w:rPr>
      </w:pPr>
    </w:p>
    <w:p w:rsidR="00956B80" w:rsidRDefault="00956B80" w:rsidP="00956B80">
      <w:pPr>
        <w:spacing w:line="480" w:lineRule="auto"/>
        <w:jc w:val="both"/>
        <w:rPr>
          <w:b/>
        </w:rPr>
      </w:pPr>
    </w:p>
    <w:p w:rsidR="00956B80" w:rsidRDefault="00956B80" w:rsidP="00956B80">
      <w:pPr>
        <w:spacing w:line="480" w:lineRule="auto"/>
        <w:jc w:val="both"/>
        <w:rPr>
          <w:b/>
        </w:rPr>
      </w:pPr>
    </w:p>
    <w:p w:rsidR="00956B80" w:rsidRDefault="00956B80" w:rsidP="00956B80">
      <w:pPr>
        <w:spacing w:line="480" w:lineRule="auto"/>
        <w:jc w:val="both"/>
        <w:rPr>
          <w:b/>
        </w:rPr>
      </w:pPr>
    </w:p>
    <w:p w:rsidR="00956B80" w:rsidRDefault="00956B80" w:rsidP="00956B80">
      <w:pPr>
        <w:spacing w:line="480" w:lineRule="auto"/>
        <w:jc w:val="both"/>
        <w:rPr>
          <w:b/>
        </w:rPr>
      </w:pPr>
    </w:p>
    <w:p w:rsidR="00956B80" w:rsidRDefault="00956B80" w:rsidP="00956B80">
      <w:pPr>
        <w:spacing w:line="480" w:lineRule="auto"/>
        <w:jc w:val="both"/>
        <w:rPr>
          <w:b/>
        </w:rPr>
      </w:pPr>
    </w:p>
    <w:p w:rsidR="00956B80" w:rsidRDefault="00956B80" w:rsidP="00956B80">
      <w:pPr>
        <w:spacing w:line="480" w:lineRule="auto"/>
        <w:jc w:val="both"/>
        <w:rPr>
          <w:b/>
        </w:rPr>
      </w:pPr>
    </w:p>
    <w:p w:rsidR="00956B80" w:rsidRPr="004B326C" w:rsidRDefault="00956B80" w:rsidP="00626B72">
      <w:pPr>
        <w:pStyle w:val="Heading2"/>
        <w:numPr>
          <w:ilvl w:val="1"/>
          <w:numId w:val="10"/>
        </w:numPr>
        <w:spacing w:line="480" w:lineRule="auto"/>
      </w:pPr>
      <w:bookmarkStart w:id="182" w:name="_Toc459130723"/>
      <w:r w:rsidRPr="004B326C">
        <w:lastRenderedPageBreak/>
        <w:t>Introduction</w:t>
      </w:r>
      <w:bookmarkEnd w:id="182"/>
    </w:p>
    <w:p w:rsidR="00956B80" w:rsidRDefault="00956B80" w:rsidP="00956B80">
      <w:pPr>
        <w:spacing w:line="480" w:lineRule="auto"/>
        <w:jc w:val="both"/>
      </w:pPr>
      <w:r w:rsidRPr="00E40EDB">
        <w:t>Isothermal Titration Calorimetry is a technique that provides enthalpy (</w:t>
      </w:r>
      <w:r w:rsidRPr="00E40EDB">
        <w:rPr>
          <w:bCs/>
          <w:i/>
        </w:rPr>
        <w:t>Δ</w:t>
      </w:r>
      <w:r w:rsidRPr="00E40EDB">
        <w:rPr>
          <w:bCs/>
          <w:i/>
          <w:iCs/>
        </w:rPr>
        <w:t>H</w:t>
      </w:r>
      <w:r w:rsidRPr="00E40EDB">
        <w:rPr>
          <w:bCs/>
          <w:iCs/>
        </w:rPr>
        <w:t>)</w:t>
      </w:r>
      <w:r w:rsidRPr="00E40EDB">
        <w:t>, entropy (</w:t>
      </w:r>
      <w:r w:rsidRPr="00E40EDB">
        <w:rPr>
          <w:i/>
        </w:rPr>
        <w:t>T</w:t>
      </w:r>
      <w:r w:rsidRPr="00E40EDB">
        <w:rPr>
          <w:bCs/>
          <w:i/>
        </w:rPr>
        <w:t>Δ</w:t>
      </w:r>
      <w:r w:rsidRPr="00E40EDB">
        <w:rPr>
          <w:bCs/>
          <w:i/>
          <w:iCs/>
        </w:rPr>
        <w:t>S</w:t>
      </w:r>
      <w:r w:rsidRPr="00E40EDB">
        <w:rPr>
          <w:bCs/>
          <w:iCs/>
        </w:rPr>
        <w:t>)</w:t>
      </w:r>
      <w:r w:rsidRPr="00E40EDB">
        <w:t xml:space="preserve"> and Gibbs free energy values (</w:t>
      </w:r>
      <w:r w:rsidRPr="00E40EDB">
        <w:rPr>
          <w:bCs/>
          <w:i/>
        </w:rPr>
        <w:t>Δ</w:t>
      </w:r>
      <w:r w:rsidRPr="00E40EDB">
        <w:rPr>
          <w:bCs/>
          <w:i/>
          <w:iCs/>
        </w:rPr>
        <w:t>G</w:t>
      </w:r>
      <w:r w:rsidRPr="00E40EDB">
        <w:rPr>
          <w:bCs/>
          <w:iCs/>
        </w:rPr>
        <w:t>)</w:t>
      </w:r>
      <w:r>
        <w:t>, stoichiometry (</w:t>
      </w:r>
      <w:r w:rsidRPr="0050110E">
        <w:rPr>
          <w:i/>
        </w:rPr>
        <w:t>n</w:t>
      </w:r>
      <w:r>
        <w:t xml:space="preserve">) </w:t>
      </w:r>
      <w:r w:rsidRPr="00E40EDB">
        <w:t>by measuring the heat between two interacting partners in solution. This technique has been successfully used to measure the binding thermodynamics between many different types of interactions, including proteins and small molecules, salts and supramolecular macromolecules, micelle formation and DNA-small molecule interactions</w:t>
      </w:r>
      <w:r>
        <w:t>.</w:t>
      </w:r>
      <w:r w:rsidR="0075172E" w:rsidRPr="004B326C">
        <w:fldChar w:fldCharType="begin">
          <w:fldData xml:space="preserve">PEVuZE5vdGU+PENpdGU+PEF1dGhvcj5HdW88L0F1dGhvcj48WWVhcj4yMDEyPC9ZZWFyPjxSZWNO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</w:fldData>
        </w:fldChar>
      </w:r>
      <w:r w:rsidR="006421D1">
        <w:instrText xml:space="preserve"> ADDIN EN.CITE </w:instrText>
      </w:r>
      <w:r w:rsidR="0075172E">
        <w:fldChar w:fldCharType="begin">
          <w:fldData xml:space="preserve">PEVuZE5vdGU+PENpdGU+PEF1dGhvcj5HdW88L0F1dGhvcj48WWVhcj4yMDEyPC9ZZWFyPjxSZWNO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</w:fldData>
        </w:fldChar>
      </w:r>
      <w:r w:rsidR="006421D1">
        <w:instrText xml:space="preserve"> ADDIN EN.CITE.DATA </w:instrText>
      </w:r>
      <w:r w:rsidR="0075172E">
        <w:fldChar w:fldCharType="end"/>
      </w:r>
      <w:r w:rsidR="0075172E" w:rsidRPr="004B326C">
        <w:fldChar w:fldCharType="separate"/>
      </w:r>
      <w:hyperlink w:anchor="_ENREF_7" w:tooltip="Chaires, 2008 #8" w:history="1">
        <w:r w:rsidR="00512D09" w:rsidRPr="006421D1">
          <w:rPr>
            <w:noProof/>
            <w:vertAlign w:val="superscript"/>
          </w:rPr>
          <w:t>7</w:t>
        </w:r>
      </w:hyperlink>
      <w:r w:rsidR="006421D1" w:rsidRPr="006421D1">
        <w:rPr>
          <w:noProof/>
          <w:vertAlign w:val="superscript"/>
        </w:rPr>
        <w:t>,</w:t>
      </w:r>
      <w:hyperlink w:anchor="_ENREF_223" w:tooltip="Kresheck, 1998 #462" w:history="1">
        <w:r w:rsidR="00512D09" w:rsidRPr="006421D1">
          <w:rPr>
            <w:noProof/>
            <w:vertAlign w:val="superscript"/>
          </w:rPr>
          <w:t>223</w:t>
        </w:r>
      </w:hyperlink>
      <w:r w:rsidR="006421D1" w:rsidRPr="006421D1">
        <w:rPr>
          <w:noProof/>
          <w:vertAlign w:val="superscript"/>
        </w:rPr>
        <w:t>,</w:t>
      </w:r>
      <w:hyperlink w:anchor="_ENREF_283" w:tooltip="Guo, 2012 #320" w:history="1">
        <w:r w:rsidR="00512D09" w:rsidRPr="006421D1">
          <w:rPr>
            <w:noProof/>
            <w:vertAlign w:val="superscript"/>
          </w:rPr>
          <w:t>283-285</w:t>
        </w:r>
      </w:hyperlink>
      <w:r w:rsidR="0075172E" w:rsidRPr="004B326C">
        <w:fldChar w:fldCharType="end"/>
      </w:r>
      <w:r w:rsidRPr="00E40EDB">
        <w:t xml:space="preserve">  </w:t>
      </w:r>
    </w:p>
    <w:p w:rsidR="00956B80" w:rsidRDefault="00956B80" w:rsidP="00956B80">
      <w:pPr>
        <w:spacing w:line="480" w:lineRule="auto"/>
        <w:jc w:val="both"/>
      </w:pPr>
      <w:r>
        <w:t xml:space="preserve">Traditionally, ITC experiments are performed using the method of incremental titration. This is where an exact volume of titrant is titrated into the solution in the sample cell at regular time periods.  There are caveats to this approach. For 1:1 binding interactions with normal ligand-macromolecule dissociative steps, an ITC experiment can take at least an hour. More complex interactions require more time and material to discern the binding mode and validate thermodynamic values. Even if more data points are produced for analysis, it may still be difficult to differentiate between different binding modes such as ligands binding cooperatively and independent multisite interactions. </w:t>
      </w:r>
    </w:p>
    <w:p w:rsidR="00956B80" w:rsidRDefault="00956B80" w:rsidP="00956B80">
      <w:pPr>
        <w:spacing w:line="480" w:lineRule="auto"/>
        <w:jc w:val="both"/>
      </w:pPr>
      <w:r>
        <w:t>Continuous titration (cITC) is a method where the ligand solution is continuously titrated over one time interval. This provides many more data points and therefore should ideal to identify correct binding modes and thermodynamic values for complex multisite interactions. The iITC studies using the TA instruments NanoITC can only effectively utilise a maximum of 83 injections meaning there is poor or no resolution of differing binding sites on an isotherm. Consequently, producing thermodynamic parameters from complex binding isotherms is often inaccurate. However, despite ciTC theoretically being able to yield clear binding isotherms for multiple interactions, the technique remains underused despite a vast number of papers investigating these types of binding.</w:t>
      </w:r>
      <w:r w:rsidR="0075172E">
        <w:fldChar w:fldCharType="begin">
          <w:fldData xml:space="preserve">PEVuZE5vdGU+PENpdGU+PEF1dGhvcj5Uw6lsbGV6LVNhbno8L0F1dGhvcj48WWVhcj4yMDA2PC9Z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</w:fldData>
        </w:fldChar>
      </w:r>
      <w:r w:rsidR="006421D1">
        <w:instrText xml:space="preserve"> ADDIN EN.CITE </w:instrText>
      </w:r>
      <w:r w:rsidR="0075172E">
        <w:fldChar w:fldCharType="begin">
          <w:fldData xml:space="preserve">PEVuZE5vdGU+PENpdGU+PEF1dGhvcj5Uw6lsbGV6LVNhbno8L0F1dGhvcj48WWVhcj4yMDA2PC9Z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</w:fldData>
        </w:fldChar>
      </w:r>
      <w:r w:rsidR="006421D1">
        <w:instrText xml:space="preserve"> ADDIN EN.CITE.DATA </w:instrText>
      </w:r>
      <w:r w:rsidR="0075172E">
        <w:fldChar w:fldCharType="end"/>
      </w:r>
      <w:r w:rsidR="0075172E">
        <w:fldChar w:fldCharType="separate"/>
      </w:r>
      <w:hyperlink w:anchor="_ENREF_146" w:tooltip="Frazier, 2003 #407" w:history="1">
        <w:r w:rsidR="00512D09" w:rsidRPr="006421D1">
          <w:rPr>
            <w:noProof/>
            <w:vertAlign w:val="superscript"/>
          </w:rPr>
          <w:t>146</w:t>
        </w:r>
      </w:hyperlink>
      <w:r w:rsidR="006421D1" w:rsidRPr="006421D1">
        <w:rPr>
          <w:noProof/>
          <w:vertAlign w:val="superscript"/>
        </w:rPr>
        <w:t>,</w:t>
      </w:r>
      <w:hyperlink w:anchor="_ENREF_265" w:tooltip="Frazier, 2010 #513" w:history="1">
        <w:r w:rsidR="00512D09" w:rsidRPr="006421D1">
          <w:rPr>
            <w:noProof/>
            <w:vertAlign w:val="superscript"/>
          </w:rPr>
          <w:t>265</w:t>
        </w:r>
      </w:hyperlink>
      <w:r w:rsidR="006421D1" w:rsidRPr="006421D1">
        <w:rPr>
          <w:noProof/>
          <w:vertAlign w:val="superscript"/>
        </w:rPr>
        <w:t>,</w:t>
      </w:r>
      <w:hyperlink w:anchor="_ENREF_266" w:tooltip="Muscroft-Taylor, 2010 #597" w:history="1">
        <w:r w:rsidR="00512D09" w:rsidRPr="006421D1">
          <w:rPr>
            <w:noProof/>
            <w:vertAlign w:val="superscript"/>
          </w:rPr>
          <w:t>266</w:t>
        </w:r>
      </w:hyperlink>
      <w:r w:rsidR="006421D1" w:rsidRPr="006421D1">
        <w:rPr>
          <w:noProof/>
          <w:vertAlign w:val="superscript"/>
        </w:rPr>
        <w:t>,</w:t>
      </w:r>
      <w:hyperlink w:anchor="_ENREF_286" w:tooltip="Téllez-Sanz, 2006 #582" w:history="1">
        <w:r w:rsidR="00512D09" w:rsidRPr="006421D1">
          <w:rPr>
            <w:noProof/>
            <w:vertAlign w:val="superscript"/>
          </w:rPr>
          <w:t>286</w:t>
        </w:r>
      </w:hyperlink>
      <w:r w:rsidR="006421D1" w:rsidRPr="006421D1">
        <w:rPr>
          <w:noProof/>
          <w:vertAlign w:val="superscript"/>
        </w:rPr>
        <w:t>,</w:t>
      </w:r>
      <w:hyperlink w:anchor="_ENREF_287" w:tooltip="Dobreva, 2011 #526" w:history="1">
        <w:r w:rsidR="00512D09" w:rsidRPr="006421D1">
          <w:rPr>
            <w:noProof/>
            <w:vertAlign w:val="superscript"/>
          </w:rPr>
          <w:t>287</w:t>
        </w:r>
      </w:hyperlink>
      <w:r w:rsidR="0075172E">
        <w:fldChar w:fldCharType="end"/>
      </w:r>
      <w:r>
        <w:t xml:space="preserve"> </w:t>
      </w:r>
    </w:p>
    <w:p w:rsidR="00956B80" w:rsidRDefault="00956B80" w:rsidP="00956B80">
      <w:pPr>
        <w:spacing w:line="480" w:lineRule="auto"/>
        <w:jc w:val="both"/>
      </w:pPr>
      <w:r>
        <w:lastRenderedPageBreak/>
        <w:t>Another advantage of cITC is that the time taken for an experiment is half the time required to carry out an iITC experiment.</w:t>
      </w:r>
      <w:hyperlink w:anchor="_ENREF_288" w:tooltip="Markova, 2004 #637" w:history="1">
        <w:r w:rsidR="00512D09">
          <w:fldChar w:fldCharType="begin"/>
        </w:r>
        <w:r w:rsidR="00512D09">
          <w:instrText xml:space="preserve"> ADDIN EN.CITE &lt;EndNote&gt;&lt;Cite&gt;&lt;Author&gt;Markova&lt;/Author&gt;&lt;Year&gt;2004&lt;/Year&gt;&lt;RecNum&gt;637&lt;/RecNum&gt;&lt;DisplayText&gt;&lt;style face="superscript"&gt;288&lt;/style&gt;&lt;/DisplayText&gt;&lt;record&gt;&lt;rec-number&gt;637&lt;/rec-number&gt;&lt;foreign-keys&gt;&lt;key app="EN" db-id="5trrespwzsdr07efd5tx2w96x22re9s0fsdt"&gt;637&lt;/key&gt;&lt;/foreign-keys&gt;&lt;ref-type name="Journal Article"&gt;17&lt;/ref-type&gt;&lt;contributors&gt;&lt;authors&gt;&lt;author&gt;Markova, Natalia&lt;/author&gt;&lt;author&gt;Hallén, Dan&lt;/author&gt;&lt;/authors&gt;&lt;/contributors&gt;&lt;titles&gt;&lt;title&gt;The development of a continuous isothermal titration calorimetric method for equilibrium studies&lt;/title&gt;&lt;secondary-title&gt;Analytical biochemistry&lt;/secondary-title&gt;&lt;/titles&gt;&lt;periodical&gt;&lt;full-title&gt;Analytical biochemistry&lt;/full-title&gt;&lt;/periodical&gt;&lt;pages&gt;77-88&lt;/pages&gt;&lt;volume&gt;331&lt;/volume&gt;&lt;number&gt;1&lt;/number&gt;&lt;dates&gt;&lt;year&gt;2004&lt;/year&gt;&lt;/dates&gt;&lt;isbn&gt;0003-2697&lt;/isbn&gt;&lt;urls&gt;&lt;related-urls&gt;&lt;url&gt;http://www.sciencedirect.com/science/article/pii/S0003269704002544&lt;/url&gt;&lt;/related-urls&gt;&lt;/urls&gt;&lt;electronic-resource-num&gt;http://dx.doi.org/10.1016/j.ab.2004.03.022&lt;/electronic-resource-num&gt;&lt;/record&gt;&lt;/Cite&gt;&lt;/EndNote&gt;</w:instrText>
        </w:r>
        <w:r w:rsidR="00512D09">
          <w:fldChar w:fldCharType="separate"/>
        </w:r>
        <w:r w:rsidR="00512D09" w:rsidRPr="006421D1">
          <w:rPr>
            <w:noProof/>
            <w:vertAlign w:val="superscript"/>
          </w:rPr>
          <w:t>288</w:t>
        </w:r>
        <w:r w:rsidR="00512D09">
          <w:fldChar w:fldCharType="end"/>
        </w:r>
      </w:hyperlink>
      <w:r>
        <w:t xml:space="preserve"> Presumably, the system is better able to obtain equilibrium if the ligand is injected continuously rather than incrementally. The caveat to this is that an iITC experiment has to be carried out first to make sure that the experiment is baseline resolved, that after each injection the baseline returns to normal (</w:t>
      </w:r>
      <w:r w:rsidR="0075172E">
        <w:fldChar w:fldCharType="begin"/>
      </w:r>
      <w:r>
        <w:instrText xml:space="preserve"> REF _Ref442886416 \h </w:instrText>
      </w:r>
      <w:r w:rsidR="0075172E">
        <w:fldChar w:fldCharType="separate"/>
      </w:r>
      <w:r w:rsidR="00CB4EDC">
        <w:t xml:space="preserve">Figure </w:t>
      </w:r>
      <w:r w:rsidR="00CB4EDC">
        <w:rPr>
          <w:noProof/>
        </w:rPr>
        <w:t>5</w:t>
      </w:r>
      <w:r w:rsidR="00CB4EDC">
        <w:t>.</w:t>
      </w:r>
      <w:r w:rsidR="00CB4EDC">
        <w:rPr>
          <w:noProof/>
        </w:rPr>
        <w:t>1</w:t>
      </w:r>
      <w:r w:rsidR="0075172E">
        <w:fldChar w:fldCharType="end"/>
      </w:r>
      <w:r>
        <w:t xml:space="preserve">). Failure to do so may yield inaccurate results from cITC data as the reaction does not reach equilibrium. </w:t>
      </w:r>
      <w:r w:rsidR="00140CA5">
        <w:t>Furthermore,</w:t>
      </w:r>
      <w:r>
        <w:t xml:space="preserve"> this can mean the contents of the cell are not being properly mixed during the course of the titration. This also leads to inaccurate resolution of thermodynamic parameters. </w:t>
      </w:r>
    </w:p>
    <w:p w:rsidR="00956B80" w:rsidRDefault="00956B80" w:rsidP="00956B80">
      <w:pPr>
        <w:spacing w:line="480" w:lineRule="auto"/>
        <w:jc w:val="both"/>
      </w:pPr>
      <w:r>
        <w:t>One of the drawbacks of ITC is that it can only be used to measure binding constants within millimolar to nanomolar affinity.</w:t>
      </w:r>
      <w:hyperlink w:anchor="_ENREF_289" w:tooltip="Freyer, 2008 #234" w:history="1">
        <w:r w:rsidR="00512D09">
          <w:fldChar w:fldCharType="begin"/>
        </w:r>
        <w:r w:rsidR="00512D09">
          <w:instrText xml:space="preserve"> ADDIN EN.CITE &lt;EndNote&gt;&lt;Cite&gt;&lt;Author&gt;Freyer&lt;/Author&gt;&lt;Year&gt;2008&lt;/Year&gt;&lt;RecNum&gt;234&lt;/RecNum&gt;&lt;DisplayText&gt;&lt;style face="superscript"&gt;289&lt;/style&gt;&lt;/DisplayText&gt;&lt;record&gt;&lt;rec-number&gt;234&lt;/rec-number&gt;&lt;foreign-keys&gt;&lt;key app="EN" db-id="5trrespwzsdr07efd5tx2w96x22re9s0fsdt"&gt;234&lt;/key&gt;&lt;/foreign-keys&gt;&lt;ref-type name="Book Section"&gt;5&lt;/ref-type&gt;&lt;contributors&gt;&lt;authors&gt;&lt;author&gt;Freyer, Matthew W.&lt;/author&gt;&lt;author&gt;Lewis, Edwin A.&lt;/author&gt;&lt;/authors&gt;&lt;secondary-authors&gt;&lt;author&gt;John, J. Correia&lt;/author&gt;&lt;author&gt;H. William Detrich,, III&lt;/author&gt;&lt;/secondary-authors&gt;&lt;/contributors&gt;&lt;titles&gt;&lt;title&gt;Isothermal Titration Calorimetry: Experimental Design, Data Analysis, and Probing Macromolecule/Ligand Binding and Kinetic Interactions&lt;/title&gt;&lt;secondary-title&gt;Methods in Cell Biology&lt;/secondary-title&gt;&lt;/titles&gt;&lt;periodical&gt;&lt;full-title&gt;Methods in cell biology&lt;/full-title&gt;&lt;/periodical&gt;&lt;pages&gt;79-113&lt;/pages&gt;&lt;volume&gt;Volume 84&lt;/volume&gt;&lt;dates&gt;&lt;year&gt;2008&lt;/year&gt;&lt;/dates&gt;&lt;publisher&gt;Academic Press&lt;/publisher&gt;&lt;isbn&gt;0091-679X&lt;/isbn&gt;&lt;urls&gt;&lt;related-urls&gt;&lt;url&gt;http://www.sciencedirect.com/science/article/pii/S0091679X07840040&lt;/url&gt;&lt;/related-urls&gt;&lt;/urls&gt;&lt;electronic-resource-num&gt;http://dx.doi.org/10.1016/S0091-679X(07)84004-0&lt;/electronic-resource-num&gt;&lt;/record&gt;&lt;/Cite&gt;&lt;/EndNote&gt;</w:instrText>
        </w:r>
        <w:r w:rsidR="00512D09">
          <w:fldChar w:fldCharType="separate"/>
        </w:r>
        <w:r w:rsidR="00512D09" w:rsidRPr="006421D1">
          <w:rPr>
            <w:noProof/>
            <w:vertAlign w:val="superscript"/>
          </w:rPr>
          <w:t>289</w:t>
        </w:r>
        <w:r w:rsidR="00512D09">
          <w:fldChar w:fldCharType="end"/>
        </w:r>
      </w:hyperlink>
      <w:r>
        <w:t xml:space="preserve"> In practise, the range is approximately three orders of magnitude from a given concentration of the host within the sample cell.</w:t>
      </w:r>
      <w:hyperlink w:anchor="_ENREF_288" w:tooltip="Markova, 2004 #637" w:history="1">
        <w:r w:rsidR="00512D09">
          <w:fldChar w:fldCharType="begin"/>
        </w:r>
        <w:r w:rsidR="00512D09">
          <w:instrText xml:space="preserve"> ADDIN EN.CITE &lt;EndNote&gt;&lt;Cite&gt;&lt;Author&gt;Markova&lt;/Author&gt;&lt;Year&gt;2004&lt;/Year&gt;&lt;RecNum&gt;637&lt;/RecNum&gt;&lt;DisplayText&gt;&lt;style face="superscript"&gt;288&lt;/style&gt;&lt;/DisplayText&gt;&lt;record&gt;&lt;rec-number&gt;637&lt;/rec-number&gt;&lt;foreign-keys&gt;&lt;key app="EN" db-id="5trrespwzsdr07efd5tx2w96x22re9s0fsdt"&gt;637&lt;/key&gt;&lt;/foreign-keys&gt;&lt;ref-type name="Journal Article"&gt;17&lt;/ref-type&gt;&lt;contributors&gt;&lt;authors&gt;&lt;author&gt;Markova, Natalia&lt;/author&gt;&lt;author&gt;Hallén, Dan&lt;/author&gt;&lt;/authors&gt;&lt;/contributors&gt;&lt;titles&gt;&lt;title&gt;The development of a continuous isothermal titration calorimetric method for equilibrium studies&lt;/title&gt;&lt;secondary-title&gt;Analytical biochemistry&lt;/secondary-title&gt;&lt;/titles&gt;&lt;periodical&gt;&lt;full-title&gt;Analytical biochemistry&lt;/full-title&gt;&lt;/periodical&gt;&lt;pages&gt;77-88&lt;/pages&gt;&lt;volume&gt;331&lt;/volume&gt;&lt;number&gt;1&lt;/number&gt;&lt;dates&gt;&lt;year&gt;2004&lt;/year&gt;&lt;/dates&gt;&lt;isbn&gt;0003-2697&lt;/isbn&gt;&lt;urls&gt;&lt;related-urls&gt;&lt;url&gt;http://www.sciencedirect.com/science/article/pii/S0003269704002544&lt;/url&gt;&lt;/related-urls&gt;&lt;/urls&gt;&lt;electronic-resource-num&gt;http://dx.doi.org/10.1016/j.ab.2004.03.022&lt;/electronic-resource-num&gt;&lt;/record&gt;&lt;/Cite&gt;&lt;/EndNote&gt;</w:instrText>
        </w:r>
        <w:r w:rsidR="00512D09">
          <w:fldChar w:fldCharType="separate"/>
        </w:r>
        <w:r w:rsidR="00512D09" w:rsidRPr="006421D1">
          <w:rPr>
            <w:noProof/>
            <w:vertAlign w:val="superscript"/>
          </w:rPr>
          <w:t>288</w:t>
        </w:r>
        <w:r w:rsidR="00512D09">
          <w:fldChar w:fldCharType="end"/>
        </w:r>
      </w:hyperlink>
      <w:r>
        <w:t xml:space="preserve"> One of the reasons is the relationship between the macromolecule concentration alongside the stoichiometry (</w:t>
      </w:r>
      <w:r w:rsidRPr="0050110E">
        <w:rPr>
          <w:i/>
        </w:rPr>
        <w:t>n</w:t>
      </w:r>
      <w:r>
        <w:t>) and the dissociation constant (K</w:t>
      </w:r>
      <w:r w:rsidRPr="001A7790">
        <w:rPr>
          <w:vertAlign w:val="subscript"/>
        </w:rPr>
        <w:t>D</w:t>
      </w:r>
      <w:r>
        <w:t>) which is described by the unitless parameter C known as the c-value (</w:t>
      </w:r>
      <w:r w:rsidR="0091345B">
        <w:t>Equation 5.1</w:t>
      </w:r>
      <w:r>
        <w:t xml:space="preserve">). </w:t>
      </w:r>
      <w:hyperlink w:anchor="_ENREF_158" w:tooltip="Wiseman, 1989 #636" w:history="1">
        <w:r w:rsidR="00512D09">
          <w:fldChar w:fldCharType="begin"/>
        </w:r>
        <w:r w:rsidR="00512D09">
          <w:instrText xml:space="preserve"> ADDIN EN.CITE &lt;EndNote&gt;&lt;Cite&gt;&lt;Author&gt;Wiseman&lt;/Author&gt;&lt;Year&gt;1989&lt;/Year&gt;&lt;RecNum&gt;636&lt;/RecNum&gt;&lt;DisplayText&gt;&lt;style face="superscript"&gt;158&lt;/style&gt;&lt;/DisplayText&gt;&lt;record&gt;&lt;rec-number&gt;636&lt;/rec-number&gt;&lt;foreign-keys&gt;&lt;key app="EN" db-id="5trrespwzsdr07efd5tx2w96x22re9s0fsdt"&gt;636&lt;/key&gt;&lt;/foreign-keys&gt;&lt;ref-type name="Journal Article"&gt;17&lt;/ref-type&gt;&lt;contributors&gt;&lt;authors&gt;&lt;author&gt;Wiseman, T.&lt;/author&gt;&lt;author&gt;Williston, S.&lt;/author&gt;&lt;author&gt;Brandts, J. F.&lt;/author&gt;&lt;author&gt;Lin, L. N.&lt;/author&gt;&lt;/authors&gt;&lt;/contributors&gt;&lt;auth-address&gt;Microcal Inc,22 Ind Dr E,Northampton,Ma 01060&amp;#xD;Univ Massachusetts,Dept Chem,Amherst,Ma 01003&lt;/auth-address&gt;&lt;titles&gt;&lt;title&gt;Rapid Measurement of Binding Constants and Heats of Binding Using a New Titration Calorimeter&lt;/title&gt;&lt;secondary-title&gt;Analytical biochemistry&lt;/secondary-title&gt;&lt;alt-title&gt;Anal Biochem&lt;/alt-title&gt;&lt;/titles&gt;&lt;periodical&gt;&lt;full-title&gt;Analytical biochemistry&lt;/full-title&gt;&lt;/periodical&gt;&lt;pages&gt;131-137&lt;/pages&gt;&lt;volume&gt;179&lt;/volume&gt;&lt;number&gt;1&lt;/number&gt;&lt;dates&gt;&lt;year&gt;1989&lt;/year&gt;&lt;pub-dates&gt;&lt;date&gt;May 15&lt;/date&gt;&lt;/pub-dates&gt;&lt;/dates&gt;&lt;isbn&gt;0003-2697&lt;/isbn&gt;&lt;accession-num&gt;ISI:A1989U664800023&lt;/accession-num&gt;&lt;urls&gt;&lt;related-urls&gt;&lt;url&gt;&amp;lt;Go to ISI&amp;gt;://A1989U664800023&lt;/url&gt;&lt;/related-urls&gt;&lt;/urls&gt;&lt;electronic-resource-num&gt;Doi 10.1016/0003-2697(89)90213-3&lt;/electronic-resource-num&gt;&lt;language&gt;English&lt;/language&gt;&lt;/record&gt;&lt;/Cite&gt;&lt;/EndNote&gt;</w:instrText>
        </w:r>
        <w:r w:rsidR="00512D09">
          <w:fldChar w:fldCharType="separate"/>
        </w:r>
        <w:r w:rsidR="00512D09" w:rsidRPr="00991167">
          <w:rPr>
            <w:noProof/>
            <w:vertAlign w:val="superscript"/>
          </w:rPr>
          <w:t>158</w:t>
        </w:r>
        <w:r w:rsidR="00512D09">
          <w:fldChar w:fldCharType="end"/>
        </w:r>
      </w:hyperlink>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3072"/>
      </w:tblGrid>
      <w:tr w:rsidR="00A6533D" w:rsidRPr="00BF5905" w:rsidTr="00BF3CC6">
        <w:trPr>
          <w:trHeight w:val="564"/>
        </w:trPr>
        <w:tc>
          <w:tcPr>
            <w:tcW w:w="5372" w:type="dxa"/>
          </w:tcPr>
          <w:p w:rsidR="00A6533D" w:rsidRPr="00A87788" w:rsidRDefault="00A6533D" w:rsidP="00A6533D">
            <w:pPr>
              <w:jc w:val="both"/>
            </w:pPr>
            <m:oMathPara>
              <m:oMathParaPr>
                <m:jc m:val="right"/>
              </m:oMathParaPr>
              <m:oMath>
                <m:r>
                  <w:rPr>
                    <w:rFonts w:ascii="Cambria Math" w:hAnsi="Cambria Math"/>
                  </w:rPr>
                  <m:t xml:space="preserve">C= </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TOT</m:t>
                                </m:r>
                              </m:sub>
                            </m:sSub>
                          </m:num>
                          <m:den>
                            <m:sSub>
                              <m:sSubPr>
                                <m:ctrlPr>
                                  <w:rPr>
                                    <w:rFonts w:ascii="Cambria Math" w:hAnsi="Cambria Math"/>
                                    <w:i/>
                                  </w:rPr>
                                </m:ctrlPr>
                              </m:sSubPr>
                              <m:e>
                                <m:r>
                                  <w:rPr>
                                    <w:rFonts w:ascii="Cambria Math" w:hAnsi="Cambria Math"/>
                                  </w:rPr>
                                  <m:t>K</m:t>
                                </m:r>
                              </m:e>
                              <m:sub>
                                <m:r>
                                  <w:rPr>
                                    <w:rFonts w:ascii="Cambria Math" w:hAnsi="Cambria Math"/>
                                  </w:rPr>
                                  <m:t>D</m:t>
                                </m:r>
                              </m:sub>
                            </m:sSub>
                          </m:den>
                        </m:f>
                      </m:e>
                    </m:d>
                    <m:r>
                      <w:rPr>
                        <w:rFonts w:ascii="Cambria Math" w:hAnsi="Cambria Math"/>
                      </w:rPr>
                      <m:t>×n</m:t>
                    </m:r>
                  </m:e>
                </m:d>
              </m:oMath>
            </m:oMathPara>
          </w:p>
          <w:p w:rsidR="00A6533D" w:rsidRPr="006E62CB" w:rsidRDefault="00A6533D" w:rsidP="00BF3CC6">
            <w:pPr>
              <w:spacing w:line="480" w:lineRule="auto"/>
              <w:rPr>
                <w:bCs/>
                <w:iCs/>
              </w:rPr>
            </w:pPr>
          </w:p>
        </w:tc>
        <w:tc>
          <w:tcPr>
            <w:tcW w:w="3072" w:type="dxa"/>
          </w:tcPr>
          <w:p w:rsidR="00A6533D" w:rsidRPr="00BF5905" w:rsidRDefault="00A6533D" w:rsidP="00B366CD">
            <w:pPr>
              <w:keepNext/>
              <w:spacing w:line="480" w:lineRule="auto"/>
              <w:jc w:val="right"/>
              <w:rPr>
                <w:rFonts w:eastAsiaTheme="minorEastAsia"/>
              </w:rPr>
            </w:pPr>
            <w:r>
              <w:rPr>
                <w:rFonts w:eastAsiaTheme="minorEastAsia"/>
              </w:rPr>
              <w:t>(</w:t>
            </w:r>
            <w:r w:rsidR="00B366CD">
              <w:rPr>
                <w:rFonts w:eastAsiaTheme="minorEastAsia"/>
                <w:i/>
              </w:rPr>
              <w:t>5.1</w:t>
            </w:r>
            <w:r>
              <w:rPr>
                <w:rFonts w:eastAsiaTheme="minorEastAsia"/>
              </w:rPr>
              <w:t>)</w:t>
            </w:r>
          </w:p>
        </w:tc>
      </w:tr>
    </w:tbl>
    <w:p w:rsidR="00956B80" w:rsidRDefault="00956B80" w:rsidP="00956B80">
      <w:pPr>
        <w:spacing w:line="480" w:lineRule="auto"/>
        <w:jc w:val="both"/>
        <w:rPr>
          <w:rFonts w:eastAsiaTheme="minorEastAsia"/>
        </w:rPr>
      </w:pPr>
      <w:r>
        <w:rPr>
          <w:rFonts w:eastAsiaTheme="minorEastAsia"/>
        </w:rPr>
        <w:t xml:space="preserve">C-values are useful in determining the accuracy of </w:t>
      </w:r>
      <w:r w:rsidR="005345B2">
        <w:rPr>
          <w:rFonts w:eastAsiaTheme="minorEastAsia"/>
        </w:rPr>
        <w:t>thermodynamic parameters</w:t>
      </w:r>
      <w:r>
        <w:rPr>
          <w:rFonts w:eastAsiaTheme="minorEastAsia"/>
        </w:rPr>
        <w:t xml:space="preserve"> generated by ITC (</w:t>
      </w:r>
      <w:r w:rsidR="0075172E">
        <w:rPr>
          <w:rFonts w:eastAsiaTheme="minorEastAsia"/>
        </w:rPr>
        <w:fldChar w:fldCharType="begin"/>
      </w:r>
      <w:r>
        <w:rPr>
          <w:rFonts w:eastAsiaTheme="minorEastAsia"/>
        </w:rPr>
        <w:instrText xml:space="preserve"> REF _Ref442886583 \h </w:instrText>
      </w:r>
      <w:r w:rsidR="0075172E">
        <w:rPr>
          <w:rFonts w:eastAsiaTheme="minorEastAsia"/>
        </w:rPr>
      </w:r>
      <w:r w:rsidR="0075172E">
        <w:rPr>
          <w:rFonts w:eastAsiaTheme="minorEastAsia"/>
        </w:rPr>
        <w:fldChar w:fldCharType="separate"/>
      </w:r>
      <w:r w:rsidR="00CB4EDC">
        <w:t xml:space="preserve">Figure </w:t>
      </w:r>
      <w:r w:rsidR="00CB4EDC">
        <w:rPr>
          <w:noProof/>
        </w:rPr>
        <w:t>5</w:t>
      </w:r>
      <w:r w:rsidR="00CB4EDC">
        <w:t>.</w:t>
      </w:r>
      <w:r w:rsidR="00CB4EDC">
        <w:rPr>
          <w:noProof/>
        </w:rPr>
        <w:t>2</w:t>
      </w:r>
      <w:r w:rsidR="0075172E">
        <w:rPr>
          <w:rFonts w:eastAsiaTheme="minorEastAsia"/>
        </w:rPr>
        <w:fldChar w:fldCharType="end"/>
      </w:r>
      <w:r>
        <w:rPr>
          <w:rFonts w:eastAsiaTheme="minorEastAsia"/>
        </w:rPr>
        <w:t xml:space="preserve">). Normally c-values within 10 to 100 are highly </w:t>
      </w:r>
      <w:r w:rsidR="0091345B">
        <w:rPr>
          <w:rFonts w:eastAsiaTheme="minorEastAsia"/>
        </w:rPr>
        <w:t>accurate</w:t>
      </w:r>
      <w:r>
        <w:rPr>
          <w:rFonts w:eastAsiaTheme="minorEastAsia"/>
        </w:rPr>
        <w:t xml:space="preserve"> whilst 100 to 500 are satisfactory.</w:t>
      </w:r>
      <w:hyperlink w:anchor="_ENREF_290" w:tooltip="Broecker, 2011 #635" w:history="1">
        <w:r w:rsidR="00512D09">
          <w:rPr>
            <w:rFonts w:eastAsiaTheme="minorEastAsia"/>
          </w:rPr>
          <w:fldChar w:fldCharType="begin"/>
        </w:r>
        <w:r w:rsidR="00512D09">
          <w:rPr>
            <w:rFonts w:eastAsiaTheme="minorEastAsia"/>
          </w:rPr>
          <w:instrText xml:space="preserve"> ADDIN EN.CITE &lt;EndNote&gt;&lt;Cite&gt;&lt;Author&gt;Broecker&lt;/Author&gt;&lt;Year&gt;2011&lt;/Year&gt;&lt;RecNum&gt;635&lt;/RecNum&gt;&lt;DisplayText&gt;&lt;style face="superscript"&gt;290&lt;/style&gt;&lt;/DisplayText&gt;&lt;record&gt;&lt;rec-number&gt;635&lt;/rec-number&gt;&lt;foreign-keys&gt;&lt;key app="EN" db-id="5trrespwzsdr07efd5tx2w96x22re9s0fsdt"&gt;635&lt;/key&gt;&lt;/foreign-keys&gt;&lt;ref-type name="Journal Article"&gt;17&lt;/ref-type&gt;&lt;contributors&gt;&lt;authors&gt;&lt;author&gt;Broecker, Jana&lt;/author&gt;&lt;author&gt;Vargas, Carolyn&lt;/author&gt;&lt;author&gt;Keller, Sandro&lt;/author&gt;&lt;/authors&gt;&lt;/contributors&gt;&lt;titles&gt;&lt;title&gt;Revisiting the optimal c value for isothermal titration calorimetry&lt;/title&gt;&lt;secondary-title&gt;Analytical biochemistry&lt;/secondary-title&gt;&lt;/titles&gt;&lt;periodical&gt;&lt;full-title&gt;Analytical biochemistry&lt;/full-title&gt;&lt;/periodical&gt;&lt;pages&gt;307-309&lt;/pages&gt;&lt;volume&gt;418&lt;/volume&gt;&lt;number&gt;2&lt;/number&gt;&lt;keywords&gt;&lt;keyword&gt;Dissociation constant&lt;/keyword&gt;&lt;keyword&gt;KD window&lt;/keyword&gt;&lt;keyword&gt;Precision&lt;/keyword&gt;&lt;keyword&gt;Simulation&lt;/keyword&gt;&lt;keyword&gt;Error analysis&lt;/keyword&gt;&lt;/keywords&gt;&lt;dates&gt;&lt;year&gt;2011&lt;/year&gt;&lt;/dates&gt;&lt;isbn&gt;0003-2697&lt;/isbn&gt;&lt;urls&gt;&lt;related-urls&gt;&lt;url&gt;http://www.sciencedirect.com/science/article/pii/S0003269711004970&lt;/url&gt;&lt;/related-urls&gt;&lt;/urls&gt;&lt;electronic-resource-num&gt;http://dx.doi.org/10.1016/j.ab.2011.07.027&lt;/electronic-resource-num&gt;&lt;/record&gt;&lt;/Cite&gt;&lt;/EndNote&gt;</w:instrText>
        </w:r>
        <w:r w:rsidR="00512D09">
          <w:rPr>
            <w:rFonts w:eastAsiaTheme="minorEastAsia"/>
          </w:rPr>
          <w:fldChar w:fldCharType="separate"/>
        </w:r>
        <w:r w:rsidR="00512D09" w:rsidRPr="0057696F">
          <w:rPr>
            <w:rFonts w:eastAsiaTheme="minorEastAsia"/>
            <w:noProof/>
            <w:vertAlign w:val="superscript"/>
          </w:rPr>
          <w:t>290</w:t>
        </w:r>
        <w:r w:rsidR="00512D09">
          <w:rPr>
            <w:rFonts w:eastAsiaTheme="minorEastAsia"/>
          </w:rPr>
          <w:fldChar w:fldCharType="end"/>
        </w:r>
      </w:hyperlink>
      <w:r>
        <w:rPr>
          <w:rFonts w:eastAsiaTheme="minorEastAsia"/>
        </w:rPr>
        <w:t xml:space="preserve"> Anything above 500 is not useful for </w:t>
      </w:r>
      <w:r w:rsidR="0091345B">
        <w:rPr>
          <w:rFonts w:eastAsiaTheme="minorEastAsia"/>
        </w:rPr>
        <w:t xml:space="preserve">more </w:t>
      </w:r>
      <w:r>
        <w:rPr>
          <w:rFonts w:eastAsiaTheme="minorEastAsia"/>
        </w:rPr>
        <w:t>analytical ITC work</w:t>
      </w:r>
      <w:r w:rsidR="0091345B">
        <w:rPr>
          <w:rFonts w:eastAsiaTheme="minorEastAsia"/>
        </w:rPr>
        <w:t xml:space="preserve"> (such as </w:t>
      </w:r>
      <w:r w:rsidR="005345B2">
        <w:rPr>
          <w:rFonts w:eastAsiaTheme="minorEastAsia"/>
        </w:rPr>
        <w:t xml:space="preserve">ranking interactions with </w:t>
      </w:r>
      <w:r w:rsidR="0091345B">
        <w:rPr>
          <w:rFonts w:eastAsiaTheme="minorEastAsia"/>
        </w:rPr>
        <w:t>enthalpy values that change less than 1 to 2 kJ/mol)</w:t>
      </w:r>
      <w:r>
        <w:rPr>
          <w:rFonts w:eastAsiaTheme="minorEastAsia"/>
        </w:rPr>
        <w:t xml:space="preserve">. Consequently, the macromolecule concentration effectively limits the accuracy. Curves that are too steep are the result of high c-values meaning that </w:t>
      </w:r>
      <w:r w:rsidRPr="00791545">
        <w:rPr>
          <w:rFonts w:eastAsiaTheme="minorEastAsia"/>
        </w:rPr>
        <w:t>K</w:t>
      </w:r>
      <w:r w:rsidRPr="00791545">
        <w:rPr>
          <w:rFonts w:eastAsiaTheme="minorEastAsia"/>
          <w:vertAlign w:val="subscript"/>
        </w:rPr>
        <w:t>D</w:t>
      </w:r>
      <w:r>
        <w:rPr>
          <w:rFonts w:eastAsiaTheme="minorEastAsia"/>
        </w:rPr>
        <w:t xml:space="preserve"> cannot be accurately determined</w:t>
      </w:r>
      <w:r w:rsidR="005345B2">
        <w:rPr>
          <w:rFonts w:eastAsiaTheme="minorEastAsia"/>
        </w:rPr>
        <w:t xml:space="preserve"> but the enthalpy and stoichiometry can</w:t>
      </w:r>
      <w:r>
        <w:rPr>
          <w:rFonts w:eastAsiaTheme="minorEastAsia"/>
        </w:rPr>
        <w:t xml:space="preserve">. Conversely, lower c-values produce </w:t>
      </w:r>
      <w:r>
        <w:rPr>
          <w:rFonts w:eastAsiaTheme="minorEastAsia"/>
        </w:rPr>
        <w:lastRenderedPageBreak/>
        <w:t xml:space="preserve">curves that are too shallow meaning again that </w:t>
      </w:r>
      <w:r w:rsidRPr="00E97EAA">
        <w:rPr>
          <w:rFonts w:eastAsiaTheme="minorEastAsia"/>
        </w:rPr>
        <w:t>K</w:t>
      </w:r>
      <w:r w:rsidRPr="00E97EAA">
        <w:rPr>
          <w:rFonts w:eastAsiaTheme="minorEastAsia"/>
          <w:vertAlign w:val="subscript"/>
        </w:rPr>
        <w:t>D</w:t>
      </w:r>
      <w:r>
        <w:rPr>
          <w:rFonts w:eastAsiaTheme="minorEastAsia"/>
          <w:vertAlign w:val="subscript"/>
        </w:rPr>
        <w:t xml:space="preserve"> </w:t>
      </w:r>
      <w:r>
        <w:rPr>
          <w:rFonts w:eastAsiaTheme="minorEastAsia"/>
        </w:rPr>
        <w:t>cannot be determined</w:t>
      </w:r>
      <w:r w:rsidR="0091345B">
        <w:rPr>
          <w:rFonts w:eastAsiaTheme="minorEastAsia"/>
        </w:rPr>
        <w:t xml:space="preserve"> nor the </w:t>
      </w:r>
      <w:r w:rsidR="005345B2">
        <w:rPr>
          <w:bCs/>
        </w:rPr>
        <w:t xml:space="preserve">enthalpy or the stoichiometry. </w:t>
      </w:r>
      <w:r>
        <w:rPr>
          <w:rFonts w:eastAsiaTheme="minorEastAsia"/>
        </w:rPr>
        <w:t xml:space="preserve">   </w:t>
      </w:r>
    </w:p>
    <w:p w:rsidR="00956B80" w:rsidRDefault="00956B80" w:rsidP="00956B80">
      <w:pPr>
        <w:spacing w:line="480" w:lineRule="auto"/>
        <w:jc w:val="both"/>
      </w:pPr>
    </w:p>
    <w:p w:rsidR="00956B80" w:rsidRDefault="00040F10" w:rsidP="00956B80">
      <w:pPr>
        <w:jc w:val="center"/>
      </w:pPr>
      <w:r>
        <w:rPr>
          <w:rFonts w:eastAsiaTheme="minorEastAsia"/>
          <w:noProof/>
          <w:lang w:eastAsia="en-GB"/>
        </w:rPr>
        <w:pict>
          <v:shape id="Text Box 23" o:spid="_x0000_s1050" type="#_x0000_t202" style="position:absolute;left:0;text-align:left;margin-left:-15.55pt;margin-top:20.15pt;width:25.35pt;height:1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" strokecolor="white [3212]">
            <v:textbox style="layout-flow:vertical;mso-layout-flow-alt:bottom-to-top">
              <w:txbxContent>
                <w:p w:rsidR="003A5686" w:rsidRPr="005E01D5" w:rsidRDefault="003A5686" w:rsidP="00D851A8">
                  <w:pPr>
                    <w:rPr>
                      <w:rFonts w:cs="Arial"/>
                      <w:b/>
                      <w:sz w:val="20"/>
                      <w:szCs w:val="20"/>
                    </w:rPr>
                  </w:pPr>
                  <w:r w:rsidRPr="005E01D5">
                    <w:rPr>
                      <w:rFonts w:cs="Arial"/>
                      <w:b/>
                      <w:sz w:val="20"/>
                      <w:szCs w:val="20"/>
                    </w:rPr>
                    <w:t xml:space="preserve">     Raw Heat Rate (µJ/s)</w:t>
                  </w:r>
                </w:p>
                <w:p w:rsidR="003A5686" w:rsidRPr="00F44234" w:rsidRDefault="003A5686" w:rsidP="00D851A8">
                  <w:pPr>
                    <w:jc w:val="center"/>
                    <w:rPr>
                      <w:rFonts w:cs="Arial"/>
                      <w:b/>
                      <w:sz w:val="24"/>
                      <w:szCs w:val="16"/>
                    </w:rPr>
                  </w:pPr>
                </w:p>
              </w:txbxContent>
            </v:textbox>
          </v:shape>
        </w:pict>
      </w:r>
      <w:r w:rsidR="00956B80">
        <w:rPr>
          <w:noProof/>
          <w:lang w:eastAsia="en-GB"/>
        </w:rPr>
        <w:drawing>
          <wp:inline distT="0" distB="0" distL="0" distR="0" wp14:anchorId="5D9A88E9" wp14:editId="0C832B10">
            <wp:extent cx="5148000" cy="2542222"/>
            <wp:effectExtent l="1905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48000" cy="2542222"/>
                    </a:xfrm>
                    <a:prstGeom prst="rect">
                      <a:avLst/>
                    </a:prstGeom>
                    <a:noFill/>
                  </pic:spPr>
                </pic:pic>
              </a:graphicData>
            </a:graphic>
          </wp:inline>
        </w:drawing>
      </w:r>
    </w:p>
    <w:p w:rsidR="00956B80" w:rsidRDefault="00040F10" w:rsidP="00956B80">
      <w:pPr>
        <w:jc w:val="center"/>
      </w:pPr>
      <w:r>
        <w:rPr>
          <w:noProof/>
          <w:lang w:eastAsia="en-GB"/>
        </w:rPr>
        <w:pict>
          <v:shape id="Text Box 22" o:spid="_x0000_s1051" type="#_x0000_t202" style="position:absolute;left:0;text-align:left;margin-left:-15.55pt;margin-top:34.9pt;width:25.35pt;height:111.7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" strokecolor="white [3212]">
            <v:textbox style="layout-flow:vertical;mso-layout-flow-alt:bottom-to-top">
              <w:txbxContent>
                <w:p w:rsidR="003A5686" w:rsidRPr="005E01D5" w:rsidRDefault="003A5686" w:rsidP="00D851A8">
                  <w:pPr>
                    <w:rPr>
                      <w:rFonts w:cs="Arial"/>
                      <w:b/>
                      <w:sz w:val="20"/>
                      <w:szCs w:val="20"/>
                    </w:rPr>
                  </w:pPr>
                  <w:r w:rsidRPr="005E01D5">
                    <w:rPr>
                      <w:rFonts w:cs="Arial"/>
                      <w:b/>
                      <w:sz w:val="20"/>
                      <w:szCs w:val="20"/>
                    </w:rPr>
                    <w:t>Raw Heat Rate (µJ/s)</w:t>
                  </w:r>
                </w:p>
                <w:p w:rsidR="003A5686" w:rsidRPr="00F44234" w:rsidRDefault="003A5686" w:rsidP="00D851A8">
                  <w:pPr>
                    <w:jc w:val="center"/>
                    <w:rPr>
                      <w:rFonts w:cs="Arial"/>
                      <w:b/>
                      <w:sz w:val="24"/>
                      <w:szCs w:val="16"/>
                    </w:rPr>
                  </w:pPr>
                </w:p>
              </w:txbxContent>
            </v:textbox>
          </v:shape>
        </w:pict>
      </w:r>
      <w:r w:rsidR="00956B80">
        <w:rPr>
          <w:noProof/>
          <w:lang w:eastAsia="en-GB"/>
        </w:rPr>
        <w:drawing>
          <wp:inline distT="0" distB="0" distL="0" distR="0" wp14:anchorId="1F17C52E" wp14:editId="6DF42A4F">
            <wp:extent cx="5148000" cy="2623937"/>
            <wp:effectExtent l="19050" t="0" r="0" b="0"/>
            <wp:docPr id="20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48000" cy="2623937"/>
                    </a:xfrm>
                    <a:prstGeom prst="rect">
                      <a:avLst/>
                    </a:prstGeom>
                    <a:noFill/>
                  </pic:spPr>
                </pic:pic>
              </a:graphicData>
            </a:graphic>
          </wp:inline>
        </w:drawing>
      </w:r>
    </w:p>
    <w:p w:rsidR="00956B80" w:rsidRDefault="00956B80" w:rsidP="00956B80">
      <w:pPr>
        <w:pStyle w:val="Caption"/>
        <w:spacing w:line="480" w:lineRule="auto"/>
        <w:jc w:val="center"/>
      </w:pPr>
      <w:bookmarkStart w:id="183" w:name="_Ref442886416"/>
      <w:r>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w:t>
      </w:r>
      <w:r w:rsidR="0075172E">
        <w:fldChar w:fldCharType="end"/>
      </w:r>
      <w:bookmarkEnd w:id="183"/>
      <w:r>
        <w:t>: Upper section: Thermogram baseline not returning to normal. Lower section: Thermogram baseline returning to normal.</w:t>
      </w:r>
    </w:p>
    <w:p w:rsidR="00956B80" w:rsidRDefault="00956B80" w:rsidP="00956B80">
      <w:pPr>
        <w:jc w:val="both"/>
        <w:rPr>
          <w:rFonts w:eastAsiaTheme="minorEastAsia"/>
        </w:rPr>
      </w:pPr>
    </w:p>
    <w:p w:rsidR="00956B80" w:rsidRDefault="00956B80" w:rsidP="00956B80">
      <w:pPr>
        <w:jc w:val="both"/>
        <w:rPr>
          <w:rFonts w:eastAsiaTheme="minorEastAsia"/>
        </w:rPr>
      </w:pPr>
    </w:p>
    <w:p w:rsidR="00956B80" w:rsidRDefault="006F11A0" w:rsidP="00695390">
      <w:pPr>
        <w:keepNext/>
        <w:jc w:val="center"/>
      </w:pPr>
      <w:r>
        <w:rPr>
          <w:noProof/>
          <w:lang w:eastAsia="en-GB"/>
        </w:rPr>
        <w:lastRenderedPageBreak/>
        <w:drawing>
          <wp:inline distT="0" distB="0" distL="0" distR="0" wp14:anchorId="4B08062B" wp14:editId="0DE18800">
            <wp:extent cx="5205730" cy="3463913"/>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srcRect/>
                    <a:stretch>
                      <a:fillRect/>
                    </a:stretch>
                  </pic:blipFill>
                  <pic:spPr bwMode="auto">
                    <a:xfrm>
                      <a:off x="0" y="0"/>
                      <a:ext cx="5205730" cy="3463913"/>
                    </a:xfrm>
                    <a:prstGeom prst="rect">
                      <a:avLst/>
                    </a:prstGeom>
                    <a:noFill/>
                    <a:ln w="9525">
                      <a:noFill/>
                      <a:miter lim="800000"/>
                      <a:headEnd/>
                      <a:tailEnd/>
                    </a:ln>
                  </pic:spPr>
                </pic:pic>
              </a:graphicData>
            </a:graphic>
          </wp:inline>
        </w:drawing>
      </w:r>
    </w:p>
    <w:p w:rsidR="00956B80" w:rsidRDefault="00956B80" w:rsidP="00956B80">
      <w:pPr>
        <w:pStyle w:val="Caption"/>
        <w:jc w:val="center"/>
        <w:rPr>
          <w:rFonts w:eastAsiaTheme="minorEastAsia"/>
        </w:rPr>
      </w:pPr>
      <w:bookmarkStart w:id="184" w:name="_Ref442886583"/>
      <w:bookmarkStart w:id="185" w:name="_Ref442886558"/>
      <w:r>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w:t>
      </w:r>
      <w:r w:rsidR="0075172E">
        <w:fldChar w:fldCharType="end"/>
      </w:r>
      <w:bookmarkEnd w:id="184"/>
      <w:r>
        <w:t>: Binding isotherms at varying c-values.</w:t>
      </w:r>
      <w:bookmarkEnd w:id="185"/>
      <w:r>
        <w:t xml:space="preserve"> </w:t>
      </w:r>
    </w:p>
    <w:p w:rsidR="00956B80" w:rsidRPr="00791545" w:rsidRDefault="00956B80" w:rsidP="00956B80">
      <w:pPr>
        <w:spacing w:line="480" w:lineRule="auto"/>
        <w:jc w:val="both"/>
        <w:rPr>
          <w:rFonts w:eastAsiaTheme="minorEastAsia"/>
        </w:rPr>
      </w:pPr>
      <w:r>
        <w:rPr>
          <w:rFonts w:eastAsiaTheme="minorEastAsia"/>
        </w:rPr>
        <w:t>Markova and Hallén suggest that cITC in theory should be able to measure much larger association constants at the picomolar range.</w:t>
      </w:r>
      <w:hyperlink w:anchor="_ENREF_288" w:tooltip="Markova, 2004 #637" w:history="1">
        <w:r w:rsidR="00512D09">
          <w:rPr>
            <w:rFonts w:eastAsiaTheme="minorEastAsia"/>
          </w:rPr>
          <w:fldChar w:fldCharType="begin"/>
        </w:r>
        <w:r w:rsidR="00512D09">
          <w:rPr>
            <w:rFonts w:eastAsiaTheme="minorEastAsia"/>
          </w:rPr>
          <w:instrText xml:space="preserve"> ADDIN EN.CITE &lt;EndNote&gt;&lt;Cite&gt;&lt;Author&gt;Markova&lt;/Author&gt;&lt;Year&gt;2004&lt;/Year&gt;&lt;RecNum&gt;637&lt;/RecNum&gt;&lt;DisplayText&gt;&lt;style face="superscript"&gt;288&lt;/style&gt;&lt;/DisplayText&gt;&lt;record&gt;&lt;rec-number&gt;637&lt;/rec-number&gt;&lt;foreign-keys&gt;&lt;key app="EN" db-id="5trrespwzsdr07efd5tx2w96x22re9s0fsdt"&gt;637&lt;/key&gt;&lt;/foreign-keys&gt;&lt;ref-type name="Journal Article"&gt;17&lt;/ref-type&gt;&lt;contributors&gt;&lt;authors&gt;&lt;author&gt;Markova, Natalia&lt;/author&gt;&lt;author&gt;Hallén, Dan&lt;/author&gt;&lt;/authors&gt;&lt;/contributors&gt;&lt;titles&gt;&lt;title&gt;The development of a continuous isothermal titration calorimetric method for equilibrium studies&lt;/title&gt;&lt;secondary-title&gt;Analytical biochemistry&lt;/secondary-title&gt;&lt;/titles&gt;&lt;periodical&gt;&lt;full-title&gt;Analytical biochemistry&lt;/full-title&gt;&lt;/periodical&gt;&lt;pages&gt;77-88&lt;/pages&gt;&lt;volume&gt;331&lt;/volume&gt;&lt;number&gt;1&lt;/number&gt;&lt;dates&gt;&lt;year&gt;2004&lt;/year&gt;&lt;/dates&gt;&lt;isbn&gt;0003-2697&lt;/isbn&gt;&lt;urls&gt;&lt;related-urls&gt;&lt;url&gt;http://www.sciencedirect.com/science/article/pii/S0003269704002544&lt;/url&gt;&lt;/related-urls&gt;&lt;/urls&gt;&lt;electronic-resource-num&gt;http://dx.doi.org/10.1016/j.ab.2004.03.022&lt;/electronic-resource-num&gt;&lt;/record&gt;&lt;/Cite&gt;&lt;/EndNote&gt;</w:instrText>
        </w:r>
        <w:r w:rsidR="00512D09">
          <w:rPr>
            <w:rFonts w:eastAsiaTheme="minorEastAsia"/>
          </w:rPr>
          <w:fldChar w:fldCharType="separate"/>
        </w:r>
        <w:r w:rsidR="00512D09" w:rsidRPr="006421D1">
          <w:rPr>
            <w:rFonts w:eastAsiaTheme="minorEastAsia"/>
            <w:noProof/>
            <w:vertAlign w:val="superscript"/>
          </w:rPr>
          <w:t>288</w:t>
        </w:r>
        <w:r w:rsidR="00512D09">
          <w:rPr>
            <w:rFonts w:eastAsiaTheme="minorEastAsia"/>
          </w:rPr>
          <w:fldChar w:fldCharType="end"/>
        </w:r>
      </w:hyperlink>
      <w:r>
        <w:rPr>
          <w:rFonts w:eastAsiaTheme="minorEastAsia"/>
        </w:rPr>
        <w:t xml:space="preserve"> They advocate that the shape of the binding isotherm and the number of data points should be able to determine binding constants with good statistical precision. </w:t>
      </w:r>
    </w:p>
    <w:p w:rsidR="00956B80" w:rsidRDefault="00956B80" w:rsidP="00956B80">
      <w:pPr>
        <w:spacing w:line="480" w:lineRule="auto"/>
        <w:jc w:val="both"/>
      </w:pPr>
      <w:r w:rsidRPr="004B326C">
        <w:t xml:space="preserve">Phytic acid is a </w:t>
      </w:r>
      <w:r w:rsidRPr="004B326C">
        <w:rPr>
          <w:i/>
        </w:rPr>
        <w:t>myo</w:t>
      </w:r>
      <w:r w:rsidRPr="004B326C">
        <w:t>-inositol with six orthophosphate groups linked to it by phosphoester bonds</w:t>
      </w:r>
      <w:r>
        <w:t>. The conjugate base form the phytic acid is phytate, a molecule known to bind to a number of proteins.</w:t>
      </w:r>
      <w:r w:rsidR="0075172E">
        <w:fldChar w:fldCharType="begin">
          <w:fldData xml:space="preserve">PEVuZE5vdGU+PENpdGU+PEF1dGhvcj5TZWxsZTwvQXV0aG9yPjxZZWFyPjIwMDA8L1llYXI+PFJl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</w:fldData>
        </w:fldChar>
      </w:r>
      <w:r w:rsidR="006421D1">
        <w:instrText xml:space="preserve"> ADDIN EN.CITE </w:instrText>
      </w:r>
      <w:r w:rsidR="0075172E">
        <w:fldChar w:fldCharType="begin">
          <w:fldData xml:space="preserve">PEVuZE5vdGU+PENpdGU+PEF1dGhvcj5TZWxsZTwvQXV0aG9yPjxZZWFyPjIwMDA8L1llYXI+PFJl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</w:fldData>
        </w:fldChar>
      </w:r>
      <w:r w:rsidR="006421D1">
        <w:instrText xml:space="preserve"> ADDIN EN.CITE.DATA </w:instrText>
      </w:r>
      <w:r w:rsidR="0075172E">
        <w:fldChar w:fldCharType="end"/>
      </w:r>
      <w:r w:rsidR="0075172E">
        <w:fldChar w:fldCharType="separate"/>
      </w:r>
      <w:hyperlink w:anchor="_ENREF_241" w:tooltip="Bye, 2013 #544" w:history="1">
        <w:r w:rsidR="00512D09" w:rsidRPr="006421D1">
          <w:rPr>
            <w:noProof/>
            <w:vertAlign w:val="superscript"/>
          </w:rPr>
          <w:t>241</w:t>
        </w:r>
      </w:hyperlink>
      <w:r w:rsidR="006421D1" w:rsidRPr="006421D1">
        <w:rPr>
          <w:noProof/>
          <w:vertAlign w:val="superscript"/>
        </w:rPr>
        <w:t>,</w:t>
      </w:r>
      <w:hyperlink w:anchor="_ENREF_291" w:tooltip="Selle, 2000 #608" w:history="1">
        <w:r w:rsidR="00512D09" w:rsidRPr="006421D1">
          <w:rPr>
            <w:noProof/>
            <w:vertAlign w:val="superscript"/>
          </w:rPr>
          <w:t>291</w:t>
        </w:r>
      </w:hyperlink>
      <w:r w:rsidR="006421D1" w:rsidRPr="006421D1">
        <w:rPr>
          <w:noProof/>
          <w:vertAlign w:val="superscript"/>
        </w:rPr>
        <w:t>,</w:t>
      </w:r>
      <w:hyperlink w:anchor="_ENREF_292" w:tooltip="Singh, 1982 #604" w:history="1">
        <w:r w:rsidR="00512D09" w:rsidRPr="006421D1">
          <w:rPr>
            <w:noProof/>
            <w:vertAlign w:val="superscript"/>
          </w:rPr>
          <w:t>292</w:t>
        </w:r>
      </w:hyperlink>
      <w:r w:rsidR="0075172E">
        <w:fldChar w:fldCharType="end"/>
      </w:r>
      <w:r>
        <w:t xml:space="preserve">  The molecule is known to present a nutritional problem for humans. In China, it has been implicated in the malnutrition of rural Chinese by chelating mineral ions</w:t>
      </w:r>
      <w:r w:rsidR="00A25C95">
        <w:t>.</w:t>
      </w:r>
      <w:hyperlink w:anchor="_ENREF_251" w:tooltip="Ma, 2006 #554" w:history="1">
        <w:r w:rsidR="00512D09">
          <w:fldChar w:fldCharType="begin"/>
        </w:r>
        <w:r w:rsidR="00512D09">
          <w:instrText xml:space="preserve"> ADDIN EN.CITE &lt;EndNote&gt;&lt;Cite&gt;&lt;Author&gt;Ma&lt;/Author&gt;&lt;Year&gt;2006&lt;/Year&gt;&lt;RecNum&gt;554&lt;/RecNum&gt;&lt;DisplayText&gt;&lt;style face="superscript"&gt;251&lt;/style&gt;&lt;/DisplayText&gt;&lt;record&gt;&lt;rec-number&gt;554&lt;/rec-number&gt;&lt;foreign-keys&gt;&lt;key app="EN" db-id="5trrespwzsdr07efd5tx2w96x22re9s0fsdt"&gt;554&lt;/key&gt;&lt;/foreign-keys&gt;&lt;ref-type name="Journal Article"&gt;17&lt;/ref-type&gt;&lt;contributors&gt;&lt;authors&gt;&lt;author&gt;Ma, G.&lt;/author&gt;&lt;author&gt;Li, Y.&lt;/author&gt;&lt;author&gt;Jin, Y.&lt;/author&gt;&lt;author&gt;Zhai, F.&lt;/author&gt;&lt;author&gt;Kok, F. J.&lt;/author&gt;&lt;author&gt;Yang, X.&lt;/author&gt;&lt;/authors&gt;&lt;/contributors&gt;&lt;titles&gt;&lt;title&gt;Phytate intake and molar ratios of phytate to zinc, iron and calcium in the diets of people in China&lt;/title&gt;&lt;secondary-title&gt;European Journal of Clinical Nutrition&lt;/secondary-title&gt;&lt;/titles&gt;&lt;periodical&gt;&lt;full-title&gt;European Journal of Clinical Nutrition&lt;/full-title&gt;&lt;/periodical&gt;&lt;pages&gt;368-374&lt;/pages&gt;&lt;volume&gt;61&lt;/volume&gt;&lt;number&gt;3&lt;/number&gt;&lt;dates&gt;&lt;year&gt;2006&lt;/year&gt;&lt;/dates&gt;&lt;isbn&gt;0954-3007&lt;/isbn&gt;&lt;urls&gt;&lt;related-urls&gt;&lt;url&gt;http://dx.doi.org/10.1038/sj.ejcn.1602513&lt;/url&gt;&lt;/related-urls&gt;&lt;/urls&gt;&lt;/record&gt;&lt;/Cite&gt;&lt;/EndNote&gt;</w:instrText>
        </w:r>
        <w:r w:rsidR="00512D09">
          <w:fldChar w:fldCharType="separate"/>
        </w:r>
        <w:r w:rsidR="00512D09" w:rsidRPr="006421D1">
          <w:rPr>
            <w:noProof/>
            <w:vertAlign w:val="superscript"/>
          </w:rPr>
          <w:t>251</w:t>
        </w:r>
        <w:r w:rsidR="00512D09">
          <w:fldChar w:fldCharType="end"/>
        </w:r>
      </w:hyperlink>
      <w:r>
        <w:t xml:space="preserve"> </w:t>
      </w:r>
      <w:r w:rsidRPr="00F620F2">
        <w:t>Potentiometric titratio</w:t>
      </w:r>
      <w:r>
        <w:t>ns have revealed cations bind to phytate providing a possible mechanistic rationale regarding impaired bioavailability of mineral ions in the presence of phytate.</w:t>
      </w:r>
      <w:hyperlink w:anchor="_ENREF_242" w:tooltip="Bebot-Brigaud, 1999 #545" w:history="1">
        <w:r w:rsidR="00512D09">
          <w:fldChar w:fldCharType="begin"/>
        </w:r>
        <w:r w:rsidR="00512D09">
          <w:instrText xml:space="preserve"> ADDIN EN.CITE &lt;EndNote&gt;&lt;Cite&gt;&lt;Author&gt;Bebot-Brigaud&lt;/Author&gt;&lt;Year&gt;1999&lt;/Year&gt;&lt;RecNum&gt;545&lt;/RecNum&gt;&lt;DisplayText&gt;&lt;style face="superscript"&gt;242&lt;/style&gt;&lt;/DisplayText&gt;&lt;record&gt;&lt;rec-number&gt;545&lt;/rec-number&gt;&lt;foreign-keys&gt;&lt;key app="EN" db-id="5trrespwzsdr07efd5tx2w96x22re9s0fsdt"&gt;545&lt;/key&gt;&lt;/foreign-keys&gt;&lt;ref-type name="Journal Article"&gt;17&lt;/ref-type&gt;&lt;contributors&gt;&lt;authors&gt;&lt;author&gt;Bebot-Brigaud, A&lt;/author&gt;&lt;author&gt;Dange, C&lt;/author&gt;&lt;author&gt;Fauconnier, N&lt;/author&gt;&lt;author&gt;Gérard, C&lt;/author&gt;&lt;/authors&gt;&lt;/contributors&gt;&lt;titles&gt;&lt;title&gt;&lt;style face="normal" font="default" size="100%"&gt;31 P NMR, potentiometric and spectrophotometric studies of phytic acid ionization and complexation properties toward Co&lt;/style&gt;&lt;style face="superscript" font="default" size="100%"&gt;2+&lt;/style&gt;&lt;style face="normal" font="default" size="100%"&gt;, Ni&lt;/style&gt;&lt;style face="superscript" font="default" size="100%"&gt;2+&lt;/style&gt;&lt;style face="normal" font="default" size="100%"&gt;, Cu&lt;/style&gt;&lt;style face="superscript" font="default" size="100%"&gt;2+&lt;/style&gt;&lt;style face="normal" font="default" size="100%"&gt;, Zn&lt;/style&gt;&lt;style face="superscript" font="default" size="100%"&gt;2+&lt;/style&gt;&lt;style face="normal" font="default" size="100%"&gt; and Cd&lt;/style&gt;&lt;style face="superscript" font="default" size="100%"&gt;2+&lt;/style&gt;&lt;/title&gt;&lt;secondary-title&gt;Journal of Inorganic Biochemistry&lt;/secondary-title&gt;&lt;/titles&gt;&lt;periodical&gt;&lt;full-title&gt;Journal of Inorganic Biochemistry&lt;/full-title&gt;&lt;/periodical&gt;&lt;pages&gt;71-78&lt;/pages&gt;&lt;volume&gt;75&lt;/volume&gt;&lt;number&gt;1&lt;/number&gt;&lt;dates&gt;&lt;year&gt;1999&lt;/year&gt;&lt;/dates&gt;&lt;isbn&gt;0162-0134&lt;/isbn&gt;&lt;urls&gt;&lt;/urls&gt;&lt;/record&gt;&lt;/Cite&gt;&lt;/EndNote&gt;</w:instrText>
        </w:r>
        <w:r w:rsidR="00512D09">
          <w:fldChar w:fldCharType="separate"/>
        </w:r>
        <w:r w:rsidR="00512D09" w:rsidRPr="006421D1">
          <w:rPr>
            <w:noProof/>
            <w:vertAlign w:val="superscript"/>
          </w:rPr>
          <w:t>242</w:t>
        </w:r>
        <w:r w:rsidR="00512D09">
          <w:fldChar w:fldCharType="end"/>
        </w:r>
      </w:hyperlink>
      <w:r>
        <w:t xml:space="preserve"> </w:t>
      </w:r>
    </w:p>
    <w:p w:rsidR="00956B80" w:rsidRDefault="00956B80" w:rsidP="00956B80">
      <w:pPr>
        <w:spacing w:line="480" w:lineRule="auto"/>
        <w:jc w:val="both"/>
      </w:pPr>
      <w:r>
        <w:t>This problem is not just limited to human population but presents a problem for the agricultural industry, specifically pig and poultry nutrition. Phytase is an enzyme that can break down phytate into an inositol ring and free phosphates. Phytase addition to a maize-</w:t>
      </w:r>
      <w:r>
        <w:lastRenderedPageBreak/>
        <w:t xml:space="preserve">soybean meal based diet increased the apparent </w:t>
      </w:r>
      <w:r w:rsidRPr="00E728EF">
        <w:t>ileal </w:t>
      </w:r>
      <w:r>
        <w:t>digestibility for pigs.</w:t>
      </w:r>
      <w:hyperlink w:anchor="_ENREF_293" w:tooltip="Kemme, 1999 #621" w:history="1">
        <w:r w:rsidR="00512D09">
          <w:fldChar w:fldCharType="begin"/>
        </w:r>
        <w:r w:rsidR="00512D09">
          <w:instrText xml:space="preserve"> ADDIN EN.CITE &lt;EndNote&gt;&lt;Cite&gt;&lt;Author&gt;Kemme&lt;/Author&gt;&lt;Year&gt;1999&lt;/Year&gt;&lt;RecNum&gt;621&lt;/RecNum&gt;&lt;DisplayText&gt;&lt;style face="superscript"&gt;293&lt;/style&gt;&lt;/DisplayText&gt;&lt;record&gt;&lt;rec-number&gt;621&lt;/rec-number&gt;&lt;foreign-keys&gt;&lt;key app="EN" db-id="5trrespwzsdr07efd5tx2w96x22re9s0fsdt"&gt;621&lt;/key&gt;&lt;/foreign-keys&gt;&lt;ref-type name="Journal Article"&gt;17&lt;/ref-type&gt;&lt;contributors&gt;&lt;authors&gt;&lt;author&gt;Kemme, Paul A.&lt;/author&gt;&lt;author&gt;Jongbloed, Age W.&lt;/author&gt;&lt;author&gt;Mroz, Zdzisław&lt;/author&gt;&lt;author&gt;Kogut, Jan&lt;/author&gt;&lt;author&gt;Beynen, Anton C.&lt;/author&gt;&lt;/authors&gt;&lt;/contributors&gt;&lt;titles&gt;&lt;title&gt;Digestibility of nutrients in growing–finishing pigs is affected by Aspergillus niger phytase, phytate and lactic acid levels: 1. Apparent ileal digestibility of amino acids&lt;/title&gt;&lt;secondary-title&gt;Livestock Production Science&lt;/secondary-title&gt;&lt;/titles&gt;&lt;periodical&gt;&lt;full-title&gt;Livestock Production Science&lt;/full-title&gt;&lt;/periodical&gt;&lt;pages&gt;107-117&lt;/pages&gt;&lt;volume&gt;58&lt;/volume&gt;&lt;number&gt;2&lt;/number&gt;&lt;keywords&gt;&lt;keyword&gt;Pigs&lt;/keyword&gt;&lt;keyword&gt;Phytase&lt;/keyword&gt;&lt;keyword&gt;Phytate&lt;/keyword&gt;&lt;keyword&gt;Acidification&lt;/keyword&gt;&lt;keyword&gt;Amino acids&lt;/keyword&gt;&lt;keyword&gt;Digestibility&lt;/keyword&gt;&lt;/keywords&gt;&lt;dates&gt;&lt;year&gt;1999&lt;/year&gt;&lt;/dates&gt;&lt;isbn&gt;0301-6226&lt;/isbn&gt;&lt;urls&gt;&lt;related-urls&gt;&lt;url&gt;http://www.sciencedirect.com/science/article/pii/S0301622698002036&lt;/url&gt;&lt;/related-urls&gt;&lt;/urls&gt;&lt;electronic-resource-num&gt;http://dx.doi.org/10.1016/S0301-6226(98)00203-6&lt;/electronic-resource-num&gt;&lt;/record&gt;&lt;/Cite&gt;&lt;/EndNote&gt;</w:instrText>
        </w:r>
        <w:r w:rsidR="00512D09">
          <w:fldChar w:fldCharType="separate"/>
        </w:r>
        <w:r w:rsidR="00512D09" w:rsidRPr="0057696F">
          <w:rPr>
            <w:noProof/>
            <w:vertAlign w:val="superscript"/>
          </w:rPr>
          <w:t>293</w:t>
        </w:r>
        <w:r w:rsidR="00512D09">
          <w:fldChar w:fldCharType="end"/>
        </w:r>
      </w:hyperlink>
      <w:r>
        <w:t xml:space="preserve"> </w:t>
      </w:r>
      <w:r w:rsidRPr="005345B2">
        <w:rPr>
          <w:i/>
        </w:rPr>
        <w:t>In vitro</w:t>
      </w:r>
      <w:r>
        <w:t xml:space="preserve"> studies have suggested that phytate inhibition of digestive enzymes in protein metabolism could be responsible for protein malnutrition.</w:t>
      </w:r>
      <w:hyperlink w:anchor="_ENREF_292" w:tooltip="Singh, 1982 #604" w:history="1">
        <w:r w:rsidR="00512D09" w:rsidRPr="009A5E24">
          <w:fldChar w:fldCharType="begin"/>
        </w:r>
        <w:r w:rsidR="00512D09">
          <w:instrText xml:space="preserve"> ADDIN EN.CITE &lt;EndNote&gt;&lt;Cite&gt;&lt;Author&gt;Singh&lt;/Author&gt;&lt;Year&gt;1982&lt;/Year&gt;&lt;RecNum&gt;604&lt;/RecNum&gt;&lt;DisplayText&gt;&lt;style face="superscript"&gt;292&lt;/style&gt;&lt;/DisplayText&gt;&lt;record&gt;&lt;rec-number&gt;604&lt;/rec-number&gt;&lt;foreign-keys&gt;&lt;key app="EN" db-id="5trrespwzsdr07efd5tx2w96x22re9s0fsdt"&gt;604&lt;/key&gt;&lt;/foreign-keys&gt;&lt;ref-type name="Journal Article"&gt;17&lt;/ref-type&gt;&lt;contributors&gt;&lt;authors&gt;&lt;author&gt;Singh, Madhav&lt;/author&gt;&lt;author&gt;Krikorian, A. D.&lt;/author&gt;&lt;/authors&gt;&lt;/contributors&gt;&lt;titles&gt;&lt;title&gt;Inhibition of trypsin activity in vitro by phytate&lt;/title&gt;&lt;secondary-title&gt;Journal of Agricultural and Food Chemistry&lt;/secondary-title&gt;&lt;/titles&gt;&lt;periodical&gt;&lt;full-title&gt;Journal of Agricultural and Food Chemistry&lt;/full-title&gt;&lt;/periodical&gt;&lt;pages&gt;799-800&lt;/pages&gt;&lt;volume&gt;30&lt;/volume&gt;&lt;number&gt;4&lt;/number&gt;&lt;dates&gt;&lt;year&gt;1982&lt;/year&gt;&lt;pub-dates&gt;&lt;date&gt;1982/07/01&lt;/date&gt;&lt;/pub-dates&gt;&lt;/dates&gt;&lt;publisher&gt;American Chemical Society&lt;/publisher&gt;&lt;isbn&gt;0021-8561&lt;/isbn&gt;&lt;urls&gt;&lt;related-urls&gt;&lt;url&gt;http://dx.doi.org/10.1021/jf00112a049&lt;/url&gt;&lt;/related-urls&gt;&lt;/urls&gt;&lt;electronic-resource-num&gt;10.1021/jf00112a049&lt;/electronic-resource-num&gt;&lt;/record&gt;&lt;/Cite&gt;&lt;/EndNote&gt;</w:instrText>
        </w:r>
        <w:r w:rsidR="00512D09" w:rsidRPr="009A5E24">
          <w:fldChar w:fldCharType="separate"/>
        </w:r>
        <w:r w:rsidR="00512D09" w:rsidRPr="0057696F">
          <w:rPr>
            <w:noProof/>
            <w:vertAlign w:val="superscript"/>
          </w:rPr>
          <w:t>292</w:t>
        </w:r>
        <w:r w:rsidR="00512D09" w:rsidRPr="009A5E24">
          <w:fldChar w:fldCharType="end"/>
        </w:r>
      </w:hyperlink>
      <w:r>
        <w:t xml:space="preserve"> However, the evidence for this seems weak. </w:t>
      </w:r>
      <w:r w:rsidRPr="00F1227B">
        <w:t xml:space="preserve">In vitro activity of the proteolytic enzyme trypsin using casein as the substrate was </w:t>
      </w:r>
      <w:r>
        <w:t>increased by low levels of phytic acid if molar ratios of less than 26 were used</w:t>
      </w:r>
      <w:r w:rsidR="00A25C95">
        <w:t>.</w:t>
      </w:r>
      <w:hyperlink w:anchor="_ENREF_294" w:tooltip="Deshpande, 1989 #619" w:history="1">
        <w:r w:rsidR="00512D09">
          <w:fldChar w:fldCharType="begin"/>
        </w:r>
        <w:r w:rsidR="00512D09">
          <w:instrText xml:space="preserve"> ADDIN EN.CITE &lt;EndNote&gt;&lt;Cite&gt;&lt;Author&gt;Deshpande&lt;/Author&gt;&lt;Year&gt;1989&lt;/Year&gt;&lt;RecNum&gt;619&lt;/RecNum&gt;&lt;DisplayText&gt;&lt;style face="superscript"&gt;294&lt;/style&gt;&lt;/DisplayText&gt;&lt;record&gt;&lt;rec-number&gt;619&lt;/rec-number&gt;&lt;foreign-keys&gt;&lt;key app="EN" db-id="5trrespwzsdr07efd5tx2w96x22re9s0fsdt"&gt;619&lt;/key&gt;&lt;/foreign-keys&gt;&lt;ref-type name="Journal Article"&gt;17&lt;/ref-type&gt;&lt;contributors&gt;&lt;authors&gt;&lt;author&gt;Deshpande, S. S.&lt;/author&gt;&lt;author&gt;Damodaran, Srinivasan&lt;/author&gt;&lt;/authors&gt;&lt;/contributors&gt;&lt;titles&gt;&lt;title&gt;Effect of Phytate on Solubility, Activity and Conformation of Trypsin and Chymotrypsin&lt;/title&gt;&lt;secondary-title&gt;Journal of Food Science&lt;/secondary-title&gt;&lt;/titles&gt;&lt;periodical&gt;&lt;full-title&gt;Journal of Food Science&lt;/full-title&gt;&lt;/periodical&gt;&lt;pages&gt;695-699&lt;/pages&gt;&lt;volume&gt;54&lt;/volume&gt;&lt;number&gt;3&lt;/number&gt;&lt;dates&gt;&lt;year&gt;1989&lt;/year&gt;&lt;/dates&gt;&lt;publisher&gt;Blackwell Publishing Ltd&lt;/publisher&gt;&lt;isbn&gt;1750-3841&lt;/isbn&gt;&lt;urls&gt;&lt;related-urls&gt;&lt;url&gt;http://dx.doi.org/10.1111/j.1365-2621.1989.tb04684.x&lt;/url&gt;&lt;/related-urls&gt;&lt;/urls&gt;&lt;electronic-resource-num&gt;10.1111/j.1365-2621.1989.tb04684.x&lt;/electronic-resource-num&gt;&lt;/record&gt;&lt;/Cite&gt;&lt;/EndNote&gt;</w:instrText>
        </w:r>
        <w:r w:rsidR="00512D09">
          <w:fldChar w:fldCharType="separate"/>
        </w:r>
        <w:r w:rsidR="00512D09" w:rsidRPr="0057696F">
          <w:rPr>
            <w:noProof/>
            <w:vertAlign w:val="superscript"/>
          </w:rPr>
          <w:t>294</w:t>
        </w:r>
        <w:r w:rsidR="00512D09">
          <w:fldChar w:fldCharType="end"/>
        </w:r>
      </w:hyperlink>
      <w:r>
        <w:t xml:space="preserve"> In addition, c</w:t>
      </w:r>
      <w:r w:rsidRPr="009A5E24">
        <w:t>hymotrypsin</w:t>
      </w:r>
      <w:r>
        <w:t xml:space="preserve"> activity was also increased in the presence of phytate at molar ratios below 11. In light of this evidence, it has been suggested that phytate could increase mucin digestion by irritating the lining of the gut.</w:t>
      </w:r>
      <w:hyperlink w:anchor="_ENREF_248" w:tooltip="Selle, 2012 #610" w:history="1">
        <w:r w:rsidR="00512D09">
          <w:fldChar w:fldCharType="begin"/>
        </w:r>
        <w:r w:rsidR="00512D09">
          <w:instrText xml:space="preserve"> ADDIN EN.CITE &lt;EndNote&gt;&lt;Cite&gt;&lt;Author&gt;Selle&lt;/Author&gt;&lt;Year&gt;2012&lt;/Year&gt;&lt;RecNum&gt;610&lt;/RecNum&gt;&lt;DisplayText&gt;&lt;style face="superscript"&gt;248&lt;/style&gt;&lt;/DisplayText&gt;&lt;record&gt;&lt;rec-number&gt;610&lt;/rec-number&gt;&lt;foreign-keys&gt;&lt;key app="EN" db-id="5trrespwzsdr07efd5tx2w96x22re9s0fsdt"&gt;610&lt;/key&gt;&lt;/foreign-keys&gt;&lt;ref-type name="Journal Article"&gt;17&lt;/ref-type&gt;&lt;contributors&gt;&lt;authors&gt;&lt;author&gt;Selle, Peter H&lt;/author&gt;&lt;author&gt;Cowieson, Aaron J&lt;/author&gt;&lt;author&gt;Cowieson, Nathan P&lt;/author&gt;&lt;author&gt;Ravindran, V&lt;/author&gt;&lt;/authors&gt;&lt;/contributors&gt;&lt;titles&gt;&lt;title&gt;Protein–phytate interactions in pig and poultry nutrition: a reappraisal&lt;/title&gt;&lt;secondary-title&gt;Nutrition Research Reviews&lt;/secondary-title&gt;&lt;/titles&gt;&lt;periodical&gt;&lt;full-title&gt;Nutrition Research Reviews&lt;/full-title&gt;&lt;/periodical&gt;&lt;pages&gt;1-17&lt;/pages&gt;&lt;volume&gt;25&lt;/volume&gt;&lt;number&gt;01&lt;/number&gt;&lt;dates&gt;&lt;year&gt;2012&lt;/year&gt;&lt;/dates&gt;&lt;isbn&gt;1475-2700&lt;/isbn&gt;&lt;urls&gt;&lt;/urls&gt;&lt;/record&gt;&lt;/Cite&gt;&lt;/EndNote&gt;</w:instrText>
        </w:r>
        <w:r w:rsidR="00512D09">
          <w:fldChar w:fldCharType="separate"/>
        </w:r>
        <w:r w:rsidR="00512D09" w:rsidRPr="006421D1">
          <w:rPr>
            <w:noProof/>
            <w:vertAlign w:val="superscript"/>
          </w:rPr>
          <w:t>248</w:t>
        </w:r>
        <w:r w:rsidR="00512D09">
          <w:fldChar w:fldCharType="end"/>
        </w:r>
      </w:hyperlink>
      <w:r>
        <w:t xml:space="preserve"> An increase in mucin secretion will directly cause an increase in amino acid flow because mucin is composed of amino acids.</w:t>
      </w:r>
      <w:hyperlink w:anchor="_ENREF_260" w:tooltip="Onyango, 2009 #609" w:history="1">
        <w:r w:rsidR="00512D09">
          <w:fldChar w:fldCharType="begin"/>
        </w:r>
        <w:r w:rsidR="00512D09">
          <w:instrText xml:space="preserve"> ADDIN EN.CITE &lt;EndNote&gt;&lt;Cite&gt;&lt;Author&gt;Onyango&lt;/Author&gt;&lt;Year&gt;2009&lt;/Year&gt;&lt;RecNum&gt;609&lt;/RecNum&gt;&lt;DisplayText&gt;&lt;style face="superscript"&gt;260&lt;/style&gt;&lt;/DisplayText&gt;&lt;record&gt;&lt;rec-number&gt;609&lt;/rec-number&gt;&lt;foreign-keys&gt;&lt;key app="EN" db-id="5trrespwzsdr07efd5tx2w96x22re9s0fsdt"&gt;609&lt;/key&gt;&lt;/foreign-keys&gt;&lt;ref-type name="Journal Article"&gt;17&lt;/ref-type&gt;&lt;contributors&gt;&lt;authors&gt;&lt;author&gt;Onyango,Edward M.&lt;/author&gt;&lt;author&gt;Asem,Elikplimi K.&lt;/author&gt;&lt;author&gt;Adeola,Olayiwola&lt;/author&gt;&lt;/authors&gt;&lt;/contributors&gt;&lt;titles&gt;&lt;title&gt;Phytic acid increases mucin and endogenous amino acid losses from the gastrointestinal tract of chickens&lt;/title&gt;&lt;secondary-title&gt;British Journal of Nutrition&lt;/secondary-title&gt;&lt;/titles&gt;&lt;periodical&gt;&lt;full-title&gt;British Journal of Nutrition&lt;/full-title&gt;&lt;/periodical&gt;&lt;pages&gt;836-842&lt;/pages&gt;&lt;volume&gt;101&lt;/volume&gt;&lt;number&gt;06&lt;/number&gt;&lt;keywords&gt;&lt;keyword&gt;Chickens, Endogenous loss, Mucin, Phytic acid&lt;/keyword&gt;&lt;/keywords&gt;&lt;dates&gt;&lt;year&gt;2009&lt;/year&gt;&lt;/dates&gt;&lt;isbn&gt;1475-2662&lt;/isbn&gt;&lt;urls&gt;&lt;related-urls&gt;&lt;url&gt;http://dx.doi.org/10.1017/S0007114508047740&lt;/url&gt;&lt;/related-urls&gt;&lt;/urls&gt;&lt;electronic-resource-num&gt;doi:10.1017/S0007114508047740&lt;/electronic-resource-num&gt;&lt;access-date&gt;2009&lt;/access-date&gt;&lt;/record&gt;&lt;/Cite&gt;&lt;/EndNote&gt;</w:instrText>
        </w:r>
        <w:r w:rsidR="00512D09">
          <w:fldChar w:fldCharType="separate"/>
        </w:r>
        <w:r w:rsidR="00512D09" w:rsidRPr="006421D1">
          <w:rPr>
            <w:noProof/>
            <w:vertAlign w:val="superscript"/>
          </w:rPr>
          <w:t>260</w:t>
        </w:r>
        <w:r w:rsidR="00512D09">
          <w:fldChar w:fldCharType="end"/>
        </w:r>
      </w:hyperlink>
    </w:p>
    <w:p w:rsidR="00956B80" w:rsidRDefault="00956B80" w:rsidP="00956B80">
      <w:pPr>
        <w:spacing w:line="480" w:lineRule="auto"/>
        <w:jc w:val="both"/>
        <w:rPr>
          <w:lang w:val="en-US"/>
        </w:rPr>
      </w:pPr>
      <w:r w:rsidRPr="00AD7BEE">
        <w:rPr>
          <w:lang w:val="en-US"/>
        </w:rPr>
        <w:t>In this study, we have used lysozyme to mimic the interaction of phytate with</w:t>
      </w:r>
      <w:r>
        <w:rPr>
          <w:lang w:val="en-US"/>
        </w:rPr>
        <w:t xml:space="preserve"> positively charged proteins such as</w:t>
      </w:r>
      <w:r w:rsidRPr="00AD7BEE">
        <w:rPr>
          <w:lang w:val="en-US"/>
        </w:rPr>
        <w:t xml:space="preserve"> </w:t>
      </w:r>
      <w:r>
        <w:rPr>
          <w:lang w:val="en-US"/>
        </w:rPr>
        <w:t>trypsin, an enzyme found in the ileum that break downs protein.</w:t>
      </w:r>
      <w:hyperlink w:anchor="_ENREF_295" w:tooltip="Whitcomb, 2007 #707" w:history="1">
        <w:r w:rsidR="00512D09">
          <w:rPr>
            <w:lang w:val="en-US"/>
          </w:rPr>
          <w:fldChar w:fldCharType="begin"/>
        </w:r>
        <w:r w:rsidR="00512D09">
          <w:rPr>
            <w:lang w:val="en-US"/>
          </w:rPr>
          <w:instrText xml:space="preserve"> ADDIN EN.CITE &lt;EndNote&gt;&lt;Cite&gt;&lt;Author&gt;Whitcomb&lt;/Author&gt;&lt;Year&gt;2007&lt;/Year&gt;&lt;RecNum&gt;707&lt;/RecNum&gt;&lt;DisplayText&gt;&lt;style face="superscript"&gt;295&lt;/style&gt;&lt;/DisplayText&gt;&lt;record&gt;&lt;rec-number&gt;707&lt;/rec-number&gt;&lt;foreign-keys&gt;&lt;key app="EN" db-id="5trrespwzsdr07efd5tx2w96x22re9s0fsdt"&gt;707&lt;/key&gt;&lt;/foreign-keys&gt;&lt;ref-type name="Journal Article"&gt;17&lt;/ref-type&gt;&lt;contributors&gt;&lt;authors&gt;&lt;author&gt;Whitcomb, David C&lt;/author&gt;&lt;author&gt;Lowe, Mark E&lt;/author&gt;&lt;/authors&gt;&lt;/contributors&gt;&lt;titles&gt;&lt;title&gt;Human pancreatic digestive enzymes&lt;/title&gt;&lt;secondary-title&gt;Digestive diseases and sciences&lt;/secondary-title&gt;&lt;/titles&gt;&lt;periodical&gt;&lt;full-title&gt;Digestive diseases and sciences&lt;/full-title&gt;&lt;/periodical&gt;&lt;pages&gt;1-17&lt;/pages&gt;&lt;volume&gt;52&lt;/volume&gt;&lt;number&gt;1&lt;/number&gt;&lt;dates&gt;&lt;year&gt;2007&lt;/year&gt;&lt;/dates&gt;&lt;isbn&gt;0163-2116&lt;/isbn&gt;&lt;urls&gt;&lt;/urls&gt;&lt;/record&gt;&lt;/Cite&gt;&lt;/EndNote&gt;</w:instrText>
        </w:r>
        <w:r w:rsidR="00512D09">
          <w:rPr>
            <w:lang w:val="en-US"/>
          </w:rPr>
          <w:fldChar w:fldCharType="separate"/>
        </w:r>
        <w:r w:rsidR="00512D09" w:rsidRPr="0057696F">
          <w:rPr>
            <w:noProof/>
            <w:vertAlign w:val="superscript"/>
            <w:lang w:val="en-US"/>
          </w:rPr>
          <w:t>295</w:t>
        </w:r>
        <w:r w:rsidR="00512D09">
          <w:rPr>
            <w:lang w:val="en-US"/>
          </w:rPr>
          <w:fldChar w:fldCharType="end"/>
        </w:r>
      </w:hyperlink>
      <w:r>
        <w:rPr>
          <w:lang w:val="en-US"/>
        </w:rPr>
        <w:t xml:space="preserve"> Previous ITC work has demonstrated that lysozyme has two sites that phytate can bind to. However, the binding isotherm did not show that the sites where thermodynamically distinguishable. This makes it an excellent candidate for cITC. </w:t>
      </w:r>
    </w:p>
    <w:p w:rsidR="00956B80" w:rsidRDefault="00956B80" w:rsidP="00956B80">
      <w:pPr>
        <w:spacing w:line="480" w:lineRule="auto"/>
        <w:jc w:val="both"/>
        <w:rPr>
          <w:lang w:val="en-US"/>
        </w:rPr>
      </w:pPr>
    </w:p>
    <w:p w:rsidR="00956B80" w:rsidRDefault="00956B80" w:rsidP="00956B80">
      <w:pPr>
        <w:spacing w:line="480" w:lineRule="auto"/>
        <w:jc w:val="both"/>
        <w:rPr>
          <w:lang w:val="en-US"/>
        </w:rPr>
      </w:pPr>
    </w:p>
    <w:p w:rsidR="00956B80" w:rsidRDefault="00956B80" w:rsidP="00956B80">
      <w:pPr>
        <w:spacing w:line="480" w:lineRule="auto"/>
        <w:jc w:val="both"/>
        <w:rPr>
          <w:lang w:val="en-US"/>
        </w:rPr>
      </w:pPr>
    </w:p>
    <w:p w:rsidR="00956B80" w:rsidRDefault="00956B80" w:rsidP="00956B80">
      <w:pPr>
        <w:spacing w:line="480" w:lineRule="auto"/>
        <w:jc w:val="both"/>
        <w:rPr>
          <w:lang w:val="en-US"/>
        </w:rPr>
      </w:pPr>
    </w:p>
    <w:p w:rsidR="00695390" w:rsidRDefault="00695390" w:rsidP="00956B80">
      <w:pPr>
        <w:spacing w:line="480" w:lineRule="auto"/>
        <w:jc w:val="both"/>
        <w:rPr>
          <w:lang w:val="en-US"/>
        </w:rPr>
      </w:pPr>
    </w:p>
    <w:p w:rsidR="004679E5" w:rsidRPr="00D43253" w:rsidRDefault="004679E5" w:rsidP="00956B80">
      <w:pPr>
        <w:spacing w:line="480" w:lineRule="auto"/>
        <w:jc w:val="both"/>
        <w:rPr>
          <w:lang w:val="en-US"/>
        </w:rPr>
      </w:pPr>
    </w:p>
    <w:p w:rsidR="00956B80" w:rsidRDefault="00956B80" w:rsidP="00626B72">
      <w:pPr>
        <w:pStyle w:val="Heading2"/>
        <w:numPr>
          <w:ilvl w:val="1"/>
          <w:numId w:val="10"/>
        </w:numPr>
        <w:spacing w:line="480" w:lineRule="auto"/>
        <w:ind w:left="578" w:hanging="578"/>
      </w:pPr>
      <w:bookmarkStart w:id="186" w:name="_Toc459130724"/>
      <w:r>
        <w:lastRenderedPageBreak/>
        <w:t>Materials and M</w:t>
      </w:r>
      <w:r w:rsidRPr="00B0259C">
        <w:t>ethods</w:t>
      </w:r>
      <w:bookmarkEnd w:id="186"/>
    </w:p>
    <w:p w:rsidR="00956B80" w:rsidRDefault="00956B80" w:rsidP="00626B72">
      <w:pPr>
        <w:pStyle w:val="Heading3"/>
        <w:numPr>
          <w:ilvl w:val="2"/>
          <w:numId w:val="10"/>
        </w:numPr>
        <w:spacing w:line="480" w:lineRule="auto"/>
        <w:rPr>
          <w:lang w:val="en-US"/>
        </w:rPr>
      </w:pPr>
      <w:bookmarkStart w:id="187" w:name="_Toc459130725"/>
      <w:r>
        <w:t>Chemicals and M</w:t>
      </w:r>
      <w:r w:rsidRPr="00EB26E0">
        <w:t>aterials</w:t>
      </w:r>
      <w:bookmarkEnd w:id="187"/>
      <w:r>
        <w:rPr>
          <w:lang w:val="en-US"/>
        </w:rPr>
        <w:t xml:space="preserve"> </w:t>
      </w:r>
    </w:p>
    <w:p w:rsidR="00956B80" w:rsidRDefault="00956B80" w:rsidP="00956B80">
      <w:pPr>
        <w:spacing w:line="480" w:lineRule="auto"/>
        <w:jc w:val="both"/>
        <w:rPr>
          <w:bCs/>
        </w:rPr>
      </w:pPr>
      <w:r w:rsidRPr="00B0259C">
        <w:rPr>
          <w:bCs/>
          <w:lang w:val="en-US"/>
        </w:rPr>
        <w:t>Hen egg white lysozyme, sodium phytate (≈80% purity), potassium phytate (≥95% purity), acetic acid (</w:t>
      </w:r>
      <w:r w:rsidRPr="00B0259C">
        <w:rPr>
          <w:bCs/>
        </w:rPr>
        <w:t>99.8%)</w:t>
      </w:r>
      <w:r w:rsidRPr="00B0259C">
        <w:rPr>
          <w:bCs/>
          <w:lang w:val="en-US"/>
        </w:rPr>
        <w:t xml:space="preserve"> ammonium acetate were all sourced from Sigma-Aldrich, Gillingham, U.K. </w:t>
      </w:r>
      <w:r w:rsidRPr="00B0259C">
        <w:rPr>
          <w:bCs/>
        </w:rPr>
        <w:t>Milli-Q water from a Merk-MILLIPORE (Darmstadt, Germany) fountain was used to prepare the reagents. A FiveEasy pH meter (Mettler-Toledo International, Ohio, US) was used to measure the pH of the solutions.</w:t>
      </w:r>
    </w:p>
    <w:p w:rsidR="00956B80" w:rsidRDefault="00956B80" w:rsidP="00626B72">
      <w:pPr>
        <w:pStyle w:val="Heading3"/>
        <w:numPr>
          <w:ilvl w:val="2"/>
          <w:numId w:val="10"/>
        </w:numPr>
        <w:spacing w:line="480" w:lineRule="auto"/>
      </w:pPr>
      <w:bookmarkStart w:id="188" w:name="_Toc459130726"/>
      <w:r>
        <w:t>Isothermal Titration M</w:t>
      </w:r>
      <w:r w:rsidRPr="00B0259C">
        <w:t>icrocalorim</w:t>
      </w:r>
      <w:r>
        <w:t>etry</w:t>
      </w:r>
      <w:bookmarkEnd w:id="188"/>
    </w:p>
    <w:p w:rsidR="00956B80" w:rsidRDefault="00956B80" w:rsidP="00956B80">
      <w:pPr>
        <w:spacing w:line="480" w:lineRule="auto"/>
        <w:jc w:val="both"/>
        <w:rPr>
          <w:bCs/>
        </w:rPr>
      </w:pPr>
      <w:r w:rsidRPr="00B0259C">
        <w:rPr>
          <w:b/>
          <w:bCs/>
        </w:rPr>
        <w:t xml:space="preserve"> </w:t>
      </w:r>
      <w:r w:rsidRPr="00B0259C">
        <w:rPr>
          <w:bCs/>
        </w:rPr>
        <w:t>A Nano-ITC instrument (TA instruments, Texas, USA) was used to measure the binding thermodynamics between phytate and lysozyme at 10, 25 and 40</w:t>
      </w:r>
      <w:r w:rsidR="006F2757">
        <w:rPr>
          <w:bCs/>
        </w:rPr>
        <w:t xml:space="preserve"> </w:t>
      </w:r>
      <w:r w:rsidRPr="00B0259C">
        <w:rPr>
          <w:bCs/>
        </w:rPr>
        <w:t xml:space="preserve">°C. Phytate and lysozyme were dissolved in 10 mM ammonium acetate buffer at pH 4, unless otherwise stated. Lysozyme was dialysed overnight in 10 mM ammonium acetate buffer pH 4, unless otherwise stated. All solutions were degassed prior to the titrations. Six mM phytate was loaded into the syringe and titrated into the sample cell, which contained 400 µM lysozyme. </w:t>
      </w:r>
      <w:r>
        <w:rPr>
          <w:bCs/>
        </w:rPr>
        <w:t>For the iITC</w:t>
      </w:r>
      <w:r w:rsidRPr="00B0259C">
        <w:rPr>
          <w:bCs/>
        </w:rPr>
        <w:t xml:space="preserve">, at least </w:t>
      </w:r>
      <w:r w:rsidRPr="00A87788">
        <w:rPr>
          <w:bCs/>
        </w:rPr>
        <w:t>24</w:t>
      </w:r>
      <m:oMath>
        <m:r>
          <w:rPr>
            <w:rFonts w:ascii="Cambria Math" w:hAnsi="Cambria Math"/>
          </w:rPr>
          <m:t xml:space="preserve"> × </m:t>
        </m:r>
      </m:oMath>
      <w:r w:rsidRPr="00A87788">
        <w:rPr>
          <w:bCs/>
        </w:rPr>
        <w:t>1.5 µL 6 mM phytate injections into 400 µM lysozyme were made over the course of the titration.</w:t>
      </w:r>
      <w:r w:rsidRPr="00B0259C">
        <w:rPr>
          <w:bCs/>
        </w:rPr>
        <w:t xml:space="preserve"> In each titration, the reference cell contained water. The time delay between each injection was variable to ensure equilibration and the RPM was set to 200 to ensure thorough mixing of the cell.</w:t>
      </w:r>
    </w:p>
    <w:p w:rsidR="00956B80" w:rsidRDefault="00956B80" w:rsidP="00956B80">
      <w:pPr>
        <w:spacing w:line="480" w:lineRule="auto"/>
        <w:jc w:val="both"/>
        <w:rPr>
          <w:bCs/>
        </w:rPr>
      </w:pPr>
      <w:r>
        <w:rPr>
          <w:bCs/>
        </w:rPr>
        <w:t>For the cITC experiments at</w:t>
      </w:r>
      <w:r w:rsidR="00A25C95">
        <w:rPr>
          <w:bCs/>
        </w:rPr>
        <w:t xml:space="preserve"> 25 and</w:t>
      </w:r>
      <w:r>
        <w:rPr>
          <w:bCs/>
        </w:rPr>
        <w:t xml:space="preserve"> 40</w:t>
      </w:r>
      <w:r>
        <w:rPr>
          <w:bCs/>
        </w:rPr>
        <w:sym w:font="Mathematica1" w:char="F0B0"/>
      </w:r>
      <w:r>
        <w:rPr>
          <w:bCs/>
        </w:rPr>
        <w:t>C using sodium phytate and undialysed lysozyme, 39.94 µL was injected over a period of 2560 seconds.</w:t>
      </w:r>
      <w:r w:rsidRPr="00352745">
        <w:rPr>
          <w:bCs/>
        </w:rPr>
        <w:t xml:space="preserve"> </w:t>
      </w:r>
      <w:r w:rsidR="008F2959">
        <w:rPr>
          <w:bCs/>
        </w:rPr>
        <w:t xml:space="preserve">This time was chosen as it was half the time </w:t>
      </w:r>
      <w:r w:rsidR="004C5D7B">
        <w:rPr>
          <w:bCs/>
        </w:rPr>
        <w:t xml:space="preserve">required for the incremental titration to reach completion. </w:t>
      </w:r>
      <w:r>
        <w:rPr>
          <w:bCs/>
        </w:rPr>
        <w:t>To determine how the presence of salt affects the cITC binding isotherm, 100 mM ammonium acetate was used in the buffer at 25</w:t>
      </w:r>
      <w:r w:rsidR="006F2757">
        <w:rPr>
          <w:bCs/>
        </w:rPr>
        <w:t xml:space="preserve"> </w:t>
      </w:r>
      <w:r>
        <w:rPr>
          <w:bCs/>
        </w:rPr>
        <w:t xml:space="preserve">°C.  </w:t>
      </w:r>
      <w:r w:rsidRPr="00352745">
        <w:rPr>
          <w:bCs/>
        </w:rPr>
        <w:t xml:space="preserve">For the cITC experiments at </w:t>
      </w:r>
      <w:r>
        <w:rPr>
          <w:bCs/>
        </w:rPr>
        <w:t>10, 25 and 40</w:t>
      </w:r>
      <w:r w:rsidRPr="00352745">
        <w:rPr>
          <w:bCs/>
        </w:rPr>
        <w:sym w:font="Mathematica1" w:char="F0B0"/>
      </w:r>
      <w:r w:rsidRPr="00352745">
        <w:rPr>
          <w:bCs/>
        </w:rPr>
        <w:t xml:space="preserve">C using </w:t>
      </w:r>
      <w:r>
        <w:rPr>
          <w:bCs/>
        </w:rPr>
        <w:t xml:space="preserve">potassium </w:t>
      </w:r>
      <w:r w:rsidRPr="00352745">
        <w:rPr>
          <w:bCs/>
        </w:rPr>
        <w:t>phy</w:t>
      </w:r>
      <w:r>
        <w:rPr>
          <w:bCs/>
        </w:rPr>
        <w:t xml:space="preserve">tate and </w:t>
      </w:r>
      <w:r w:rsidRPr="00352745">
        <w:rPr>
          <w:bCs/>
        </w:rPr>
        <w:t xml:space="preserve">dialysed lysozyme, 39.94 µL was injected over a period of </w:t>
      </w:r>
      <w:r>
        <w:rPr>
          <w:bCs/>
        </w:rPr>
        <w:t>4474</w:t>
      </w:r>
      <w:r w:rsidRPr="00352745">
        <w:rPr>
          <w:bCs/>
        </w:rPr>
        <w:t xml:space="preserve"> seconds.</w:t>
      </w:r>
      <w:r w:rsidR="004C5D7B" w:rsidRPr="004C5D7B">
        <w:rPr>
          <w:bCs/>
        </w:rPr>
        <w:t xml:space="preserve"> </w:t>
      </w:r>
      <w:r w:rsidR="004C5D7B">
        <w:rPr>
          <w:bCs/>
        </w:rPr>
        <w:t xml:space="preserve">This time is longer than half the time of the incremental titrations, but was chosen to make sure the </w:t>
      </w:r>
      <w:r w:rsidR="004C5D7B">
        <w:rPr>
          <w:bCs/>
        </w:rPr>
        <w:lastRenderedPageBreak/>
        <w:t xml:space="preserve">reaction reached equilibrium. </w:t>
      </w:r>
      <w:r w:rsidR="00CD2568">
        <w:rPr>
          <w:bCs/>
        </w:rPr>
        <w:t>The data was analysed using the NanoAnalyse software. Both the standard mean error and the confidence intervals are provided.</w:t>
      </w:r>
      <w:r w:rsidR="005B2B3C" w:rsidRPr="005B2B3C">
        <w:rPr>
          <w:bCs/>
        </w:rPr>
        <w:t xml:space="preserve"> </w:t>
      </w:r>
      <w:r w:rsidR="005B2B3C">
        <w:rPr>
          <w:bCs/>
        </w:rPr>
        <w:t xml:space="preserve">Nano ITC users tend to use confidence intervals as the NanoAnalyse software readily provides this. A confidence interval provides a </w:t>
      </w:r>
      <w:r w:rsidR="009D420F">
        <w:rPr>
          <w:bCs/>
        </w:rPr>
        <w:t>range that</w:t>
      </w:r>
      <w:r w:rsidR="005B2B3C">
        <w:rPr>
          <w:bCs/>
        </w:rPr>
        <w:t xml:space="preserve"> contains the population parameter of interest.  </w:t>
      </w:r>
    </w:p>
    <w:p w:rsidR="00956B80" w:rsidRDefault="00956B80" w:rsidP="00956B80">
      <w:pPr>
        <w:spacing w:line="480" w:lineRule="auto"/>
        <w:jc w:val="both"/>
        <w:rPr>
          <w:bCs/>
        </w:rPr>
      </w:pPr>
    </w:p>
    <w:p w:rsidR="004C5D7B" w:rsidRDefault="004C5D7B" w:rsidP="00956B80">
      <w:pPr>
        <w:spacing w:line="480" w:lineRule="auto"/>
        <w:jc w:val="both"/>
        <w:rPr>
          <w:bCs/>
        </w:rPr>
      </w:pPr>
    </w:p>
    <w:p w:rsidR="004C5D7B" w:rsidRDefault="004C5D7B" w:rsidP="00956B80">
      <w:pPr>
        <w:spacing w:line="480" w:lineRule="auto"/>
        <w:jc w:val="both"/>
        <w:rPr>
          <w:bCs/>
        </w:rPr>
      </w:pPr>
    </w:p>
    <w:p w:rsidR="00956B80" w:rsidRDefault="00956B80" w:rsidP="00956B80">
      <w:pPr>
        <w:spacing w:line="480" w:lineRule="auto"/>
        <w:jc w:val="both"/>
        <w:rPr>
          <w:bCs/>
        </w:rPr>
      </w:pPr>
    </w:p>
    <w:p w:rsidR="00956B80" w:rsidRDefault="00956B80" w:rsidP="00956B80">
      <w:pPr>
        <w:spacing w:line="480" w:lineRule="auto"/>
        <w:jc w:val="both"/>
        <w:rPr>
          <w:bCs/>
        </w:rPr>
      </w:pPr>
    </w:p>
    <w:p w:rsidR="00956B80" w:rsidRDefault="00956B80" w:rsidP="00956B80">
      <w:pPr>
        <w:spacing w:line="480" w:lineRule="auto"/>
        <w:jc w:val="both"/>
        <w:rPr>
          <w:bCs/>
        </w:rPr>
      </w:pPr>
    </w:p>
    <w:p w:rsidR="00956B80" w:rsidRDefault="00956B80" w:rsidP="00956B80">
      <w:pPr>
        <w:spacing w:line="480" w:lineRule="auto"/>
        <w:jc w:val="both"/>
        <w:rPr>
          <w:bCs/>
        </w:rPr>
      </w:pPr>
    </w:p>
    <w:p w:rsidR="00956B80" w:rsidRDefault="00956B80" w:rsidP="00956B80">
      <w:pPr>
        <w:spacing w:line="480" w:lineRule="auto"/>
        <w:jc w:val="both"/>
        <w:rPr>
          <w:bCs/>
        </w:rPr>
      </w:pPr>
    </w:p>
    <w:p w:rsidR="00956B80" w:rsidRDefault="00956B80" w:rsidP="00956B80">
      <w:pPr>
        <w:spacing w:line="480" w:lineRule="auto"/>
        <w:jc w:val="both"/>
        <w:rPr>
          <w:bCs/>
        </w:rPr>
      </w:pPr>
    </w:p>
    <w:p w:rsidR="00956B80" w:rsidRDefault="00956B80" w:rsidP="00956B80">
      <w:pPr>
        <w:spacing w:line="480" w:lineRule="auto"/>
        <w:jc w:val="both"/>
        <w:rPr>
          <w:bCs/>
        </w:rPr>
      </w:pPr>
    </w:p>
    <w:p w:rsidR="00956B80" w:rsidRDefault="00956B80" w:rsidP="00956B80">
      <w:pPr>
        <w:spacing w:line="480" w:lineRule="auto"/>
        <w:jc w:val="both"/>
        <w:rPr>
          <w:bCs/>
        </w:rPr>
      </w:pPr>
    </w:p>
    <w:p w:rsidR="00956B80" w:rsidRDefault="00956B80" w:rsidP="00956B80">
      <w:pPr>
        <w:spacing w:line="480" w:lineRule="auto"/>
        <w:jc w:val="both"/>
        <w:rPr>
          <w:bCs/>
        </w:rPr>
      </w:pPr>
    </w:p>
    <w:p w:rsidR="00956B80" w:rsidRDefault="00956B80" w:rsidP="00956B80">
      <w:pPr>
        <w:spacing w:line="480" w:lineRule="auto"/>
        <w:jc w:val="both"/>
        <w:rPr>
          <w:bCs/>
        </w:rPr>
      </w:pPr>
    </w:p>
    <w:p w:rsidR="004C5D7B" w:rsidRDefault="004C5D7B" w:rsidP="00956B80">
      <w:pPr>
        <w:spacing w:line="480" w:lineRule="auto"/>
        <w:jc w:val="both"/>
        <w:rPr>
          <w:bCs/>
        </w:rPr>
      </w:pPr>
    </w:p>
    <w:p w:rsidR="004C5D7B" w:rsidRDefault="004C5D7B" w:rsidP="00956B80">
      <w:pPr>
        <w:spacing w:line="480" w:lineRule="auto"/>
        <w:jc w:val="both"/>
        <w:rPr>
          <w:bCs/>
        </w:rPr>
      </w:pPr>
    </w:p>
    <w:p w:rsidR="00956B80" w:rsidRDefault="00956B80" w:rsidP="00956B80">
      <w:pPr>
        <w:spacing w:line="480" w:lineRule="auto"/>
        <w:jc w:val="both"/>
        <w:rPr>
          <w:bCs/>
        </w:rPr>
      </w:pPr>
    </w:p>
    <w:p w:rsidR="00956B80" w:rsidRDefault="00956B80" w:rsidP="00626B72">
      <w:pPr>
        <w:pStyle w:val="Heading2"/>
        <w:numPr>
          <w:ilvl w:val="1"/>
          <w:numId w:val="10"/>
        </w:numPr>
        <w:spacing w:line="480" w:lineRule="auto"/>
        <w:ind w:left="578" w:hanging="578"/>
      </w:pPr>
      <w:bookmarkStart w:id="189" w:name="_Toc459130727"/>
      <w:r>
        <w:lastRenderedPageBreak/>
        <w:t xml:space="preserve">Results and </w:t>
      </w:r>
      <w:r w:rsidRPr="00352745">
        <w:t>Discussion</w:t>
      </w:r>
      <w:bookmarkEnd w:id="189"/>
    </w:p>
    <w:p w:rsidR="00956B80" w:rsidRDefault="00956B80" w:rsidP="00956B80">
      <w:pPr>
        <w:spacing w:line="480" w:lineRule="auto"/>
        <w:jc w:val="both"/>
        <w:rPr>
          <w:bCs/>
        </w:rPr>
      </w:pPr>
      <w:r>
        <w:rPr>
          <w:bCs/>
        </w:rPr>
        <w:t>Previous iITC work has suggested that phytate binds to lysozyme at a minimum of two different binding sites. However</w:t>
      </w:r>
      <w:r w:rsidR="004C5D7B">
        <w:rPr>
          <w:bCs/>
        </w:rPr>
        <w:t>,</w:t>
      </w:r>
      <w:r>
        <w:rPr>
          <w:bCs/>
        </w:rPr>
        <w:t xml:space="preserve"> the technique is unable to determine the differing thermodynamics. This could possibly be due to the small number of injections used in iITC studies. CITC uses thousands of small injections and so is thought to be more able to determine the thermodynamics of complex multisite binding interactions. However, this has yet to be verified as currently cITC has only been used to determine the thermodynamics of 1:1 binding interactions. CITC </w:t>
      </w:r>
      <w:r w:rsidRPr="001401F2">
        <w:rPr>
          <w:bCs/>
        </w:rPr>
        <w:t>could provide a valuable technique to determine the thermodynamic parameters of multiple binding interactions with similar binding thermodynamics that are unable to be identified using incremental injections</w:t>
      </w:r>
      <w:r>
        <w:rPr>
          <w:bCs/>
        </w:rPr>
        <w:t xml:space="preserve">. To this end, cITC was employed to determine the binding thermodynamics between phytate and lysozyme. </w:t>
      </w:r>
    </w:p>
    <w:p w:rsidR="00956B80" w:rsidRDefault="00956B80" w:rsidP="00956B80">
      <w:pPr>
        <w:spacing w:line="480" w:lineRule="auto"/>
        <w:jc w:val="both"/>
        <w:rPr>
          <w:bCs/>
        </w:rPr>
      </w:pPr>
      <w:r>
        <w:rPr>
          <w:bCs/>
        </w:rPr>
        <w:t>Firstly, ammonium acetate was titrated into a solution of ammonium acetate to determine if there were any issues regarding the syringe mechanism. The amount of heat produced was negligible and corresponds to heats of injections (</w:t>
      </w:r>
      <w:r w:rsidR="0075172E">
        <w:rPr>
          <w:bCs/>
        </w:rPr>
        <w:fldChar w:fldCharType="begin"/>
      </w:r>
      <w:r>
        <w:rPr>
          <w:bCs/>
        </w:rPr>
        <w:instrText xml:space="preserve"> REF _Ref442888225 \h </w:instrText>
      </w:r>
      <w:r w:rsidR="0075172E">
        <w:rPr>
          <w:bCs/>
        </w:rPr>
      </w:r>
      <w:r w:rsidR="0075172E">
        <w:rPr>
          <w:bCs/>
        </w:rPr>
        <w:fldChar w:fldCharType="separate"/>
      </w:r>
      <w:r w:rsidR="00CB4EDC">
        <w:t xml:space="preserve">Figure </w:t>
      </w:r>
      <w:r w:rsidR="00CB4EDC">
        <w:rPr>
          <w:noProof/>
        </w:rPr>
        <w:t>5</w:t>
      </w:r>
      <w:r w:rsidR="00CB4EDC">
        <w:t>.</w:t>
      </w:r>
      <w:r w:rsidR="00CB4EDC">
        <w:rPr>
          <w:noProof/>
        </w:rPr>
        <w:t>3</w:t>
      </w:r>
      <w:r w:rsidR="0075172E">
        <w:rPr>
          <w:bCs/>
        </w:rPr>
        <w:fldChar w:fldCharType="end"/>
      </w:r>
      <w:r>
        <w:rPr>
          <w:bCs/>
        </w:rPr>
        <w:t xml:space="preserve">). </w:t>
      </w:r>
    </w:p>
    <w:p w:rsidR="00956B80" w:rsidRDefault="00040F10" w:rsidP="006F11A0">
      <w:pPr>
        <w:keepNext/>
        <w:spacing w:line="480" w:lineRule="auto"/>
        <w:jc w:val="center"/>
      </w:pPr>
      <w:r>
        <w:rPr>
          <w:bCs/>
          <w:noProof/>
          <w:lang w:eastAsia="en-GB"/>
        </w:rPr>
        <w:lastRenderedPageBreak/>
        <w:pict>
          <v:shape id="_x0000_s1164" type="#_x0000_t202" style="position:absolute;left:0;text-align:left;margin-left:179.6pt;margin-top:-2.1pt;width:87.05pt;height:17.6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64">
              <w:txbxContent>
                <w:p w:rsidR="003A5686" w:rsidRPr="00B141B9" w:rsidRDefault="003A5686" w:rsidP="00562DF1">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Cs/>
          <w:noProof/>
          <w:lang w:eastAsia="en-GB"/>
        </w:rPr>
        <w:pict>
          <v:shape id="_x0000_s1163" type="#_x0000_t202" style="position:absolute;left:0;text-align:left;margin-left:179.6pt;margin-top:247.25pt;width:87.05pt;height:17.6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63">
              <w:txbxContent>
                <w:p w:rsidR="003A5686" w:rsidRPr="00B141B9" w:rsidRDefault="003A5686" w:rsidP="00562DF1">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noProof/>
          <w:lang w:eastAsia="en-GB"/>
        </w:rPr>
        <w:pict>
          <v:shape id="_x0000_s1160" type="#_x0000_t202" style="position:absolute;left:0;text-align:left;margin-left:-3.25pt;margin-top:15.5pt;width:26.15pt;height:219.75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562DF1">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w:t>
                  </w: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 xml:space="preserve"> Raw Heat Rate (µJ/s)</w:t>
                  </w:r>
                </w:p>
              </w:txbxContent>
            </v:textbox>
          </v:shape>
        </w:pict>
      </w:r>
      <w:r w:rsidR="006F11A0">
        <w:rPr>
          <w:noProof/>
          <w:lang w:eastAsia="en-GB"/>
        </w:rPr>
        <w:drawing>
          <wp:inline distT="0" distB="0" distL="0" distR="0" wp14:anchorId="202B1C74" wp14:editId="30EF4750">
            <wp:extent cx="5205730" cy="341548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7" cstate="print"/>
                    <a:srcRect/>
                    <a:stretch>
                      <a:fillRect/>
                    </a:stretch>
                  </pic:blipFill>
                  <pic:spPr bwMode="auto">
                    <a:xfrm>
                      <a:off x="0" y="0"/>
                      <a:ext cx="5205730" cy="3415480"/>
                    </a:xfrm>
                    <a:prstGeom prst="rect">
                      <a:avLst/>
                    </a:prstGeom>
                    <a:noFill/>
                    <a:ln w="9525">
                      <a:noFill/>
                      <a:miter lim="800000"/>
                      <a:headEnd/>
                      <a:tailEnd/>
                    </a:ln>
                  </pic:spPr>
                </pic:pic>
              </a:graphicData>
            </a:graphic>
          </wp:inline>
        </w:drawing>
      </w:r>
    </w:p>
    <w:p w:rsidR="00956B80" w:rsidRDefault="00956B80" w:rsidP="00C25E52">
      <w:pPr>
        <w:pStyle w:val="Caption"/>
        <w:spacing w:line="480" w:lineRule="auto"/>
        <w:jc w:val="center"/>
        <w:rPr>
          <w:bCs w:val="0"/>
        </w:rPr>
      </w:pPr>
      <w:bookmarkStart w:id="190" w:name="_Ref442888225"/>
      <w:r>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3</w:t>
      </w:r>
      <w:r w:rsidR="0075172E">
        <w:fldChar w:fldCharType="end"/>
      </w:r>
      <w:bookmarkEnd w:id="190"/>
      <w:r>
        <w:t>: Upper: Thermogram for injection continuous injection of ammonium acetate into a cell of ammonium acetate. Lower: Heat normalised per mole of injectant</w:t>
      </w:r>
    </w:p>
    <w:p w:rsidR="00956B80" w:rsidRDefault="0075172E" w:rsidP="00956B80">
      <w:pPr>
        <w:spacing w:line="480" w:lineRule="auto"/>
        <w:jc w:val="both"/>
        <w:rPr>
          <w:bCs/>
        </w:rPr>
      </w:pPr>
      <w:r>
        <w:rPr>
          <w:bCs/>
        </w:rPr>
        <w:fldChar w:fldCharType="begin"/>
      </w:r>
      <w:r w:rsidR="00956B80">
        <w:rPr>
          <w:bCs/>
        </w:rPr>
        <w:instrText xml:space="preserve"> REF _Ref442888264 \h </w:instrText>
      </w:r>
      <w:r>
        <w:rPr>
          <w:bCs/>
        </w:rPr>
      </w:r>
      <w:r>
        <w:rPr>
          <w:bCs/>
        </w:rPr>
        <w:fldChar w:fldCharType="separate"/>
      </w:r>
      <w:r w:rsidR="00CB4EDC">
        <w:t xml:space="preserve">Figure </w:t>
      </w:r>
      <w:r w:rsidR="00CB4EDC">
        <w:rPr>
          <w:noProof/>
        </w:rPr>
        <w:t>5</w:t>
      </w:r>
      <w:r w:rsidR="00CB4EDC">
        <w:t>.</w:t>
      </w:r>
      <w:r w:rsidR="00CB4EDC">
        <w:rPr>
          <w:noProof/>
        </w:rPr>
        <w:t>4</w:t>
      </w:r>
      <w:r>
        <w:rPr>
          <w:bCs/>
        </w:rPr>
        <w:fldChar w:fldCharType="end"/>
      </w:r>
      <w:r w:rsidR="00956B80">
        <w:rPr>
          <w:bCs/>
        </w:rPr>
        <w:t xml:space="preserve"> shows the binding isotherm of phytate and lysozyme using cITC injecting 39.94 µl over a period of </w:t>
      </w:r>
      <w:r w:rsidR="00956B80" w:rsidRPr="0071420C">
        <w:rPr>
          <w:bCs/>
        </w:rPr>
        <w:t xml:space="preserve">2560 </w:t>
      </w:r>
      <w:r w:rsidR="00956B80">
        <w:rPr>
          <w:bCs/>
        </w:rPr>
        <w:t>seconds at 40</w:t>
      </w:r>
      <w:r w:rsidR="00956B80">
        <w:rPr>
          <w:bCs/>
        </w:rPr>
        <w:sym w:font="Mathematica1" w:char="F0B0"/>
      </w:r>
      <w:r w:rsidR="00956B80">
        <w:rPr>
          <w:bCs/>
        </w:rPr>
        <w:t>C. The heats of phytate and lysozyme dilution also shown</w:t>
      </w:r>
      <w:r w:rsidR="005345B2">
        <w:rPr>
          <w:bCs/>
        </w:rPr>
        <w:t xml:space="preserve"> </w:t>
      </w:r>
      <w:r w:rsidR="00956B80">
        <w:rPr>
          <w:bCs/>
        </w:rPr>
        <w:t xml:space="preserve">are negligible in comparison to the heats of the binding between phytate and lysozyme. </w:t>
      </w:r>
      <w:r w:rsidR="00E01CBD">
        <w:rPr>
          <w:bCs/>
        </w:rPr>
        <w:t xml:space="preserve">At ≈ 2 molar ratios, there is a small rise in exothermicity estimated to be about 2 kJ/mol, which is still negligible in comparison to the heats of the binding isotherm. Since it occurs for both controls, it is possibly due to small bubbles. </w:t>
      </w:r>
      <w:r w:rsidR="00956B80">
        <w:rPr>
          <w:bCs/>
        </w:rPr>
        <w:t>Continuously titrating phytate into lysozyme exhibited an exothermic profile similar to the incremental injection</w:t>
      </w:r>
      <w:r w:rsidR="005345B2">
        <w:rPr>
          <w:bCs/>
        </w:rPr>
        <w:t xml:space="preserve"> (</w:t>
      </w:r>
      <w:r>
        <w:rPr>
          <w:bCs/>
        </w:rPr>
        <w:fldChar w:fldCharType="begin"/>
      </w:r>
      <w:r w:rsidR="005345B2">
        <w:rPr>
          <w:bCs/>
        </w:rPr>
        <w:instrText xml:space="preserve"> REF _Ref443254634 \h </w:instrText>
      </w:r>
      <w:r>
        <w:rPr>
          <w:bCs/>
        </w:rPr>
      </w:r>
      <w:r>
        <w:rPr>
          <w:bCs/>
        </w:rPr>
        <w:fldChar w:fldCharType="separate"/>
      </w:r>
      <w:r w:rsidR="00CB4EDC">
        <w:t xml:space="preserve">Figure </w:t>
      </w:r>
      <w:r w:rsidR="00CB4EDC">
        <w:rPr>
          <w:noProof/>
        </w:rPr>
        <w:t>5</w:t>
      </w:r>
      <w:r w:rsidR="00CB4EDC">
        <w:t>.</w:t>
      </w:r>
      <w:r w:rsidR="00CB4EDC">
        <w:rPr>
          <w:noProof/>
        </w:rPr>
        <w:t>5</w:t>
      </w:r>
      <w:r>
        <w:rPr>
          <w:bCs/>
        </w:rPr>
        <w:fldChar w:fldCharType="end"/>
      </w:r>
      <w:r w:rsidR="005345B2">
        <w:rPr>
          <w:bCs/>
        </w:rPr>
        <w:t>)</w:t>
      </w:r>
      <w:r w:rsidR="00956B80">
        <w:rPr>
          <w:bCs/>
        </w:rPr>
        <w:t>. The increasing enthalpy from the baseline to 10 kJ/mol at around 0.1 molar ratios for the binding interaction possibly represents something similar to the “diffusion effect” seen at the start of incremental injections.</w:t>
      </w:r>
      <w:hyperlink w:anchor="_ENREF_288" w:tooltip="Markova, 2004 #637" w:history="1">
        <w:r w:rsidR="00512D09">
          <w:rPr>
            <w:bCs/>
          </w:rPr>
          <w:fldChar w:fldCharType="begin"/>
        </w:r>
        <w:r w:rsidR="00512D09">
          <w:rPr>
            <w:bCs/>
          </w:rPr>
          <w:instrText xml:space="preserve"> ADDIN EN.CITE &lt;EndNote&gt;&lt;Cite&gt;&lt;Author&gt;Markova&lt;/Author&gt;&lt;Year&gt;2004&lt;/Year&gt;&lt;RecNum&gt;637&lt;/RecNum&gt;&lt;DisplayText&gt;&lt;style face="superscript"&gt;288&lt;/style&gt;&lt;/DisplayText&gt;&lt;record&gt;&lt;rec-number&gt;637&lt;/rec-number&gt;&lt;foreign-keys&gt;&lt;key app="EN" db-id="5trrespwzsdr07efd5tx2w96x22re9s0fsdt"&gt;637&lt;/key&gt;&lt;/foreign-keys&gt;&lt;ref-type name="Journal Article"&gt;17&lt;/ref-type&gt;&lt;contributors&gt;&lt;authors&gt;&lt;author&gt;Markova, Natalia&lt;/author&gt;&lt;author&gt;Hallén, Dan&lt;/author&gt;&lt;/authors&gt;&lt;/contributors&gt;&lt;titles&gt;&lt;title&gt;The development of a continuous isothermal titration calorimetric method for equilibrium studies&lt;/title&gt;&lt;secondary-title&gt;Analytical biochemistry&lt;/secondary-title&gt;&lt;/titles&gt;&lt;periodical&gt;&lt;full-title&gt;Analytical biochemistry&lt;/full-title&gt;&lt;/periodical&gt;&lt;pages&gt;77-88&lt;/pages&gt;&lt;volume&gt;331&lt;/volume&gt;&lt;number&gt;1&lt;/number&gt;&lt;dates&gt;&lt;year&gt;2004&lt;/year&gt;&lt;/dates&gt;&lt;isbn&gt;0003-2697&lt;/isbn&gt;&lt;urls&gt;&lt;related-urls&gt;&lt;url&gt;http://www.sciencedirect.com/science/article/pii/S0003269704002544&lt;/url&gt;&lt;/related-urls&gt;&lt;/urls&gt;&lt;electronic-resource-num&gt;http://dx.doi.org/10.1016/j.ab.2004.03.022&lt;/electronic-resource-num&gt;&lt;/record&gt;&lt;/Cite&gt;&lt;/EndNote&gt;</w:instrText>
        </w:r>
        <w:r w:rsidR="00512D09">
          <w:rPr>
            <w:bCs/>
          </w:rPr>
          <w:fldChar w:fldCharType="separate"/>
        </w:r>
        <w:r w:rsidR="00512D09" w:rsidRPr="006421D1">
          <w:rPr>
            <w:bCs/>
            <w:noProof/>
            <w:vertAlign w:val="superscript"/>
          </w:rPr>
          <w:t>288</w:t>
        </w:r>
        <w:r w:rsidR="00512D09">
          <w:rPr>
            <w:bCs/>
          </w:rPr>
          <w:fldChar w:fldCharType="end"/>
        </w:r>
      </w:hyperlink>
      <w:r w:rsidR="00956B80">
        <w:rPr>
          <w:bCs/>
        </w:rPr>
        <w:t xml:space="preserve"> This is where the titrate and the titrant are not properly mixed and so the heat represents an aggregate of both diffusion and binding. The first injection seen in the iITC study is due to diffusion effects. </w:t>
      </w:r>
    </w:p>
    <w:p w:rsidR="00956B80" w:rsidRDefault="00040F10" w:rsidP="00AE6AF1">
      <w:pPr>
        <w:keepNext/>
        <w:jc w:val="center"/>
      </w:pPr>
      <w:r>
        <w:rPr>
          <w:bCs/>
          <w:noProof/>
          <w:lang w:eastAsia="en-GB"/>
        </w:rPr>
        <w:lastRenderedPageBreak/>
        <w:pict>
          <v:shape id="_x0000_s1162" type="#_x0000_t202" style="position:absolute;left:0;text-align:left;margin-left:182.7pt;margin-top:237.75pt;width:87.05pt;height:15.9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62">
              <w:txbxContent>
                <w:p w:rsidR="003A5686" w:rsidRPr="00B141B9" w:rsidRDefault="003A5686" w:rsidP="00562DF1">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noProof/>
          <w:lang w:eastAsia="en-GB"/>
        </w:rPr>
        <w:pict>
          <v:shape id="_x0000_s1161" type="#_x0000_t202" style="position:absolute;left:0;text-align:left;margin-left:178.5pt;margin-top:-4.05pt;width:87.05pt;height:17.6pt;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61">
              <w:txbxContent>
                <w:p w:rsidR="003A5686" w:rsidRPr="00B141B9" w:rsidRDefault="003A5686" w:rsidP="00562DF1">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Cs/>
          <w:noProof/>
          <w:lang w:eastAsia="en-GB"/>
        </w:rPr>
        <w:pict>
          <v:shape id="_x0000_s1123" type="#_x0000_t202" style="position:absolute;left:0;text-align:left;margin-left:10.9pt;margin-top:13.55pt;width:26.15pt;height:219.7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4411AE">
                  <w:pPr>
                    <w:rPr>
                      <w:rFonts w:ascii="Arial" w:hAnsi="Arial" w:cs="Arial"/>
                      <w:b/>
                      <w:color w:val="262626" w:themeColor="text1" w:themeTint="D9"/>
                      <w:sz w:val="18"/>
                      <w:szCs w:val="18"/>
                    </w:rPr>
                  </w:pPr>
                  <w:r w:rsidRPr="00311B45">
                    <w:rPr>
                      <w:rFonts w:ascii="Arial" w:hAnsi="Arial" w:cs="Arial"/>
                      <w:b/>
                      <w:color w:val="262626" w:themeColor="text1" w:themeTint="D9"/>
                      <w:sz w:val="18"/>
                      <w:szCs w:val="18"/>
                    </w:rPr>
                    <w:t xml:space="preserve"> </w:t>
                  </w: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 xml:space="preserve"> Raw Heat Rate (µJ/s)</w:t>
                  </w:r>
                </w:p>
              </w:txbxContent>
            </v:textbox>
          </v:shape>
        </w:pict>
      </w:r>
      <w:r>
        <w:rPr>
          <w:noProof/>
          <w:lang w:eastAsia="en-GB"/>
        </w:rPr>
        <w:pict>
          <v:shape id="Text Box 93" o:spid="_x0000_s1052" type="#_x0000_t202" style="position:absolute;left:0;text-align:left;margin-left:222.15pt;margin-top:166.1pt;width:24.1pt;height:33.4pt;z-index:251741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" strokecolor="white [3212]">
            <v:textbox style="mso-fit-shape-to-text:t">
              <w:txbxContent>
                <w:p w:rsidR="003A5686" w:rsidRDefault="003A5686" w:rsidP="00E414C7"/>
              </w:txbxContent>
            </v:textbox>
          </v:shape>
        </w:pict>
      </w:r>
      <w:r w:rsidR="006F11A0">
        <w:rPr>
          <w:noProof/>
          <w:lang w:eastAsia="en-GB"/>
        </w:rPr>
        <w:drawing>
          <wp:inline distT="0" distB="0" distL="0" distR="0" wp14:anchorId="668F923D" wp14:editId="2CEA279F">
            <wp:extent cx="4781550" cy="3138814"/>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8" cstate="print"/>
                    <a:srcRect/>
                    <a:stretch>
                      <a:fillRect/>
                    </a:stretch>
                  </pic:blipFill>
                  <pic:spPr bwMode="auto">
                    <a:xfrm>
                      <a:off x="0" y="0"/>
                      <a:ext cx="4781141" cy="3138545"/>
                    </a:xfrm>
                    <a:prstGeom prst="rect">
                      <a:avLst/>
                    </a:prstGeom>
                    <a:noFill/>
                    <a:ln w="9525">
                      <a:noFill/>
                      <a:miter lim="800000"/>
                      <a:headEnd/>
                      <a:tailEnd/>
                    </a:ln>
                  </pic:spPr>
                </pic:pic>
              </a:graphicData>
            </a:graphic>
          </wp:inline>
        </w:drawing>
      </w:r>
    </w:p>
    <w:p w:rsidR="00AE6AF1" w:rsidRPr="00AE6AF1" w:rsidRDefault="00040F10" w:rsidP="00230F3F">
      <w:pPr>
        <w:pStyle w:val="Caption"/>
        <w:spacing w:line="360" w:lineRule="auto"/>
        <w:jc w:val="center"/>
      </w:pPr>
      <w:bookmarkStart w:id="191" w:name="_Ref442888264"/>
      <w:r>
        <w:rPr>
          <w:bCs w:val="0"/>
          <w:noProof/>
          <w:lang w:eastAsia="en-GB"/>
        </w:rPr>
        <w:pict>
          <v:shape id="_x0000_s1129" type="#_x0000_t202" style="position:absolute;left:0;text-align:left;margin-left:178.5pt;margin-top:88.3pt;width:87.05pt;height:17.6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29">
              <w:txbxContent>
                <w:p w:rsidR="003A5686" w:rsidRPr="00B141B9" w:rsidRDefault="003A5686" w:rsidP="0098782E">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956B80">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4</w:t>
      </w:r>
      <w:r w:rsidR="0075172E">
        <w:fldChar w:fldCharType="end"/>
      </w:r>
      <w:bookmarkEnd w:id="191"/>
      <w:r w:rsidR="00956B80">
        <w:t>: Upper: Thermogram of 6 mM sodium phytate injected into 0.4 mM lysozyme in 10 mM ammonium acetate at 40</w:t>
      </w:r>
      <w:r w:rsidR="006F2757">
        <w:t xml:space="preserve"> </w:t>
      </w:r>
      <w:r w:rsidR="00956B80">
        <w:t>°C (red), phytate dilution into ammonium acetate (blue) and ammonium acetate dilution into lysozyme (black).Lower: Binding isotherm for the corresponding interaction, lysozyme interaction (red), phytate dilution into ammonium acetate (blue) and ammonium acetate dilution into lysozyme (black).</w:t>
      </w:r>
      <w:r w:rsidR="00AE6AF1" w:rsidRPr="00AE6AF1">
        <w:t xml:space="preserve"> </w:t>
      </w:r>
      <w:r w:rsidR="00AE6AF1">
        <w:t>Solid line represents single site independent binding model fit.</w:t>
      </w:r>
    </w:p>
    <w:p w:rsidR="00956B80" w:rsidRDefault="00040F10" w:rsidP="00AE6AF1">
      <w:pPr>
        <w:keepNext/>
        <w:spacing w:line="480" w:lineRule="auto"/>
      </w:pPr>
      <w:r>
        <w:rPr>
          <w:bCs/>
          <w:noProof/>
          <w:lang w:eastAsia="en-GB"/>
        </w:rPr>
        <w:pict>
          <v:shape id="_x0000_s1159" type="#_x0000_t202" style="position:absolute;margin-left:10.9pt;margin-top:22.95pt;width:26.15pt;height:219.75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562DF1">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Pr>
          <w:bCs/>
          <w:noProof/>
          <w:lang w:eastAsia="en-GB"/>
        </w:rPr>
        <w:pict>
          <v:shape id="_x0000_s1128" type="#_x0000_t202" style="position:absolute;margin-left:178.5pt;margin-top:246.9pt;width:87.05pt;height:17.6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28">
              <w:txbxContent>
                <w:p w:rsidR="003A5686" w:rsidRPr="00B141B9" w:rsidRDefault="003A5686" w:rsidP="0098782E">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sidR="001434B8" w:rsidRPr="001434B8">
        <w:rPr>
          <w:noProof/>
          <w:lang w:eastAsia="en-GB"/>
        </w:rPr>
        <w:drawing>
          <wp:inline distT="0" distB="0" distL="0" distR="0" wp14:anchorId="2DFEC319" wp14:editId="218F62BC">
            <wp:extent cx="4981575" cy="3273845"/>
            <wp:effectExtent l="19050" t="0" r="9525" b="0"/>
            <wp:docPr id="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 cstate="print"/>
                    <a:srcRect/>
                    <a:stretch>
                      <a:fillRect/>
                    </a:stretch>
                  </pic:blipFill>
                  <pic:spPr bwMode="auto">
                    <a:xfrm>
                      <a:off x="0" y="0"/>
                      <a:ext cx="4977325" cy="3271052"/>
                    </a:xfrm>
                    <a:prstGeom prst="rect">
                      <a:avLst/>
                    </a:prstGeom>
                    <a:noFill/>
                    <a:ln w="9525">
                      <a:noFill/>
                      <a:miter lim="800000"/>
                      <a:headEnd/>
                      <a:tailEnd/>
                    </a:ln>
                  </pic:spPr>
                </pic:pic>
              </a:graphicData>
            </a:graphic>
          </wp:inline>
        </w:drawing>
      </w:r>
    </w:p>
    <w:p w:rsidR="00230F3F" w:rsidRPr="00230F3F" w:rsidRDefault="00956B80" w:rsidP="00230F3F">
      <w:pPr>
        <w:pStyle w:val="Caption"/>
        <w:spacing w:line="360" w:lineRule="auto"/>
        <w:jc w:val="center"/>
      </w:pPr>
      <w:bookmarkStart w:id="192" w:name="_Ref442888297"/>
      <w:bookmarkStart w:id="193" w:name="_Ref443254634"/>
      <w:r>
        <w:t>Figure</w:t>
      </w:r>
      <w:bookmarkEnd w:id="192"/>
      <w:r w:rsidR="008A16ED">
        <w:t xml:space="preserv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5</w:t>
      </w:r>
      <w:r w:rsidR="0075172E">
        <w:fldChar w:fldCharType="end"/>
      </w:r>
      <w:bookmarkEnd w:id="193"/>
      <w:r>
        <w:t>: Upper: Thermogram of 6 mM sodium phytate injected into 0.4 mM lysozyme in 10 mM ammonium acetate Lower: Binding isotherm for the corresponding interaction (closed triangles), phytate dilution into ammonium acetate (open triangles) and ammonium acetate dilution into lysozyme (crosses).</w:t>
      </w:r>
      <w:r w:rsidR="004E0F1C">
        <w:t xml:space="preserve"> Solid line represents single site independent binding model fit.</w:t>
      </w:r>
    </w:p>
    <w:p w:rsidR="00AE6AF1" w:rsidRPr="00D47E25" w:rsidRDefault="00230F3F" w:rsidP="00D47E25">
      <w:pPr>
        <w:spacing w:line="480" w:lineRule="auto"/>
        <w:jc w:val="both"/>
        <w:rPr>
          <w:bCs/>
        </w:rPr>
      </w:pPr>
      <w:r>
        <w:rPr>
          <w:bCs/>
        </w:rPr>
        <w:lastRenderedPageBreak/>
        <w:t xml:space="preserve">The cITC binding isotherm shows some noise which is probably due to the crosslinking reaction occurring throughout the titration. At 1.5 molar ratios, there is a decline in exothermicity, which is due to extensive crosslinking. Figure 5.5 is the corresponding iITC study. </w:t>
      </w:r>
    </w:p>
    <w:p w:rsidR="00956B80" w:rsidRPr="00230F3F" w:rsidRDefault="00956B80" w:rsidP="00C25E52">
      <w:pPr>
        <w:pStyle w:val="Caption"/>
        <w:spacing w:line="480" w:lineRule="auto"/>
        <w:jc w:val="center"/>
      </w:pPr>
      <w:bookmarkStart w:id="194" w:name="_Ref442888639"/>
      <w:bookmarkStart w:id="195" w:name="_Ref442980349"/>
      <w:r w:rsidRPr="00230F3F">
        <w:t>Table</w:t>
      </w:r>
      <w:bookmarkEnd w:id="194"/>
      <w:r w:rsidR="008A16ED" w:rsidRPr="00230F3F">
        <w:t xml:space="preserve"> </w:t>
      </w:r>
      <w:r w:rsidR="0075172E">
        <w:fldChar w:fldCharType="begin"/>
      </w:r>
      <w:r w:rsidR="00AC2227">
        <w:instrText xml:space="preserve"> STYLEREF 1 \s </w:instrText>
      </w:r>
      <w:r w:rsidR="0075172E">
        <w:fldChar w:fldCharType="separate"/>
      </w:r>
      <w:r w:rsidR="00E71593">
        <w:rPr>
          <w:noProof/>
        </w:rPr>
        <w:t>5</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1</w:t>
      </w:r>
      <w:r w:rsidR="0075172E">
        <w:fldChar w:fldCharType="end"/>
      </w:r>
      <w:bookmarkEnd w:id="195"/>
      <w:r w:rsidRPr="00230F3F">
        <w:t>: Thermodynamic parameters calculated using the one site binding model for the interaction with 6 mM sodium phytate and 0.4 mM lysozyme at pH 4 in 10 mM ammonium acetate at 40</w:t>
      </w:r>
      <w:r w:rsidR="006F2757" w:rsidRPr="00230F3F">
        <w:t xml:space="preserve"> </w:t>
      </w:r>
      <w:r w:rsidRPr="00230F3F">
        <w:t>°C</w:t>
      </w:r>
      <w:r w:rsidR="00484D60" w:rsidRPr="00230F3F">
        <w:t xml:space="preserve"> using either cITC or iITC</w:t>
      </w:r>
      <w:r w:rsidR="00066430" w:rsidRPr="00230F3F">
        <w:t xml:space="preserve">. </w:t>
      </w:r>
      <w:r w:rsidR="00066430" w:rsidRPr="00230F3F">
        <w:rPr>
          <w:iCs/>
        </w:rPr>
        <w:t>The standard error (bold) and the confidence intervals (italics) are in brackets.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125"/>
        <w:gridCol w:w="770"/>
        <w:gridCol w:w="770"/>
        <w:gridCol w:w="770"/>
        <w:gridCol w:w="1150"/>
      </w:tblGrid>
      <w:tr w:rsidR="00956B80" w:rsidRPr="00A87788" w:rsidTr="00AF3E73">
        <w:trPr>
          <w:trHeight w:val="584"/>
          <w:jc w:val="center"/>
        </w:trPr>
        <w:tc>
          <w:tcPr>
            <w:tcW w:w="0" w:type="auto"/>
            <w:tcBorders>
              <w:top w:val="single" w:sz="4" w:space="0" w:color="auto"/>
              <w:bottom w:val="single" w:sz="4" w:space="0" w:color="auto"/>
            </w:tcBorders>
            <w:hideMark/>
          </w:tcPr>
          <w:p w:rsidR="00956B80" w:rsidRPr="00A87788" w:rsidRDefault="00956B80" w:rsidP="00AF3E73">
            <w:pPr>
              <w:spacing w:after="200" w:line="480" w:lineRule="auto"/>
              <w:jc w:val="center"/>
              <w:rPr>
                <w:b/>
                <w:bCs/>
                <w:sz w:val="16"/>
                <w:szCs w:val="16"/>
              </w:rPr>
            </w:pPr>
            <w:r w:rsidRPr="00A87788">
              <w:rPr>
                <w:b/>
                <w:bCs/>
                <w:sz w:val="16"/>
                <w:szCs w:val="16"/>
              </w:rPr>
              <w:t>ITC technique</w:t>
            </w:r>
          </w:p>
        </w:tc>
        <w:tc>
          <w:tcPr>
            <w:tcW w:w="0" w:type="auto"/>
            <w:tcBorders>
              <w:top w:val="single" w:sz="4" w:space="0" w:color="auto"/>
              <w:bottom w:val="single" w:sz="4" w:space="0" w:color="auto"/>
            </w:tcBorders>
            <w:hideMark/>
          </w:tcPr>
          <w:p w:rsidR="00956B80" w:rsidRPr="00A87788" w:rsidRDefault="00956B80" w:rsidP="00AF3E73">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50110E">
              <w:rPr>
                <w:b/>
                <w:bCs/>
                <w:i/>
                <w:sz w:val="16"/>
                <w:szCs w:val="16"/>
              </w:rPr>
              <w:t>H</w:t>
            </w:r>
            <w:r w:rsidRPr="00A87788">
              <w:rPr>
                <w:b/>
                <w:bCs/>
                <w:sz w:val="16"/>
                <w:szCs w:val="16"/>
              </w:rPr>
              <w:t xml:space="preserve"> </w:t>
            </w:r>
          </w:p>
          <w:p w:rsidR="00956B80" w:rsidRPr="00A87788" w:rsidRDefault="00956B80"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hideMark/>
          </w:tcPr>
          <w:p w:rsidR="00956B80" w:rsidRPr="00A87788" w:rsidRDefault="00956B80" w:rsidP="00AF3E73">
            <w:pPr>
              <w:spacing w:after="200" w:line="480" w:lineRule="auto"/>
              <w:jc w:val="center"/>
              <w:rPr>
                <w:b/>
                <w:bCs/>
                <w:sz w:val="16"/>
                <w:szCs w:val="16"/>
              </w:rPr>
            </w:pPr>
            <w:r w:rsidRPr="00A87788">
              <w:rPr>
                <w:b/>
                <w:bCs/>
                <w:sz w:val="16"/>
                <w:szCs w:val="16"/>
              </w:rPr>
              <w:t>- T</w:t>
            </w:r>
            <w:r w:rsidRPr="00A87788">
              <w:rPr>
                <w:b/>
                <w:bCs/>
                <w:sz w:val="16"/>
                <w:szCs w:val="16"/>
                <w:lang w:val="el-GR"/>
              </w:rPr>
              <w:t>Δ</w:t>
            </w:r>
            <w:r w:rsidRPr="0050110E">
              <w:rPr>
                <w:b/>
                <w:bCs/>
                <w:i/>
                <w:sz w:val="16"/>
                <w:szCs w:val="16"/>
              </w:rPr>
              <w:t xml:space="preserve">S </w:t>
            </w:r>
          </w:p>
          <w:p w:rsidR="00956B80" w:rsidRPr="00A87788" w:rsidRDefault="00956B80"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hideMark/>
          </w:tcPr>
          <w:p w:rsidR="00956B80" w:rsidRPr="00A87788" w:rsidRDefault="00956B80" w:rsidP="00AF3E73">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50110E">
              <w:rPr>
                <w:b/>
                <w:bCs/>
                <w:i/>
                <w:sz w:val="16"/>
                <w:szCs w:val="16"/>
              </w:rPr>
              <w:t>G</w:t>
            </w:r>
          </w:p>
          <w:p w:rsidR="00956B80" w:rsidRPr="00A87788" w:rsidRDefault="00956B80"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hideMark/>
          </w:tcPr>
          <w:p w:rsidR="00956B80" w:rsidRDefault="00956B80" w:rsidP="00AF3E73">
            <w:pPr>
              <w:spacing w:after="200" w:line="480" w:lineRule="auto"/>
              <w:jc w:val="center"/>
              <w:rPr>
                <w:b/>
                <w:bCs/>
                <w:sz w:val="16"/>
                <w:szCs w:val="16"/>
              </w:rPr>
            </w:pPr>
            <w:r w:rsidRPr="00A87788">
              <w:rPr>
                <w:b/>
                <w:bCs/>
                <w:sz w:val="16"/>
                <w:szCs w:val="16"/>
              </w:rPr>
              <w:t>Stoichiometry</w:t>
            </w:r>
          </w:p>
          <w:p w:rsidR="00956B80" w:rsidRPr="0050110E" w:rsidRDefault="00956B80" w:rsidP="00AF3E73">
            <w:pPr>
              <w:spacing w:after="200" w:line="480" w:lineRule="auto"/>
              <w:jc w:val="center"/>
              <w:rPr>
                <w:b/>
                <w:bCs/>
                <w:i/>
                <w:sz w:val="16"/>
                <w:szCs w:val="16"/>
              </w:rPr>
            </w:pPr>
            <w:r w:rsidRPr="0050110E">
              <w:rPr>
                <w:b/>
                <w:bCs/>
                <w:i/>
                <w:sz w:val="16"/>
                <w:szCs w:val="16"/>
              </w:rPr>
              <w:t>n</w:t>
            </w:r>
          </w:p>
        </w:tc>
      </w:tr>
      <w:tr w:rsidR="00956B80" w:rsidRPr="00A87788" w:rsidTr="00AF3E73">
        <w:trPr>
          <w:trHeight w:val="584"/>
          <w:jc w:val="center"/>
        </w:trPr>
        <w:tc>
          <w:tcPr>
            <w:tcW w:w="0" w:type="auto"/>
            <w:tcBorders>
              <w:top w:val="single" w:sz="4" w:space="0" w:color="auto"/>
            </w:tcBorders>
            <w:hideMark/>
          </w:tcPr>
          <w:p w:rsidR="00956B80" w:rsidRPr="00A87788" w:rsidRDefault="00956B80" w:rsidP="00AF3E73">
            <w:pPr>
              <w:spacing w:after="200" w:line="480" w:lineRule="auto"/>
              <w:jc w:val="center"/>
              <w:rPr>
                <w:bCs/>
                <w:sz w:val="16"/>
                <w:szCs w:val="16"/>
              </w:rPr>
            </w:pPr>
            <w:r w:rsidRPr="00A87788">
              <w:rPr>
                <w:bCs/>
                <w:sz w:val="16"/>
                <w:szCs w:val="16"/>
              </w:rPr>
              <w:t xml:space="preserve">cITC </w:t>
            </w:r>
          </w:p>
        </w:tc>
        <w:tc>
          <w:tcPr>
            <w:tcW w:w="0" w:type="auto"/>
            <w:tcBorders>
              <w:top w:val="single" w:sz="4" w:space="0" w:color="auto"/>
            </w:tcBorders>
            <w:hideMark/>
          </w:tcPr>
          <w:p w:rsidR="004925CD" w:rsidRDefault="002E205A" w:rsidP="00AF3E73">
            <w:pPr>
              <w:spacing w:after="200" w:line="480" w:lineRule="auto"/>
              <w:jc w:val="center"/>
              <w:rPr>
                <w:bCs/>
                <w:sz w:val="16"/>
                <w:szCs w:val="16"/>
              </w:rPr>
            </w:pPr>
            <w:r>
              <w:rPr>
                <w:bCs/>
                <w:sz w:val="16"/>
                <w:szCs w:val="16"/>
              </w:rPr>
              <w:t>21.5</w:t>
            </w:r>
          </w:p>
          <w:p w:rsidR="002E205A" w:rsidRPr="002E205A" w:rsidRDefault="002E205A" w:rsidP="002E205A">
            <w:pPr>
              <w:spacing w:line="480" w:lineRule="auto"/>
              <w:jc w:val="center"/>
              <w:rPr>
                <w:b/>
                <w:bCs/>
                <w:iCs/>
                <w:sz w:val="16"/>
                <w:szCs w:val="16"/>
              </w:rPr>
            </w:pPr>
            <w:r w:rsidRPr="00635056">
              <w:rPr>
                <w:b/>
                <w:bCs/>
                <w:iCs/>
                <w:sz w:val="16"/>
                <w:szCs w:val="16"/>
              </w:rPr>
              <w:t>(±0.0</w:t>
            </w:r>
            <w:r>
              <w:rPr>
                <w:b/>
                <w:bCs/>
                <w:iCs/>
                <w:sz w:val="16"/>
                <w:szCs w:val="16"/>
              </w:rPr>
              <w:t>5</w:t>
            </w:r>
            <w:r w:rsidRPr="00635056">
              <w:rPr>
                <w:b/>
                <w:bCs/>
                <w:iCs/>
                <w:sz w:val="16"/>
                <w:szCs w:val="16"/>
              </w:rPr>
              <w:t>)</w:t>
            </w:r>
          </w:p>
          <w:p w:rsidR="00956B80" w:rsidRPr="00A87788" w:rsidRDefault="004925CD" w:rsidP="004925CD">
            <w:pPr>
              <w:spacing w:after="200" w:line="480" w:lineRule="auto"/>
              <w:jc w:val="center"/>
              <w:rPr>
                <w:bCs/>
                <w:sz w:val="16"/>
                <w:szCs w:val="16"/>
              </w:rPr>
            </w:pPr>
            <w:r w:rsidRPr="00BC4A16">
              <w:rPr>
                <w:bCs/>
                <w:i/>
                <w:iCs/>
                <w:sz w:val="16"/>
                <w:szCs w:val="16"/>
              </w:rPr>
              <w:t>(±</w:t>
            </w:r>
            <w:r>
              <w:rPr>
                <w:bCs/>
                <w:i/>
                <w:iCs/>
                <w:sz w:val="16"/>
                <w:szCs w:val="16"/>
              </w:rPr>
              <w:t>0.06</w:t>
            </w:r>
            <w:r w:rsidRPr="00BC4A16">
              <w:rPr>
                <w:bCs/>
                <w:i/>
                <w:iCs/>
                <w:sz w:val="16"/>
                <w:szCs w:val="16"/>
              </w:rPr>
              <w:t>)</w:t>
            </w:r>
            <w:r w:rsidR="00956B80" w:rsidRPr="00A87788">
              <w:rPr>
                <w:bCs/>
                <w:sz w:val="16"/>
                <w:szCs w:val="16"/>
              </w:rPr>
              <w:t xml:space="preserve"> </w:t>
            </w:r>
          </w:p>
        </w:tc>
        <w:tc>
          <w:tcPr>
            <w:tcW w:w="0" w:type="auto"/>
            <w:tcBorders>
              <w:top w:val="single" w:sz="4" w:space="0" w:color="auto"/>
            </w:tcBorders>
            <w:hideMark/>
          </w:tcPr>
          <w:p w:rsidR="00956B80" w:rsidRDefault="00956B80" w:rsidP="002E205A">
            <w:pPr>
              <w:spacing w:after="200" w:line="480" w:lineRule="auto"/>
              <w:jc w:val="center"/>
              <w:rPr>
                <w:bCs/>
                <w:sz w:val="16"/>
                <w:szCs w:val="16"/>
              </w:rPr>
            </w:pPr>
            <w:r w:rsidRPr="00A87788">
              <w:rPr>
                <w:bCs/>
                <w:sz w:val="16"/>
                <w:szCs w:val="16"/>
              </w:rPr>
              <w:t>-</w:t>
            </w:r>
            <w:r w:rsidR="002E205A">
              <w:rPr>
                <w:bCs/>
                <w:sz w:val="16"/>
                <w:szCs w:val="16"/>
              </w:rPr>
              <w:t>11</w:t>
            </w:r>
          </w:p>
          <w:p w:rsidR="002E205A" w:rsidRDefault="002E205A" w:rsidP="002E205A">
            <w:pPr>
              <w:spacing w:line="480" w:lineRule="auto"/>
              <w:jc w:val="center"/>
              <w:rPr>
                <w:b/>
                <w:bCs/>
                <w:iCs/>
                <w:sz w:val="16"/>
                <w:szCs w:val="16"/>
              </w:rPr>
            </w:pPr>
            <w:r w:rsidRPr="00635056">
              <w:rPr>
                <w:b/>
                <w:bCs/>
                <w:iCs/>
                <w:sz w:val="16"/>
                <w:szCs w:val="16"/>
              </w:rPr>
              <w:t>(±</w:t>
            </w:r>
            <w:r>
              <w:rPr>
                <w:b/>
                <w:bCs/>
                <w:iCs/>
                <w:sz w:val="16"/>
                <w:szCs w:val="16"/>
              </w:rPr>
              <w:t>1</w:t>
            </w:r>
            <w:r w:rsidRPr="00635056">
              <w:rPr>
                <w:b/>
                <w:bCs/>
                <w:iCs/>
                <w:sz w:val="16"/>
                <w:szCs w:val="16"/>
              </w:rPr>
              <w:t>)</w:t>
            </w:r>
          </w:p>
          <w:p w:rsidR="002E205A" w:rsidRPr="00A87788" w:rsidRDefault="002E205A" w:rsidP="002E205A">
            <w:pPr>
              <w:spacing w:after="200" w:line="480" w:lineRule="auto"/>
              <w:jc w:val="center"/>
              <w:rPr>
                <w:bCs/>
                <w:sz w:val="16"/>
                <w:szCs w:val="16"/>
              </w:rPr>
            </w:pPr>
          </w:p>
        </w:tc>
        <w:tc>
          <w:tcPr>
            <w:tcW w:w="0" w:type="auto"/>
            <w:tcBorders>
              <w:top w:val="single" w:sz="4" w:space="0" w:color="auto"/>
            </w:tcBorders>
            <w:hideMark/>
          </w:tcPr>
          <w:p w:rsidR="00956B80" w:rsidRDefault="002E205A" w:rsidP="00AF3E73">
            <w:pPr>
              <w:spacing w:after="200" w:line="480" w:lineRule="auto"/>
              <w:jc w:val="center"/>
              <w:rPr>
                <w:bCs/>
                <w:sz w:val="16"/>
                <w:szCs w:val="16"/>
              </w:rPr>
            </w:pPr>
            <w:r>
              <w:rPr>
                <w:bCs/>
                <w:sz w:val="16"/>
                <w:szCs w:val="16"/>
              </w:rPr>
              <w:t>32.5</w:t>
            </w:r>
          </w:p>
          <w:p w:rsidR="002E205A" w:rsidRPr="002E205A" w:rsidRDefault="002E205A" w:rsidP="002E205A">
            <w:pPr>
              <w:spacing w:line="480" w:lineRule="auto"/>
              <w:jc w:val="center"/>
              <w:rPr>
                <w:b/>
                <w:bCs/>
                <w:iCs/>
                <w:sz w:val="16"/>
                <w:szCs w:val="16"/>
              </w:rPr>
            </w:pPr>
            <w:r w:rsidRPr="00635056">
              <w:rPr>
                <w:b/>
                <w:bCs/>
                <w:iCs/>
                <w:sz w:val="16"/>
                <w:szCs w:val="16"/>
              </w:rPr>
              <w:t>(±0.0</w:t>
            </w:r>
            <w:r>
              <w:rPr>
                <w:b/>
                <w:bCs/>
                <w:iCs/>
                <w:sz w:val="16"/>
                <w:szCs w:val="16"/>
              </w:rPr>
              <w:t>5</w:t>
            </w:r>
            <w:r w:rsidRPr="00635056">
              <w:rPr>
                <w:b/>
                <w:bCs/>
                <w:iCs/>
                <w:sz w:val="16"/>
                <w:szCs w:val="16"/>
              </w:rPr>
              <w:t>)</w:t>
            </w:r>
          </w:p>
          <w:p w:rsidR="004925CD" w:rsidRPr="00A87788" w:rsidRDefault="004925CD" w:rsidP="002E205A">
            <w:pPr>
              <w:spacing w:after="200" w:line="480" w:lineRule="auto"/>
              <w:jc w:val="center"/>
              <w:rPr>
                <w:bCs/>
                <w:sz w:val="16"/>
                <w:szCs w:val="16"/>
              </w:rPr>
            </w:pPr>
            <w:r w:rsidRPr="00BC4A16">
              <w:rPr>
                <w:bCs/>
                <w:i/>
                <w:iCs/>
                <w:sz w:val="16"/>
                <w:szCs w:val="16"/>
              </w:rPr>
              <w:t>(±</w:t>
            </w:r>
            <w:r w:rsidR="00BF1CE8">
              <w:rPr>
                <w:bCs/>
                <w:i/>
                <w:iCs/>
                <w:sz w:val="16"/>
                <w:szCs w:val="16"/>
              </w:rPr>
              <w:t>9</w:t>
            </w:r>
            <w:r w:rsidRPr="00BC4A16">
              <w:rPr>
                <w:bCs/>
                <w:i/>
                <w:iCs/>
                <w:sz w:val="16"/>
                <w:szCs w:val="16"/>
              </w:rPr>
              <w:t>)</w:t>
            </w:r>
          </w:p>
        </w:tc>
        <w:tc>
          <w:tcPr>
            <w:tcW w:w="0" w:type="auto"/>
            <w:tcBorders>
              <w:top w:val="single" w:sz="4" w:space="0" w:color="auto"/>
            </w:tcBorders>
            <w:hideMark/>
          </w:tcPr>
          <w:p w:rsidR="00956B80" w:rsidRDefault="002E205A" w:rsidP="00AF3E73">
            <w:pPr>
              <w:spacing w:after="200" w:line="480" w:lineRule="auto"/>
              <w:jc w:val="center"/>
              <w:rPr>
                <w:bCs/>
                <w:sz w:val="16"/>
                <w:szCs w:val="16"/>
              </w:rPr>
            </w:pPr>
            <w:r>
              <w:rPr>
                <w:bCs/>
                <w:sz w:val="16"/>
                <w:szCs w:val="16"/>
              </w:rPr>
              <w:t>1.89</w:t>
            </w:r>
          </w:p>
          <w:p w:rsidR="002E205A" w:rsidRPr="002E205A" w:rsidRDefault="002E205A" w:rsidP="002E205A">
            <w:pPr>
              <w:spacing w:line="480" w:lineRule="auto"/>
              <w:jc w:val="center"/>
              <w:rPr>
                <w:b/>
                <w:bCs/>
                <w:iCs/>
                <w:sz w:val="16"/>
                <w:szCs w:val="16"/>
              </w:rPr>
            </w:pPr>
            <w:r w:rsidRPr="00635056">
              <w:rPr>
                <w:b/>
                <w:bCs/>
                <w:iCs/>
                <w:sz w:val="16"/>
                <w:szCs w:val="16"/>
              </w:rPr>
              <w:t>(±0.0</w:t>
            </w:r>
            <w:r>
              <w:rPr>
                <w:b/>
                <w:bCs/>
                <w:iCs/>
                <w:sz w:val="16"/>
                <w:szCs w:val="16"/>
              </w:rPr>
              <w:t>5</w:t>
            </w:r>
            <w:r w:rsidRPr="00635056">
              <w:rPr>
                <w:b/>
                <w:bCs/>
                <w:iCs/>
                <w:sz w:val="16"/>
                <w:szCs w:val="16"/>
              </w:rPr>
              <w:t>)</w:t>
            </w:r>
          </w:p>
          <w:p w:rsidR="004925CD" w:rsidRPr="00A87788" w:rsidRDefault="002E205A" w:rsidP="002E205A">
            <w:pPr>
              <w:spacing w:after="200" w:line="480" w:lineRule="auto"/>
              <w:rPr>
                <w:bCs/>
                <w:sz w:val="16"/>
                <w:szCs w:val="16"/>
              </w:rPr>
            </w:pPr>
            <w:r>
              <w:rPr>
                <w:bCs/>
                <w:sz w:val="16"/>
                <w:szCs w:val="16"/>
              </w:rPr>
              <w:t xml:space="preserve">     </w:t>
            </w:r>
            <w:r w:rsidR="004925CD" w:rsidRPr="00BC4A16">
              <w:rPr>
                <w:bCs/>
                <w:i/>
                <w:iCs/>
                <w:sz w:val="16"/>
                <w:szCs w:val="16"/>
              </w:rPr>
              <w:t>(±</w:t>
            </w:r>
            <w:r w:rsidR="004925CD">
              <w:rPr>
                <w:bCs/>
                <w:i/>
                <w:iCs/>
                <w:sz w:val="16"/>
                <w:szCs w:val="16"/>
              </w:rPr>
              <w:t>0.002</w:t>
            </w:r>
            <w:r w:rsidR="004925CD" w:rsidRPr="00BC4A16">
              <w:rPr>
                <w:bCs/>
                <w:i/>
                <w:iCs/>
                <w:sz w:val="16"/>
                <w:szCs w:val="16"/>
              </w:rPr>
              <w:t>)</w:t>
            </w:r>
          </w:p>
        </w:tc>
      </w:tr>
      <w:tr w:rsidR="004836F2" w:rsidRPr="00A87788" w:rsidTr="00AF3E73">
        <w:trPr>
          <w:trHeight w:val="584"/>
          <w:jc w:val="center"/>
        </w:trPr>
        <w:tc>
          <w:tcPr>
            <w:tcW w:w="0" w:type="auto"/>
            <w:tcBorders>
              <w:bottom w:val="single" w:sz="4" w:space="0" w:color="auto"/>
            </w:tcBorders>
            <w:hideMark/>
          </w:tcPr>
          <w:p w:rsidR="004836F2" w:rsidRPr="00A87788" w:rsidRDefault="004836F2" w:rsidP="00AF3E73">
            <w:pPr>
              <w:spacing w:after="200" w:line="480" w:lineRule="auto"/>
              <w:jc w:val="center"/>
              <w:rPr>
                <w:bCs/>
                <w:sz w:val="16"/>
                <w:szCs w:val="16"/>
              </w:rPr>
            </w:pPr>
            <w:r w:rsidRPr="00A87788">
              <w:rPr>
                <w:bCs/>
                <w:sz w:val="16"/>
                <w:szCs w:val="16"/>
              </w:rPr>
              <w:t>iITC</w:t>
            </w:r>
          </w:p>
        </w:tc>
        <w:tc>
          <w:tcPr>
            <w:tcW w:w="0" w:type="auto"/>
            <w:tcBorders>
              <w:bottom w:val="single" w:sz="4" w:space="0" w:color="auto"/>
            </w:tcBorders>
            <w:hideMark/>
          </w:tcPr>
          <w:p w:rsidR="004836F2" w:rsidRPr="006700E3" w:rsidRDefault="004836F2" w:rsidP="002E2B73">
            <w:pPr>
              <w:spacing w:line="480" w:lineRule="auto"/>
              <w:jc w:val="center"/>
              <w:rPr>
                <w:bCs/>
                <w:iCs/>
                <w:sz w:val="16"/>
                <w:szCs w:val="16"/>
              </w:rPr>
            </w:pPr>
            <w:r w:rsidRPr="006700E3">
              <w:rPr>
                <w:bCs/>
                <w:iCs/>
                <w:sz w:val="16"/>
                <w:szCs w:val="16"/>
              </w:rPr>
              <w:t>-</w:t>
            </w:r>
            <w:r>
              <w:rPr>
                <w:bCs/>
                <w:iCs/>
                <w:sz w:val="16"/>
                <w:szCs w:val="16"/>
              </w:rPr>
              <w:t>19.9</w:t>
            </w:r>
          </w:p>
          <w:p w:rsidR="004836F2" w:rsidRDefault="004836F2" w:rsidP="002E2B73">
            <w:pPr>
              <w:spacing w:line="480" w:lineRule="auto"/>
              <w:jc w:val="center"/>
              <w:rPr>
                <w:b/>
                <w:bCs/>
                <w:iCs/>
                <w:sz w:val="16"/>
                <w:szCs w:val="16"/>
              </w:rPr>
            </w:pPr>
            <w:r w:rsidRPr="00635056">
              <w:rPr>
                <w:b/>
                <w:bCs/>
                <w:iCs/>
                <w:sz w:val="16"/>
                <w:szCs w:val="16"/>
              </w:rPr>
              <w:t>(±0.03)</w:t>
            </w:r>
          </w:p>
          <w:p w:rsidR="004836F2" w:rsidRPr="00B328E3" w:rsidRDefault="004836F2" w:rsidP="002E2B73">
            <w:pPr>
              <w:spacing w:line="480" w:lineRule="auto"/>
              <w:jc w:val="center"/>
              <w:rPr>
                <w:bCs/>
                <w:i/>
                <w:iCs/>
                <w:sz w:val="16"/>
                <w:szCs w:val="16"/>
              </w:rPr>
            </w:pPr>
            <w:r>
              <w:rPr>
                <w:bCs/>
                <w:i/>
                <w:iCs/>
                <w:sz w:val="16"/>
                <w:szCs w:val="16"/>
              </w:rPr>
              <w:t>(±0.5</w:t>
            </w:r>
            <w:r w:rsidRPr="00B328E3">
              <w:rPr>
                <w:bCs/>
                <w:i/>
                <w:iCs/>
                <w:sz w:val="16"/>
                <w:szCs w:val="16"/>
              </w:rPr>
              <w:t xml:space="preserve">) </w:t>
            </w:r>
          </w:p>
        </w:tc>
        <w:tc>
          <w:tcPr>
            <w:tcW w:w="0" w:type="auto"/>
            <w:tcBorders>
              <w:bottom w:val="single" w:sz="4" w:space="0" w:color="auto"/>
            </w:tcBorders>
            <w:hideMark/>
          </w:tcPr>
          <w:p w:rsidR="004836F2" w:rsidRDefault="004836F2" w:rsidP="002E2B73">
            <w:pPr>
              <w:spacing w:line="480" w:lineRule="auto"/>
              <w:jc w:val="center"/>
              <w:rPr>
                <w:bCs/>
                <w:iCs/>
                <w:sz w:val="16"/>
                <w:szCs w:val="16"/>
              </w:rPr>
            </w:pPr>
            <w:r w:rsidRPr="006700E3">
              <w:rPr>
                <w:bCs/>
                <w:iCs/>
                <w:sz w:val="16"/>
                <w:szCs w:val="16"/>
              </w:rPr>
              <w:t>-12.3</w:t>
            </w:r>
            <w:r>
              <w:rPr>
                <w:bCs/>
                <w:iCs/>
                <w:sz w:val="16"/>
                <w:szCs w:val="16"/>
              </w:rPr>
              <w:t xml:space="preserve"> </w:t>
            </w:r>
          </w:p>
          <w:p w:rsidR="004836F2" w:rsidRDefault="004836F2" w:rsidP="002E2B73">
            <w:pPr>
              <w:spacing w:line="480" w:lineRule="auto"/>
              <w:jc w:val="center"/>
              <w:rPr>
                <w:b/>
                <w:bCs/>
                <w:iCs/>
                <w:sz w:val="16"/>
                <w:szCs w:val="16"/>
              </w:rPr>
            </w:pPr>
            <w:r>
              <w:rPr>
                <w:b/>
                <w:bCs/>
                <w:iCs/>
                <w:sz w:val="16"/>
                <w:szCs w:val="16"/>
              </w:rPr>
              <w:t>(±0.06</w:t>
            </w:r>
            <w:r w:rsidRPr="00635056">
              <w:rPr>
                <w:b/>
                <w:bCs/>
                <w:iCs/>
                <w:sz w:val="16"/>
                <w:szCs w:val="16"/>
              </w:rPr>
              <w:t>)</w:t>
            </w:r>
          </w:p>
          <w:p w:rsidR="004836F2" w:rsidRPr="00635056" w:rsidRDefault="004836F2" w:rsidP="002E2B73">
            <w:pPr>
              <w:spacing w:line="480" w:lineRule="auto"/>
              <w:jc w:val="center"/>
              <w:rPr>
                <w:b/>
                <w:bCs/>
                <w:iCs/>
                <w:sz w:val="16"/>
                <w:szCs w:val="16"/>
              </w:rPr>
            </w:pPr>
          </w:p>
        </w:tc>
        <w:tc>
          <w:tcPr>
            <w:tcW w:w="0" w:type="auto"/>
            <w:tcBorders>
              <w:bottom w:val="single" w:sz="4" w:space="0" w:color="auto"/>
            </w:tcBorders>
            <w:hideMark/>
          </w:tcPr>
          <w:p w:rsidR="004836F2" w:rsidRDefault="004836F2" w:rsidP="002E2B73">
            <w:pPr>
              <w:spacing w:line="480" w:lineRule="auto"/>
              <w:jc w:val="center"/>
              <w:rPr>
                <w:bCs/>
                <w:iCs/>
                <w:sz w:val="16"/>
                <w:szCs w:val="16"/>
              </w:rPr>
            </w:pPr>
            <w:r w:rsidRPr="006700E3">
              <w:rPr>
                <w:bCs/>
                <w:iCs/>
                <w:sz w:val="16"/>
                <w:szCs w:val="16"/>
              </w:rPr>
              <w:t>32.4</w:t>
            </w:r>
          </w:p>
          <w:p w:rsidR="004836F2" w:rsidRDefault="004836F2" w:rsidP="002E2B73">
            <w:pPr>
              <w:spacing w:line="480" w:lineRule="auto"/>
              <w:jc w:val="center"/>
              <w:rPr>
                <w:b/>
                <w:bCs/>
                <w:iCs/>
                <w:sz w:val="16"/>
                <w:szCs w:val="16"/>
              </w:rPr>
            </w:pPr>
            <w:r w:rsidRPr="00635056">
              <w:rPr>
                <w:b/>
                <w:bCs/>
                <w:iCs/>
                <w:sz w:val="16"/>
                <w:szCs w:val="16"/>
              </w:rPr>
              <w:t>(±0.2)</w:t>
            </w:r>
          </w:p>
          <w:p w:rsidR="004836F2" w:rsidRPr="00B328E3" w:rsidRDefault="004836F2" w:rsidP="002E2B73">
            <w:pPr>
              <w:spacing w:line="480" w:lineRule="auto"/>
              <w:jc w:val="center"/>
              <w:rPr>
                <w:bCs/>
                <w:i/>
                <w:iCs/>
                <w:sz w:val="16"/>
                <w:szCs w:val="16"/>
              </w:rPr>
            </w:pPr>
            <w:r w:rsidRPr="00B328E3">
              <w:rPr>
                <w:bCs/>
                <w:i/>
                <w:iCs/>
                <w:sz w:val="16"/>
                <w:szCs w:val="16"/>
              </w:rPr>
              <w:t>(±3)</w:t>
            </w:r>
          </w:p>
        </w:tc>
        <w:tc>
          <w:tcPr>
            <w:tcW w:w="0" w:type="auto"/>
            <w:tcBorders>
              <w:bottom w:val="single" w:sz="4" w:space="0" w:color="auto"/>
            </w:tcBorders>
            <w:hideMark/>
          </w:tcPr>
          <w:p w:rsidR="004836F2" w:rsidRDefault="004836F2" w:rsidP="002E2B73">
            <w:pPr>
              <w:spacing w:line="480" w:lineRule="auto"/>
              <w:jc w:val="center"/>
              <w:rPr>
                <w:bCs/>
                <w:iCs/>
                <w:sz w:val="16"/>
                <w:szCs w:val="16"/>
              </w:rPr>
            </w:pPr>
            <w:r>
              <w:rPr>
                <w:bCs/>
                <w:iCs/>
                <w:sz w:val="16"/>
                <w:szCs w:val="16"/>
              </w:rPr>
              <w:t>1.85</w:t>
            </w:r>
          </w:p>
          <w:p w:rsidR="004836F2" w:rsidRDefault="004836F2" w:rsidP="002E2B73">
            <w:pPr>
              <w:spacing w:line="480" w:lineRule="auto"/>
              <w:jc w:val="center"/>
              <w:rPr>
                <w:b/>
                <w:bCs/>
                <w:iCs/>
                <w:sz w:val="16"/>
                <w:szCs w:val="16"/>
              </w:rPr>
            </w:pPr>
            <w:r w:rsidRPr="00635056">
              <w:rPr>
                <w:b/>
                <w:bCs/>
                <w:iCs/>
                <w:sz w:val="16"/>
                <w:szCs w:val="16"/>
              </w:rPr>
              <w:t>(±0.05)</w:t>
            </w:r>
          </w:p>
          <w:p w:rsidR="004836F2" w:rsidRPr="00B328E3" w:rsidRDefault="004836F2" w:rsidP="002E2B73">
            <w:pPr>
              <w:spacing w:line="480" w:lineRule="auto"/>
              <w:jc w:val="center"/>
              <w:rPr>
                <w:bCs/>
                <w:iCs/>
                <w:sz w:val="16"/>
                <w:szCs w:val="16"/>
              </w:rPr>
            </w:pPr>
            <w:r w:rsidRPr="00B328E3">
              <w:rPr>
                <w:bCs/>
                <w:iCs/>
                <w:sz w:val="16"/>
                <w:szCs w:val="16"/>
              </w:rPr>
              <w:t>(±0.0</w:t>
            </w:r>
            <w:r>
              <w:rPr>
                <w:bCs/>
                <w:iCs/>
                <w:sz w:val="16"/>
                <w:szCs w:val="16"/>
              </w:rPr>
              <w:t>2</w:t>
            </w:r>
            <w:r w:rsidRPr="00B328E3">
              <w:rPr>
                <w:bCs/>
                <w:iCs/>
                <w:sz w:val="16"/>
                <w:szCs w:val="16"/>
              </w:rPr>
              <w:t>)</w:t>
            </w:r>
          </w:p>
        </w:tc>
      </w:tr>
    </w:tbl>
    <w:p w:rsidR="00956B80" w:rsidRDefault="00956B80" w:rsidP="00956B80">
      <w:pPr>
        <w:spacing w:line="480" w:lineRule="auto"/>
        <w:rPr>
          <w:bCs/>
        </w:rPr>
      </w:pPr>
    </w:p>
    <w:p w:rsidR="00956B80" w:rsidRDefault="0075172E" w:rsidP="00BD4C6E">
      <w:pPr>
        <w:spacing w:line="480" w:lineRule="auto"/>
        <w:jc w:val="both"/>
        <w:rPr>
          <w:bCs/>
        </w:rPr>
      </w:pPr>
      <w:r>
        <w:rPr>
          <w:bCs/>
        </w:rPr>
        <w:fldChar w:fldCharType="begin"/>
      </w:r>
      <w:r w:rsidR="00AF3E73">
        <w:rPr>
          <w:bCs/>
        </w:rPr>
        <w:instrText xml:space="preserve"> REF _Ref442980349 \h </w:instrText>
      </w:r>
      <w:r>
        <w:rPr>
          <w:bCs/>
        </w:rPr>
      </w:r>
      <w:r>
        <w:rPr>
          <w:bCs/>
        </w:rPr>
        <w:fldChar w:fldCharType="separate"/>
      </w:r>
      <w:r w:rsidR="00CB4EDC">
        <w:t xml:space="preserve">Table </w:t>
      </w:r>
      <w:r w:rsidR="00CB4EDC">
        <w:rPr>
          <w:noProof/>
        </w:rPr>
        <w:t>5</w:t>
      </w:r>
      <w:r w:rsidR="00CB4EDC">
        <w:t>.</w:t>
      </w:r>
      <w:r w:rsidR="00CB4EDC">
        <w:rPr>
          <w:noProof/>
        </w:rPr>
        <w:t>1</w:t>
      </w:r>
      <w:r>
        <w:rPr>
          <w:bCs/>
        </w:rPr>
        <w:fldChar w:fldCharType="end"/>
      </w:r>
      <w:r w:rsidR="00AF3E73">
        <w:rPr>
          <w:bCs/>
        </w:rPr>
        <w:t xml:space="preserve"> </w:t>
      </w:r>
      <w:r w:rsidR="00956B80">
        <w:rPr>
          <w:bCs/>
        </w:rPr>
        <w:t xml:space="preserve">shows the thermodynamic parameters calculated using the one site binding model using both cITC and iITC. Both techniques produced thermodynamic data that showed the interaction was exothermic with a favourable contribution of </w:t>
      </w:r>
      <w:r w:rsidR="001D171F">
        <w:rPr>
          <w:bCs/>
        </w:rPr>
        <w:t>T</w:t>
      </w:r>
      <w:r w:rsidR="001D171F" w:rsidRPr="001D171F">
        <w:rPr>
          <w:rFonts w:eastAsiaTheme="minorEastAsia"/>
        </w:rPr>
        <w:t>Δ</w:t>
      </w:r>
      <w:r w:rsidR="001D171F">
        <w:rPr>
          <w:rFonts w:eastAsiaTheme="minorEastAsia"/>
          <w:i/>
        </w:rPr>
        <w:t>S</w:t>
      </w:r>
      <w:r w:rsidR="001D171F">
        <w:rPr>
          <w:bCs/>
        </w:rPr>
        <w:t xml:space="preserve"> </w:t>
      </w:r>
      <w:r w:rsidR="00956B80">
        <w:rPr>
          <w:bCs/>
        </w:rPr>
        <w:t xml:space="preserve">yielding a strong </w:t>
      </w:r>
      <w:r w:rsidR="001D171F" w:rsidRPr="001D171F">
        <w:rPr>
          <w:rFonts w:eastAsiaTheme="minorEastAsia"/>
        </w:rPr>
        <w:t>Δ</w:t>
      </w:r>
      <w:r w:rsidR="001D171F">
        <w:rPr>
          <w:rFonts w:eastAsiaTheme="minorEastAsia"/>
          <w:i/>
        </w:rPr>
        <w:t>G</w:t>
      </w:r>
      <w:r w:rsidR="00956B80">
        <w:rPr>
          <w:bCs/>
        </w:rPr>
        <w:t xml:space="preserve">. The stoichiometry suggested the binding was 2 for both techniques used. </w:t>
      </w:r>
      <w:r w:rsidR="00140CA5">
        <w:rPr>
          <w:bCs/>
        </w:rPr>
        <w:t>However,</w:t>
      </w:r>
      <w:r w:rsidR="00956B80">
        <w:rPr>
          <w:bCs/>
        </w:rPr>
        <w:t xml:space="preserve"> the values do deviate. This could possibly be due to the technical limitations of using cITC to measure the thermodynamics of a multisite binding interaction accompanied by a precipitation reaction. </w:t>
      </w:r>
      <w:r w:rsidR="00A25C95">
        <w:rPr>
          <w:bCs/>
        </w:rPr>
        <w:t xml:space="preserve">Markova and Hallèn state </w:t>
      </w:r>
      <w:r w:rsidR="00F87987">
        <w:rPr>
          <w:bCs/>
        </w:rPr>
        <w:t>that a</w:t>
      </w:r>
      <w:r w:rsidR="00956B80">
        <w:rPr>
          <w:bCs/>
        </w:rPr>
        <w:t xml:space="preserve">ccurate thermodynamic analysis of cITC data is only correct when the titration is performed at quasi-equilibrium. For this to occur certain prerequisites have to be met. Firstly, the temperature has to be homogenous over the entire sample. It could be argued, however unlikely, that this is not </w:t>
      </w:r>
      <w:r w:rsidR="00956B80">
        <w:rPr>
          <w:bCs/>
        </w:rPr>
        <w:lastRenderedPageBreak/>
        <w:t xml:space="preserve">possible due to the formation of particles. Secondly, </w:t>
      </w:r>
      <w:r w:rsidR="00395541">
        <w:rPr>
          <w:bCs/>
        </w:rPr>
        <w:t xml:space="preserve">it has been argued that </w:t>
      </w:r>
      <w:r w:rsidR="00956B80">
        <w:rPr>
          <w:bCs/>
        </w:rPr>
        <w:t>this method is not suitable for investigating interactions with slow binding kinetics.</w:t>
      </w:r>
      <w:hyperlink w:anchor="_ENREF_288" w:tooltip="Markova, 2004 #637" w:history="1">
        <w:r w:rsidR="00512D09">
          <w:rPr>
            <w:bCs/>
          </w:rPr>
          <w:fldChar w:fldCharType="begin"/>
        </w:r>
        <w:r w:rsidR="00512D09">
          <w:rPr>
            <w:bCs/>
          </w:rPr>
          <w:instrText xml:space="preserve"> ADDIN EN.CITE &lt;EndNote&gt;&lt;Cite&gt;&lt;Author&gt;Markova&lt;/Author&gt;&lt;Year&gt;2004&lt;/Year&gt;&lt;RecNum&gt;637&lt;/RecNum&gt;&lt;DisplayText&gt;&lt;style face="superscript"&gt;288&lt;/style&gt;&lt;/DisplayText&gt;&lt;record&gt;&lt;rec-number&gt;637&lt;/rec-number&gt;&lt;foreign-keys&gt;&lt;key app="EN" db-id="5trrespwzsdr07efd5tx2w96x22re9s0fsdt"&gt;637&lt;/key&gt;&lt;/foreign-keys&gt;&lt;ref-type name="Journal Article"&gt;17&lt;/ref-type&gt;&lt;contributors&gt;&lt;authors&gt;&lt;author&gt;Markova, Natalia&lt;/author&gt;&lt;author&gt;Hallén, Dan&lt;/author&gt;&lt;/authors&gt;&lt;/contributors&gt;&lt;titles&gt;&lt;title&gt;The development of a continuous isothermal titration calorimetric method for equilibrium studies&lt;/title&gt;&lt;secondary-title&gt;Analytical biochemistry&lt;/secondary-title&gt;&lt;/titles&gt;&lt;periodical&gt;&lt;full-title&gt;Analytical biochemistry&lt;/full-title&gt;&lt;/periodical&gt;&lt;pages&gt;77-88&lt;/pages&gt;&lt;volume&gt;331&lt;/volume&gt;&lt;number&gt;1&lt;/number&gt;&lt;dates&gt;&lt;year&gt;2004&lt;/year&gt;&lt;/dates&gt;&lt;isbn&gt;0003-2697&lt;/isbn&gt;&lt;urls&gt;&lt;related-urls&gt;&lt;url&gt;http://www.sciencedirect.com/science/article/pii/S0003269704002544&lt;/url&gt;&lt;/related-urls&gt;&lt;/urls&gt;&lt;electronic-resource-num&gt;http://dx.doi.org/10.1016/j.ab.2004.03.022&lt;/electronic-resource-num&gt;&lt;/record&gt;&lt;/Cite&gt;&lt;/EndNote&gt;</w:instrText>
        </w:r>
        <w:r w:rsidR="00512D09">
          <w:rPr>
            <w:bCs/>
          </w:rPr>
          <w:fldChar w:fldCharType="separate"/>
        </w:r>
        <w:r w:rsidR="00512D09" w:rsidRPr="006421D1">
          <w:rPr>
            <w:bCs/>
            <w:noProof/>
            <w:vertAlign w:val="superscript"/>
          </w:rPr>
          <w:t>288</w:t>
        </w:r>
        <w:r w:rsidR="00512D09">
          <w:rPr>
            <w:bCs/>
          </w:rPr>
          <w:fldChar w:fldCharType="end"/>
        </w:r>
      </w:hyperlink>
      <w:r w:rsidR="00956B80">
        <w:rPr>
          <w:bCs/>
        </w:rPr>
        <w:t xml:space="preserve"> </w:t>
      </w:r>
      <w:r>
        <w:rPr>
          <w:bCs/>
        </w:rPr>
        <w:fldChar w:fldCharType="begin"/>
      </w:r>
      <w:r w:rsidR="00BD4C6E">
        <w:rPr>
          <w:bCs/>
        </w:rPr>
        <w:instrText xml:space="preserve"> REF _Ref443254634 \h </w:instrText>
      </w:r>
      <w:r>
        <w:rPr>
          <w:bCs/>
        </w:rPr>
      </w:r>
      <w:r>
        <w:rPr>
          <w:bCs/>
        </w:rPr>
        <w:fldChar w:fldCharType="separate"/>
      </w:r>
      <w:r w:rsidR="00CB4EDC">
        <w:t xml:space="preserve">Figure </w:t>
      </w:r>
      <w:r w:rsidR="00CB4EDC">
        <w:rPr>
          <w:noProof/>
        </w:rPr>
        <w:t>5</w:t>
      </w:r>
      <w:r w:rsidR="00CB4EDC">
        <w:t>.</w:t>
      </w:r>
      <w:r w:rsidR="00CB4EDC">
        <w:rPr>
          <w:noProof/>
        </w:rPr>
        <w:t>5</w:t>
      </w:r>
      <w:r>
        <w:rPr>
          <w:bCs/>
        </w:rPr>
        <w:fldChar w:fldCharType="end"/>
      </w:r>
      <w:r w:rsidR="00BD4C6E">
        <w:rPr>
          <w:bCs/>
        </w:rPr>
        <w:t xml:space="preserve"> </w:t>
      </w:r>
      <w:r w:rsidR="00956B80">
        <w:rPr>
          <w:bCs/>
        </w:rPr>
        <w:t>shows the thermogram for the interaction between phytate and lysozyme at 40</w:t>
      </w:r>
      <w:r w:rsidR="00956B80">
        <w:rPr>
          <w:bCs/>
        </w:rPr>
        <w:sym w:font="Mathematica1" w:char="F0B0"/>
      </w:r>
      <w:r w:rsidR="00956B80">
        <w:rPr>
          <w:bCs/>
        </w:rPr>
        <w:t xml:space="preserve">C. The upward drift in the baseline after approximately 2000 seconds is most likely due to slow dissociation kinetics, that the phytate-lysozyme interaction has a slow </w:t>
      </w:r>
      <w:r w:rsidR="00956B80" w:rsidRPr="00997D36">
        <w:rPr>
          <w:b/>
          <w:bCs/>
          <w:i/>
        </w:rPr>
        <w:t>k</w:t>
      </w:r>
      <w:r w:rsidR="00956B80" w:rsidRPr="00997D36">
        <w:rPr>
          <w:b/>
          <w:bCs/>
          <w:vertAlign w:val="subscript"/>
        </w:rPr>
        <w:t>off</w:t>
      </w:r>
      <w:r w:rsidR="00956B80" w:rsidRPr="00997D36">
        <w:rPr>
          <w:b/>
          <w:bCs/>
        </w:rPr>
        <w:t xml:space="preserve"> </w:t>
      </w:r>
      <w:r w:rsidR="00956B80">
        <w:rPr>
          <w:bCs/>
        </w:rPr>
        <w:t>rate. This could account for the discrepancy in the thermodynamic data for the two techniques. Another issue could be due to the purity of both the lysozyme and sodium phytate preparation. The lysozyme was not dialysed in this study and perhaps more importantly, the sodium phytate has a purity of around 80%. Food chemists routinely use ITC to investigate the binding thermodynamics of mixed preparations and proteins. For example, binding thermodynamics between tannins of differing molecular weights and proteins have been resolved using ITC.</w:t>
      </w:r>
      <w:hyperlink w:anchor="_ENREF_220" w:tooltip="McRae, 2010 #408" w:history="1">
        <w:r w:rsidR="00512D09">
          <w:rPr>
            <w:bCs/>
          </w:rPr>
          <w:fldChar w:fldCharType="begin"/>
        </w:r>
        <w:r w:rsidR="00512D09">
          <w:rPr>
            <w:bCs/>
          </w:rPr>
          <w:instrText xml:space="preserve"> ADDIN EN.CITE &lt;EndNote&gt;&lt;Cite&gt;&lt;Author&gt;McRae&lt;/Author&gt;&lt;Year&gt;2010&lt;/Year&gt;&lt;RecNum&gt;408&lt;/RecNum&gt;&lt;DisplayText&gt;&lt;style face="superscript"&gt;220&lt;/style&gt;&lt;/DisplayText&gt;&lt;record&gt;&lt;rec-number&gt;408&lt;/rec-number&gt;&lt;foreign-keys&gt;&lt;key app="EN" db-id="5trrespwzsdr07efd5tx2w96x22re9s0fsdt"&gt;408&lt;/key&gt;&lt;/foreign-keys&gt;&lt;ref-type name="Journal Article"&gt;17&lt;/ref-type&gt;&lt;contributors&gt;&lt;authors&gt;&lt;author&gt;McRae, Jacqui M.&lt;/author&gt;&lt;author&gt;Falconer, Robert J.&lt;/author&gt;&lt;author&gt;Kennedy, James A.&lt;/author&gt;&lt;/authors&gt;&lt;/contributors&gt;&lt;titles&gt;&lt;title&gt;Thermodynamics of Grape and Wine Tannin Interaction with Polyproline: Implications for Red Wine Astringency&lt;/title&gt;&lt;secondary-title&gt;Journal of Agricultural and Food Chemistry&lt;/secondary-title&gt;&lt;/titles&gt;&lt;periodical&gt;&lt;full-title&gt;Journal of Agricultural and Food Chemistry&lt;/full-title&gt;&lt;/periodical&gt;&lt;pages&gt;12510-12518&lt;/pages&gt;&lt;volume&gt;58&lt;/volume&gt;&lt;number&gt;23&lt;/number&gt;&lt;dates&gt;&lt;year&gt;2010&lt;/year&gt;&lt;pub-dates&gt;&lt;date&gt;2010/12/08&lt;/date&gt;&lt;/pub-dates&gt;&lt;/dates&gt;&lt;publisher&gt;American Chemical Society&lt;/publisher&gt;&lt;isbn&gt;0021-8561&lt;/isbn&gt;&lt;urls&gt;&lt;related-urls&gt;&lt;url&gt;http://dx.doi.org/10.1021/jf1030967&lt;/url&gt;&lt;/related-urls&gt;&lt;/urls&gt;&lt;electronic-resource-num&gt;10.1021/jf1030967&lt;/electronic-resource-num&gt;&lt;access-date&gt;2014/09/22&lt;/access-date&gt;&lt;/record&gt;&lt;/Cite&gt;&lt;/EndNote&gt;</w:instrText>
        </w:r>
        <w:r w:rsidR="00512D09">
          <w:rPr>
            <w:bCs/>
          </w:rPr>
          <w:fldChar w:fldCharType="separate"/>
        </w:r>
        <w:r w:rsidR="00512D09" w:rsidRPr="006421D1">
          <w:rPr>
            <w:bCs/>
            <w:noProof/>
            <w:vertAlign w:val="superscript"/>
          </w:rPr>
          <w:t>220</w:t>
        </w:r>
        <w:r w:rsidR="00512D09">
          <w:rPr>
            <w:bCs/>
          </w:rPr>
          <w:fldChar w:fldCharType="end"/>
        </w:r>
      </w:hyperlink>
      <w:r w:rsidR="00956B80">
        <w:rPr>
          <w:bCs/>
        </w:rPr>
        <w:t xml:space="preserve"> This approach yields thermodynamic data that can be better interpreted in actuality. Sodium phytate better resembles the form found in rice. Therefore using this preparation is the first step in producing assays that could be utilised for determining the antinutritional effects of this molecule.      </w:t>
      </w:r>
    </w:p>
    <w:p w:rsidR="00956B80" w:rsidRDefault="00956B80" w:rsidP="00956B80">
      <w:pPr>
        <w:spacing w:line="480" w:lineRule="auto"/>
        <w:jc w:val="both"/>
        <w:rPr>
          <w:bCs/>
        </w:rPr>
      </w:pPr>
      <w:r w:rsidRPr="00B054DD">
        <w:rPr>
          <w:bCs/>
        </w:rPr>
        <w:t xml:space="preserve">Although both techniques gave somewhat comparable thermodynamic data, the initial aim was to discern the thermodynamics between the differing sites. </w:t>
      </w:r>
      <w:r>
        <w:rPr>
          <w:bCs/>
        </w:rPr>
        <w:t xml:space="preserve">However, the binding isotherm does not show two different sites at 2 molar ratios. </w:t>
      </w:r>
      <w:r w:rsidRPr="00B054DD">
        <w:rPr>
          <w:bCs/>
        </w:rPr>
        <w:t xml:space="preserve">This could be due to two different reasons. </w:t>
      </w:r>
      <w:r w:rsidR="005529BE" w:rsidRPr="00B054DD">
        <w:rPr>
          <w:bCs/>
        </w:rPr>
        <w:t>CITC</w:t>
      </w:r>
      <w:r w:rsidR="005529BE">
        <w:rPr>
          <w:bCs/>
        </w:rPr>
        <w:t>,</w:t>
      </w:r>
      <w:r w:rsidRPr="00B054DD">
        <w:rPr>
          <w:bCs/>
        </w:rPr>
        <w:t xml:space="preserve"> despite using hundreds of injections</w:t>
      </w:r>
      <w:r w:rsidR="00AB2606">
        <w:rPr>
          <w:bCs/>
        </w:rPr>
        <w:t>,</w:t>
      </w:r>
      <w:r w:rsidRPr="00B054DD">
        <w:rPr>
          <w:bCs/>
        </w:rPr>
        <w:t xml:space="preserve"> is unable to discriminate between binding sites. Alternatively, the binding sites for phytate are so similar in terms of their energetics there is not a comparable difference. The second scenario is likely given the chemistry of suggested binding sites on lysozyme for phytate. Both binding sites would likely be composed of positively charged regions on lysozyme. </w:t>
      </w:r>
      <w:r w:rsidR="00395541">
        <w:rPr>
          <w:bCs/>
        </w:rPr>
        <w:t>Previously it has been shown that i</w:t>
      </w:r>
      <w:r w:rsidRPr="00B054DD">
        <w:rPr>
          <w:bCs/>
        </w:rPr>
        <w:t xml:space="preserve">ncreasing the ionic strength of the buffer to 0.3 </w:t>
      </w:r>
      <w:r>
        <w:rPr>
          <w:bCs/>
        </w:rPr>
        <w:t>M</w:t>
      </w:r>
      <w:r w:rsidRPr="00B054DD">
        <w:rPr>
          <w:bCs/>
        </w:rPr>
        <w:t xml:space="preserve"> stopped the interaction between phytate and lysozyme suggesting the binding is purely electrostatic at both binding sites. Given that most likely the interaction is between positively charged regions on lysozyme </w:t>
      </w:r>
      <w:r w:rsidRPr="00B054DD">
        <w:rPr>
          <w:bCs/>
        </w:rPr>
        <w:lastRenderedPageBreak/>
        <w:t xml:space="preserve">and negatively charged phosphates on phytate it is also likely that the binding energetics are similar. </w:t>
      </w:r>
    </w:p>
    <w:p w:rsidR="00956B80" w:rsidRPr="009962F0" w:rsidRDefault="00956B80" w:rsidP="00956B80">
      <w:pPr>
        <w:spacing w:line="480" w:lineRule="auto"/>
        <w:jc w:val="both"/>
        <w:rPr>
          <w:rFonts w:eastAsiaTheme="minorEastAsia"/>
        </w:rPr>
      </w:pPr>
      <w:r>
        <w:rPr>
          <w:bCs/>
        </w:rPr>
        <w:t>To determine how salt could affect the shape of the binding isotherm, a cITC study was performed in the presence of 100 mM ammonium acetate (</w:t>
      </w:r>
      <w:r w:rsidR="0075172E">
        <w:rPr>
          <w:bCs/>
        </w:rPr>
        <w:fldChar w:fldCharType="begin"/>
      </w:r>
      <w:r>
        <w:rPr>
          <w:bCs/>
        </w:rPr>
        <w:instrText xml:space="preserve"> REF _Ref442888968 \h </w:instrText>
      </w:r>
      <w:r w:rsidR="0075172E">
        <w:rPr>
          <w:bCs/>
        </w:rPr>
      </w:r>
      <w:r w:rsidR="0075172E">
        <w:rPr>
          <w:bCs/>
        </w:rPr>
        <w:fldChar w:fldCharType="separate"/>
      </w:r>
      <w:r w:rsidR="00CB4EDC">
        <w:t xml:space="preserve">Figure </w:t>
      </w:r>
      <w:r w:rsidR="00CB4EDC">
        <w:rPr>
          <w:noProof/>
        </w:rPr>
        <w:t>5</w:t>
      </w:r>
      <w:r w:rsidR="00CB4EDC">
        <w:t>.</w:t>
      </w:r>
      <w:r w:rsidR="00CB4EDC">
        <w:rPr>
          <w:noProof/>
        </w:rPr>
        <w:t>6</w:t>
      </w:r>
      <w:r w:rsidR="0075172E">
        <w:rPr>
          <w:bCs/>
        </w:rPr>
        <w:fldChar w:fldCharType="end"/>
      </w:r>
      <w:r>
        <w:rPr>
          <w:bCs/>
        </w:rPr>
        <w:t xml:space="preserve">). The shapes of the two repeats look remarkably similar. </w:t>
      </w:r>
      <w:r w:rsidR="00CE1D49">
        <w:rPr>
          <w:bCs/>
        </w:rPr>
        <w:t>However,</w:t>
      </w:r>
      <w:r>
        <w:rPr>
          <w:bCs/>
        </w:rPr>
        <w:t xml:space="preserve"> there seems to be a change in the noise between the two cITC repeats.  It is also different from the shape of the cITC binding isotherm performed at 25</w:t>
      </w:r>
      <w:r w:rsidR="006F2757">
        <w:rPr>
          <w:bCs/>
        </w:rPr>
        <w:t xml:space="preserve"> </w:t>
      </w:r>
      <w:r>
        <w:rPr>
          <w:bCs/>
        </w:rPr>
        <w:t>°C (</w:t>
      </w:r>
      <w:r w:rsidR="0075172E">
        <w:rPr>
          <w:bCs/>
        </w:rPr>
        <w:fldChar w:fldCharType="begin"/>
      </w:r>
      <w:r>
        <w:rPr>
          <w:bCs/>
        </w:rPr>
        <w:instrText xml:space="preserve"> REF _Ref442889278 \h </w:instrText>
      </w:r>
      <w:r w:rsidR="0075172E">
        <w:rPr>
          <w:bCs/>
        </w:rPr>
      </w:r>
      <w:r w:rsidR="0075172E">
        <w:rPr>
          <w:bCs/>
        </w:rPr>
        <w:fldChar w:fldCharType="separate"/>
      </w:r>
      <w:r w:rsidR="00CB4EDC">
        <w:t xml:space="preserve">Figure </w:t>
      </w:r>
      <w:r w:rsidR="00CB4EDC">
        <w:rPr>
          <w:noProof/>
        </w:rPr>
        <w:t>5</w:t>
      </w:r>
      <w:r w:rsidR="00CB4EDC">
        <w:t>.</w:t>
      </w:r>
      <w:r w:rsidR="00CB4EDC">
        <w:rPr>
          <w:noProof/>
        </w:rPr>
        <w:t>7</w:t>
      </w:r>
      <w:r w:rsidR="0075172E">
        <w:rPr>
          <w:bCs/>
        </w:rPr>
        <w:fldChar w:fldCharType="end"/>
      </w:r>
      <w:r>
        <w:rPr>
          <w:bCs/>
        </w:rPr>
        <w:t>). The enthalpy of binding has also been dramatically reduced due to the increased ionic strength of the solution reducing the strength of the binding interaction. To determine the thermodynamic parameters both the one site model and the two site model were utilised for both titrations in 10 and 100 mM ammonium acetate at 25</w:t>
      </w:r>
      <w:r w:rsidR="006F2757">
        <w:rPr>
          <w:bCs/>
        </w:rPr>
        <w:t xml:space="preserve"> </w:t>
      </w:r>
      <w:r>
        <w:rPr>
          <w:bCs/>
        </w:rPr>
        <w:t>°C. For the titration in 100 mM acetate, the two site model</w:t>
      </w:r>
      <w:r w:rsidR="00C25E52">
        <w:rPr>
          <w:bCs/>
        </w:rPr>
        <w:t xml:space="preserve"> was fitted first but </w:t>
      </w:r>
      <w:r>
        <w:rPr>
          <w:bCs/>
        </w:rPr>
        <w:t>produced unrealistic thermodynamic values,</w:t>
      </w:r>
      <w:r w:rsidR="009B5CE6">
        <w:rPr>
          <w:bCs/>
        </w:rPr>
        <w:t xml:space="preserve"> such as a </w:t>
      </w:r>
      <w:r w:rsidR="009B5CE6" w:rsidRPr="001D171F">
        <w:rPr>
          <w:rFonts w:eastAsiaTheme="minorEastAsia"/>
        </w:rPr>
        <w:t>Δ</w:t>
      </w:r>
      <w:r w:rsidR="009B5CE6">
        <w:rPr>
          <w:rFonts w:eastAsiaTheme="minorEastAsia"/>
          <w:i/>
        </w:rPr>
        <w:t xml:space="preserve">H </w:t>
      </w:r>
      <w:r w:rsidR="009B5CE6">
        <w:rPr>
          <w:rFonts w:eastAsiaTheme="minorEastAsia"/>
        </w:rPr>
        <w:t xml:space="preserve">value for the second site of 74 kJ/mol, which is clearly inaccurate from the shape of the binding isotherm. </w:t>
      </w:r>
      <w:r w:rsidR="008019AE">
        <w:rPr>
          <w:rFonts w:eastAsiaTheme="minorEastAsia"/>
        </w:rPr>
        <w:t xml:space="preserve">This was despite the standard deviation around the fit being low at 0.996. Moreover, </w:t>
      </w:r>
      <w:r w:rsidR="0058642B">
        <w:rPr>
          <w:bCs/>
        </w:rPr>
        <w:t>χ</w:t>
      </w:r>
      <w:r w:rsidR="0058642B">
        <w:rPr>
          <w:bCs/>
          <w:vertAlign w:val="superscript"/>
        </w:rPr>
        <w:t>2</w:t>
      </w:r>
      <w:r w:rsidR="0058642B">
        <w:rPr>
          <w:bCs/>
        </w:rPr>
        <w:t xml:space="preserve"> ((</w:t>
      </w:r>
      <w:r w:rsidR="009962F0">
        <w:rPr>
          <w:bCs/>
        </w:rPr>
        <w:t>2756</w:t>
      </w:r>
      <w:r w:rsidR="0058642B">
        <w:rPr>
          <w:bCs/>
        </w:rPr>
        <w:t xml:space="preserve">) = </w:t>
      </w:r>
      <w:r w:rsidR="009962F0">
        <w:rPr>
          <w:rFonts w:eastAsiaTheme="minorEastAsia"/>
        </w:rPr>
        <w:t>0.009</w:t>
      </w:r>
      <w:r w:rsidR="0058642B">
        <w:rPr>
          <w:bCs/>
        </w:rPr>
        <w:t xml:space="preserve">, </w:t>
      </w:r>
      <w:r w:rsidR="0058642B" w:rsidRPr="00EC1DA6">
        <w:rPr>
          <w:bCs/>
          <w:i/>
        </w:rPr>
        <w:t>p</w:t>
      </w:r>
      <w:r w:rsidR="0058642B">
        <w:rPr>
          <w:bCs/>
          <w:i/>
        </w:rPr>
        <w:t xml:space="preserve"> </w:t>
      </w:r>
      <w:r w:rsidR="0058642B">
        <w:rPr>
          <w:rFonts w:ascii="Arial" w:hAnsi="Arial" w:cs="Arial"/>
          <w:color w:val="222222"/>
          <w:shd w:val="clear" w:color="auto" w:fill="FFFFFF"/>
        </w:rPr>
        <w:t>&lt;</w:t>
      </w:r>
      <w:r w:rsidR="0058642B" w:rsidRPr="0058642B">
        <w:rPr>
          <w:rFonts w:cs="Arial"/>
          <w:color w:val="222222"/>
          <w:shd w:val="clear" w:color="auto" w:fill="FFFFFF"/>
        </w:rPr>
        <w:t>0.5</w:t>
      </w:r>
      <w:r w:rsidR="0058642B">
        <w:rPr>
          <w:bCs/>
        </w:rPr>
        <w:t xml:space="preserve">.)  </w:t>
      </w:r>
      <w:r w:rsidR="008019AE">
        <w:rPr>
          <w:rFonts w:eastAsiaTheme="minorEastAsia"/>
        </w:rPr>
        <w:t xml:space="preserve">meaning the fit was good. </w:t>
      </w:r>
      <w:r>
        <w:rPr>
          <w:bCs/>
        </w:rPr>
        <w:t xml:space="preserve">Fitting a one site model by removing the data points below 1.3 molar ratios </w:t>
      </w:r>
      <w:r w:rsidR="00E71593">
        <w:rPr>
          <w:bCs/>
        </w:rPr>
        <w:t xml:space="preserve">provided the thermodynamic values in </w:t>
      </w:r>
      <w:r w:rsidR="0075172E">
        <w:rPr>
          <w:bCs/>
        </w:rPr>
        <w:fldChar w:fldCharType="begin"/>
      </w:r>
      <w:r w:rsidR="00D47E25">
        <w:rPr>
          <w:bCs/>
        </w:rPr>
        <w:instrText xml:space="preserve"> REF _Ref456893671 \h </w:instrText>
      </w:r>
      <w:r w:rsidR="0075172E">
        <w:rPr>
          <w:bCs/>
        </w:rPr>
      </w:r>
      <w:r w:rsidR="0075172E">
        <w:rPr>
          <w:bCs/>
        </w:rPr>
        <w:fldChar w:fldCharType="separate"/>
      </w:r>
      <w:r w:rsidR="00D47E25">
        <w:t xml:space="preserve">Table </w:t>
      </w:r>
      <w:r w:rsidR="00D47E25">
        <w:rPr>
          <w:noProof/>
        </w:rPr>
        <w:t>5</w:t>
      </w:r>
      <w:r w:rsidR="00D47E25">
        <w:t>.</w:t>
      </w:r>
      <w:r w:rsidR="00D47E25">
        <w:rPr>
          <w:noProof/>
        </w:rPr>
        <w:t>2</w:t>
      </w:r>
      <w:r w:rsidR="0075172E">
        <w:rPr>
          <w:bCs/>
        </w:rPr>
        <w:fldChar w:fldCharType="end"/>
      </w:r>
      <w:r w:rsidR="00D47E25">
        <w:rPr>
          <w:bCs/>
        </w:rPr>
        <w:t xml:space="preserve">. </w:t>
      </w:r>
    </w:p>
    <w:p w:rsidR="00E71593" w:rsidRDefault="00E71593" w:rsidP="00956B80">
      <w:pPr>
        <w:spacing w:line="480" w:lineRule="auto"/>
        <w:jc w:val="both"/>
        <w:rPr>
          <w:bCs/>
        </w:rPr>
      </w:pPr>
    </w:p>
    <w:p w:rsidR="00E71593" w:rsidRDefault="00E71593" w:rsidP="00956B80">
      <w:pPr>
        <w:spacing w:line="480" w:lineRule="auto"/>
        <w:jc w:val="both"/>
        <w:rPr>
          <w:bCs/>
        </w:rPr>
      </w:pPr>
    </w:p>
    <w:p w:rsidR="00E71593" w:rsidRDefault="00E71593" w:rsidP="00956B80">
      <w:pPr>
        <w:spacing w:line="480" w:lineRule="auto"/>
        <w:jc w:val="both"/>
        <w:rPr>
          <w:bCs/>
        </w:rPr>
      </w:pPr>
    </w:p>
    <w:p w:rsidR="00E71593" w:rsidRDefault="00E71593" w:rsidP="00956B80">
      <w:pPr>
        <w:spacing w:line="480" w:lineRule="auto"/>
        <w:jc w:val="both"/>
        <w:rPr>
          <w:bCs/>
        </w:rPr>
      </w:pPr>
    </w:p>
    <w:p w:rsidR="00E71593" w:rsidRDefault="00E71593" w:rsidP="00D47E25">
      <w:pPr>
        <w:pStyle w:val="Caption"/>
        <w:keepNext/>
        <w:spacing w:line="480" w:lineRule="auto"/>
        <w:jc w:val="center"/>
      </w:pPr>
      <w:bookmarkStart w:id="196" w:name="_Ref456893671"/>
      <w:r>
        <w:lastRenderedPageBreak/>
        <w:t xml:space="preserve">Table </w:t>
      </w:r>
      <w:r w:rsidR="0075172E">
        <w:fldChar w:fldCharType="begin"/>
      </w:r>
      <w:r w:rsidR="00AC2227">
        <w:instrText xml:space="preserve"> STYLEREF 1 \s </w:instrText>
      </w:r>
      <w:r w:rsidR="0075172E">
        <w:fldChar w:fldCharType="separate"/>
      </w:r>
      <w:r>
        <w:rPr>
          <w:noProof/>
        </w:rPr>
        <w:t>5</w:t>
      </w:r>
      <w:r w:rsidR="0075172E">
        <w:rPr>
          <w:noProof/>
        </w:rPr>
        <w:fldChar w:fldCharType="end"/>
      </w:r>
      <w:r>
        <w:t>.</w:t>
      </w:r>
      <w:r w:rsidR="0075172E">
        <w:fldChar w:fldCharType="begin"/>
      </w:r>
      <w:r>
        <w:instrText xml:space="preserve"> SEQ Table \* ARABIC \s 1 </w:instrText>
      </w:r>
      <w:r w:rsidR="0075172E">
        <w:fldChar w:fldCharType="separate"/>
      </w:r>
      <w:r>
        <w:rPr>
          <w:noProof/>
        </w:rPr>
        <w:t>2</w:t>
      </w:r>
      <w:r w:rsidR="0075172E">
        <w:fldChar w:fldCharType="end"/>
      </w:r>
      <w:bookmarkEnd w:id="196"/>
      <w:r>
        <w:t xml:space="preserve">: Thermodynamic parameters calculated using the one site </w:t>
      </w:r>
      <w:r w:rsidR="00D47E25">
        <w:t xml:space="preserve">binding </w:t>
      </w:r>
      <w:r>
        <w:t>model for the interaction with 6 mM sodium phytate and 0.4 mM lysozyme at pH 4 in 10</w:t>
      </w:r>
      <w:r w:rsidR="00D47E25">
        <w:t>0</w:t>
      </w:r>
      <w:r>
        <w:t xml:space="preserve"> mM ammonium acetate at 25 °C </w:t>
      </w:r>
      <w:r w:rsidR="00D47E25">
        <w:t xml:space="preserve">using cITC. </w:t>
      </w:r>
      <w:r>
        <w:rPr>
          <w:iCs/>
        </w:rPr>
        <w:t>The standard error (bold) and the confidence intervals (italics) are in brackets.</w:t>
      </w:r>
    </w:p>
    <w:tbl>
      <w:tblPr>
        <w:tblStyle w:val="TableGrid"/>
        <w:tblW w:w="0" w:type="auto"/>
        <w:jc w:val="center"/>
        <w:tblBorders>
          <w:left w:val="none" w:sz="0" w:space="0" w:color="auto"/>
          <w:right w:val="none" w:sz="0" w:space="0" w:color="auto"/>
          <w:insideV w:val="none" w:sz="0" w:space="0" w:color="auto"/>
        </w:tblBorders>
        <w:tblLook w:val="0420" w:firstRow="1" w:lastRow="0" w:firstColumn="0" w:lastColumn="0" w:noHBand="0" w:noVBand="1"/>
      </w:tblPr>
      <w:tblGrid>
        <w:gridCol w:w="770"/>
        <w:gridCol w:w="770"/>
        <w:gridCol w:w="770"/>
        <w:gridCol w:w="1150"/>
      </w:tblGrid>
      <w:tr w:rsidR="00D47E25" w:rsidRPr="00A87788" w:rsidTr="0000592E">
        <w:trPr>
          <w:trHeight w:val="584"/>
          <w:jc w:val="center"/>
        </w:trPr>
        <w:tc>
          <w:tcPr>
            <w:tcW w:w="0" w:type="auto"/>
          </w:tcPr>
          <w:p w:rsidR="00D47E25" w:rsidRPr="00A87788" w:rsidRDefault="00D47E25" w:rsidP="00D47E25">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8C3F05">
              <w:rPr>
                <w:b/>
                <w:bCs/>
                <w:i/>
                <w:sz w:val="16"/>
                <w:szCs w:val="16"/>
              </w:rPr>
              <w:t>H</w:t>
            </w:r>
            <w:r w:rsidRPr="00A87788">
              <w:rPr>
                <w:b/>
                <w:bCs/>
                <w:sz w:val="16"/>
                <w:szCs w:val="16"/>
              </w:rPr>
              <w:t xml:space="preserve"> </w:t>
            </w:r>
          </w:p>
          <w:p w:rsidR="00D47E25" w:rsidRPr="00A87788" w:rsidRDefault="00D47E25" w:rsidP="00D47E25">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Pr>
          <w:p w:rsidR="00D47E25" w:rsidRPr="00A87788" w:rsidRDefault="00D47E25" w:rsidP="00D47E25">
            <w:pPr>
              <w:spacing w:after="200" w:line="480" w:lineRule="auto"/>
              <w:jc w:val="center"/>
              <w:rPr>
                <w:b/>
                <w:bCs/>
                <w:sz w:val="16"/>
                <w:szCs w:val="16"/>
              </w:rPr>
            </w:pPr>
            <w:r w:rsidRPr="00A87788">
              <w:rPr>
                <w:b/>
                <w:bCs/>
                <w:sz w:val="16"/>
                <w:szCs w:val="16"/>
              </w:rPr>
              <w:t>- T</w:t>
            </w:r>
            <w:r w:rsidRPr="00A87788">
              <w:rPr>
                <w:b/>
                <w:bCs/>
                <w:sz w:val="16"/>
                <w:szCs w:val="16"/>
                <w:lang w:val="el-GR"/>
              </w:rPr>
              <w:t>Δ</w:t>
            </w:r>
            <w:r w:rsidRPr="008C3F05">
              <w:rPr>
                <w:b/>
                <w:bCs/>
                <w:i/>
                <w:sz w:val="16"/>
                <w:szCs w:val="16"/>
              </w:rPr>
              <w:t>S</w:t>
            </w:r>
            <w:r w:rsidRPr="00A87788">
              <w:rPr>
                <w:b/>
                <w:bCs/>
                <w:sz w:val="16"/>
                <w:szCs w:val="16"/>
              </w:rPr>
              <w:t xml:space="preserve"> </w:t>
            </w:r>
          </w:p>
          <w:p w:rsidR="00D47E25" w:rsidRPr="00A87788" w:rsidRDefault="00D47E25" w:rsidP="00D47E25">
            <w:pPr>
              <w:spacing w:after="200" w:line="480" w:lineRule="auto"/>
              <w:jc w:val="center"/>
              <w:rPr>
                <w:b/>
                <w:bCs/>
                <w:sz w:val="16"/>
                <w:szCs w:val="16"/>
              </w:rPr>
            </w:pPr>
            <w:r>
              <w:rPr>
                <w:b/>
                <w:bCs/>
                <w:sz w:val="16"/>
                <w:szCs w:val="16"/>
              </w:rPr>
              <w:t>(</w:t>
            </w:r>
            <w:r w:rsidRPr="00A87788">
              <w:rPr>
                <w:b/>
                <w:bCs/>
                <w:sz w:val="16"/>
                <w:szCs w:val="16"/>
              </w:rPr>
              <w:t>kJ/mo</w:t>
            </w:r>
            <w:r>
              <w:rPr>
                <w:b/>
                <w:bCs/>
                <w:sz w:val="16"/>
                <w:szCs w:val="16"/>
              </w:rPr>
              <w:t>l)</w:t>
            </w:r>
          </w:p>
        </w:tc>
        <w:tc>
          <w:tcPr>
            <w:tcW w:w="0" w:type="auto"/>
          </w:tcPr>
          <w:p w:rsidR="00D47E25" w:rsidRPr="00A87788" w:rsidRDefault="00D47E25" w:rsidP="00D47E25">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8C3F05">
              <w:rPr>
                <w:b/>
                <w:bCs/>
                <w:i/>
                <w:sz w:val="16"/>
                <w:szCs w:val="16"/>
              </w:rPr>
              <w:t>G</w:t>
            </w:r>
          </w:p>
          <w:p w:rsidR="00D47E25" w:rsidRPr="00A87788" w:rsidRDefault="00D47E25" w:rsidP="00D47E25">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Pr>
          <w:p w:rsidR="00D47E25" w:rsidRDefault="00D47E25" w:rsidP="00D47E25">
            <w:pPr>
              <w:spacing w:after="200" w:line="480" w:lineRule="auto"/>
              <w:jc w:val="center"/>
              <w:rPr>
                <w:b/>
                <w:bCs/>
                <w:sz w:val="16"/>
                <w:szCs w:val="16"/>
              </w:rPr>
            </w:pPr>
            <w:r w:rsidRPr="00A87788">
              <w:rPr>
                <w:b/>
                <w:bCs/>
                <w:sz w:val="16"/>
                <w:szCs w:val="16"/>
              </w:rPr>
              <w:t>Stoichiometry</w:t>
            </w:r>
          </w:p>
          <w:p w:rsidR="00D47E25" w:rsidRPr="00A87788" w:rsidRDefault="00D47E25" w:rsidP="00D47E25">
            <w:pPr>
              <w:spacing w:after="200" w:line="480" w:lineRule="auto"/>
              <w:jc w:val="center"/>
              <w:rPr>
                <w:b/>
                <w:bCs/>
                <w:sz w:val="16"/>
                <w:szCs w:val="16"/>
              </w:rPr>
            </w:pPr>
            <w:r>
              <w:rPr>
                <w:b/>
                <w:bCs/>
                <w:sz w:val="16"/>
                <w:szCs w:val="16"/>
              </w:rPr>
              <w:t>n</w:t>
            </w:r>
            <w:r w:rsidRPr="00525BCC">
              <w:rPr>
                <w:b/>
                <w:bCs/>
                <w:sz w:val="16"/>
                <w:szCs w:val="16"/>
                <w:vertAlign w:val="subscript"/>
              </w:rPr>
              <w:t>2</w:t>
            </w:r>
          </w:p>
        </w:tc>
      </w:tr>
      <w:tr w:rsidR="00D47E25" w:rsidRPr="00C61A94" w:rsidTr="0000592E">
        <w:trPr>
          <w:trHeight w:val="584"/>
          <w:jc w:val="center"/>
        </w:trPr>
        <w:tc>
          <w:tcPr>
            <w:tcW w:w="0" w:type="auto"/>
          </w:tcPr>
          <w:p w:rsidR="00D47E25" w:rsidRDefault="00D47E25" w:rsidP="00D47E25">
            <w:pPr>
              <w:spacing w:after="200" w:line="480" w:lineRule="auto"/>
              <w:jc w:val="center"/>
              <w:rPr>
                <w:bCs/>
                <w:sz w:val="16"/>
                <w:szCs w:val="16"/>
              </w:rPr>
            </w:pPr>
            <w:r w:rsidRPr="00525BCC">
              <w:rPr>
                <w:bCs/>
                <w:sz w:val="16"/>
                <w:szCs w:val="16"/>
              </w:rPr>
              <w:t>18.6</w:t>
            </w:r>
          </w:p>
          <w:p w:rsidR="00D47E25" w:rsidRPr="00C61A94" w:rsidRDefault="00D47E25" w:rsidP="00D47E25">
            <w:pPr>
              <w:spacing w:after="200" w:line="480" w:lineRule="auto"/>
              <w:jc w:val="center"/>
              <w:rPr>
                <w:b/>
                <w:bCs/>
                <w:iCs/>
                <w:sz w:val="16"/>
                <w:szCs w:val="16"/>
              </w:rPr>
            </w:pPr>
            <w:r w:rsidRPr="00C61A94">
              <w:rPr>
                <w:b/>
                <w:bCs/>
                <w:iCs/>
                <w:sz w:val="16"/>
                <w:szCs w:val="16"/>
              </w:rPr>
              <w:t>(±</w:t>
            </w:r>
            <w:r>
              <w:rPr>
                <w:b/>
                <w:bCs/>
                <w:iCs/>
                <w:sz w:val="16"/>
                <w:szCs w:val="16"/>
              </w:rPr>
              <w:t>1</w:t>
            </w:r>
            <w:r w:rsidRPr="00C61A94">
              <w:rPr>
                <w:b/>
                <w:bCs/>
                <w:iCs/>
                <w:sz w:val="16"/>
                <w:szCs w:val="16"/>
              </w:rPr>
              <w:t>)</w:t>
            </w:r>
          </w:p>
          <w:p w:rsidR="00D47E25" w:rsidRPr="00E71593" w:rsidRDefault="00D47E25" w:rsidP="00E71593">
            <w:pPr>
              <w:spacing w:after="200" w:line="480" w:lineRule="auto"/>
              <w:jc w:val="center"/>
              <w:rPr>
                <w:b/>
                <w:bCs/>
                <w:sz w:val="16"/>
                <w:szCs w:val="16"/>
              </w:rPr>
            </w:pPr>
            <w:r>
              <w:rPr>
                <w:bCs/>
                <w:i/>
                <w:iCs/>
                <w:sz w:val="16"/>
                <w:szCs w:val="16"/>
              </w:rPr>
              <w:t>(</w:t>
            </w:r>
            <w:r w:rsidRPr="00BC4A16">
              <w:rPr>
                <w:bCs/>
                <w:i/>
                <w:iCs/>
                <w:sz w:val="16"/>
                <w:szCs w:val="16"/>
              </w:rPr>
              <w:t>±</w:t>
            </w:r>
            <w:r>
              <w:rPr>
                <w:bCs/>
                <w:i/>
                <w:iCs/>
                <w:sz w:val="16"/>
                <w:szCs w:val="16"/>
              </w:rPr>
              <w:t>0.4)</w:t>
            </w:r>
          </w:p>
        </w:tc>
        <w:tc>
          <w:tcPr>
            <w:tcW w:w="0" w:type="auto"/>
          </w:tcPr>
          <w:p w:rsidR="00D47E25" w:rsidRDefault="00D47E25" w:rsidP="00D47E25">
            <w:pPr>
              <w:spacing w:after="200" w:line="480" w:lineRule="auto"/>
              <w:jc w:val="center"/>
              <w:rPr>
                <w:bCs/>
                <w:sz w:val="16"/>
                <w:szCs w:val="16"/>
              </w:rPr>
            </w:pPr>
            <w:r w:rsidRPr="00525BCC">
              <w:rPr>
                <w:bCs/>
                <w:sz w:val="16"/>
                <w:szCs w:val="16"/>
              </w:rPr>
              <w:t>-</w:t>
            </w:r>
            <w:r>
              <w:rPr>
                <w:bCs/>
                <w:sz w:val="16"/>
                <w:szCs w:val="16"/>
              </w:rPr>
              <w:t>6.8</w:t>
            </w:r>
          </w:p>
          <w:p w:rsidR="00D47E25" w:rsidRDefault="00D47E25" w:rsidP="00D47E25">
            <w:pPr>
              <w:spacing w:after="200" w:line="480" w:lineRule="auto"/>
              <w:jc w:val="center"/>
              <w:rPr>
                <w:b/>
                <w:bCs/>
                <w:iCs/>
                <w:sz w:val="16"/>
                <w:szCs w:val="16"/>
              </w:rPr>
            </w:pPr>
            <w:r w:rsidRPr="00C61A94">
              <w:rPr>
                <w:b/>
                <w:bCs/>
                <w:iCs/>
                <w:sz w:val="16"/>
                <w:szCs w:val="16"/>
              </w:rPr>
              <w:t>(±</w:t>
            </w:r>
            <w:r>
              <w:rPr>
                <w:b/>
                <w:bCs/>
                <w:iCs/>
                <w:sz w:val="16"/>
                <w:szCs w:val="16"/>
              </w:rPr>
              <w:t>1</w:t>
            </w:r>
            <w:r w:rsidRPr="00C61A94">
              <w:rPr>
                <w:b/>
                <w:bCs/>
                <w:iCs/>
                <w:sz w:val="16"/>
                <w:szCs w:val="16"/>
              </w:rPr>
              <w:t>)</w:t>
            </w:r>
          </w:p>
          <w:p w:rsidR="00D47E25" w:rsidRPr="00525BCC" w:rsidRDefault="00D47E25" w:rsidP="00D47E25">
            <w:pPr>
              <w:spacing w:after="200" w:line="480" w:lineRule="auto"/>
              <w:jc w:val="center"/>
              <w:rPr>
                <w:bCs/>
                <w:sz w:val="16"/>
                <w:szCs w:val="16"/>
              </w:rPr>
            </w:pPr>
          </w:p>
        </w:tc>
        <w:tc>
          <w:tcPr>
            <w:tcW w:w="0" w:type="auto"/>
          </w:tcPr>
          <w:p w:rsidR="00D47E25" w:rsidRDefault="00D47E25" w:rsidP="00D47E25">
            <w:pPr>
              <w:spacing w:after="200" w:line="480" w:lineRule="auto"/>
              <w:jc w:val="center"/>
              <w:rPr>
                <w:bCs/>
                <w:sz w:val="16"/>
                <w:szCs w:val="16"/>
              </w:rPr>
            </w:pPr>
            <w:r>
              <w:rPr>
                <w:bCs/>
                <w:sz w:val="16"/>
                <w:szCs w:val="16"/>
              </w:rPr>
              <w:t>25.1</w:t>
            </w:r>
          </w:p>
          <w:p w:rsidR="00D47E25" w:rsidRPr="00C61A94" w:rsidRDefault="00D47E25" w:rsidP="00D47E25">
            <w:pPr>
              <w:spacing w:after="200" w:line="480" w:lineRule="auto"/>
              <w:jc w:val="center"/>
              <w:rPr>
                <w:b/>
                <w:bCs/>
                <w:sz w:val="16"/>
                <w:szCs w:val="16"/>
              </w:rPr>
            </w:pPr>
            <w:r w:rsidRPr="00C61A94">
              <w:rPr>
                <w:b/>
                <w:bCs/>
                <w:iCs/>
                <w:sz w:val="16"/>
                <w:szCs w:val="16"/>
              </w:rPr>
              <w:t>(±0.</w:t>
            </w:r>
            <w:r>
              <w:rPr>
                <w:b/>
                <w:bCs/>
                <w:iCs/>
                <w:sz w:val="16"/>
                <w:szCs w:val="16"/>
              </w:rPr>
              <w:t>3</w:t>
            </w:r>
            <w:r w:rsidRPr="00C61A94">
              <w:rPr>
                <w:b/>
                <w:bCs/>
                <w:iCs/>
                <w:sz w:val="16"/>
                <w:szCs w:val="16"/>
              </w:rPr>
              <w:t>)</w:t>
            </w:r>
          </w:p>
          <w:p w:rsidR="00D47E25" w:rsidRPr="00525BCC" w:rsidRDefault="00D47E25" w:rsidP="00B91A41">
            <w:pPr>
              <w:spacing w:after="200" w:line="480" w:lineRule="auto"/>
              <w:jc w:val="center"/>
              <w:rPr>
                <w:bCs/>
                <w:sz w:val="16"/>
                <w:szCs w:val="16"/>
              </w:rPr>
            </w:pPr>
            <w:r w:rsidRPr="00BC4A16">
              <w:rPr>
                <w:bCs/>
                <w:i/>
                <w:iCs/>
                <w:sz w:val="16"/>
                <w:szCs w:val="16"/>
              </w:rPr>
              <w:t>(±</w:t>
            </w:r>
            <w:r>
              <w:rPr>
                <w:bCs/>
                <w:i/>
                <w:iCs/>
                <w:sz w:val="16"/>
                <w:szCs w:val="16"/>
              </w:rPr>
              <w:t>5</w:t>
            </w:r>
            <w:r w:rsidRPr="00BC4A16">
              <w:rPr>
                <w:bCs/>
                <w:i/>
                <w:iCs/>
                <w:sz w:val="16"/>
                <w:szCs w:val="16"/>
              </w:rPr>
              <w:t>)</w:t>
            </w:r>
          </w:p>
        </w:tc>
        <w:tc>
          <w:tcPr>
            <w:tcW w:w="0" w:type="auto"/>
          </w:tcPr>
          <w:p w:rsidR="00D47E25" w:rsidRDefault="00D47E25" w:rsidP="00D47E25">
            <w:pPr>
              <w:spacing w:after="200" w:line="480" w:lineRule="auto"/>
              <w:jc w:val="center"/>
              <w:rPr>
                <w:bCs/>
                <w:sz w:val="16"/>
                <w:szCs w:val="16"/>
              </w:rPr>
            </w:pPr>
            <w:r>
              <w:rPr>
                <w:bCs/>
                <w:sz w:val="16"/>
                <w:szCs w:val="16"/>
              </w:rPr>
              <w:t>2.4</w:t>
            </w:r>
          </w:p>
          <w:p w:rsidR="00D47E25" w:rsidRDefault="00D47E25" w:rsidP="00D47E25">
            <w:pPr>
              <w:spacing w:after="200" w:line="480" w:lineRule="auto"/>
              <w:jc w:val="center"/>
              <w:rPr>
                <w:bCs/>
                <w:i/>
                <w:iCs/>
                <w:sz w:val="16"/>
                <w:szCs w:val="16"/>
              </w:rPr>
            </w:pPr>
            <w:r w:rsidRPr="00C61A94">
              <w:rPr>
                <w:b/>
                <w:bCs/>
                <w:iCs/>
                <w:sz w:val="16"/>
                <w:szCs w:val="16"/>
              </w:rPr>
              <w:t>(±0)</w:t>
            </w:r>
          </w:p>
          <w:p w:rsidR="00D47E25" w:rsidRPr="00E71593" w:rsidRDefault="00D47E25" w:rsidP="00E71593">
            <w:pPr>
              <w:spacing w:after="200" w:line="480" w:lineRule="auto"/>
              <w:jc w:val="center"/>
              <w:rPr>
                <w:bCs/>
                <w:i/>
                <w:iCs/>
                <w:sz w:val="16"/>
                <w:szCs w:val="16"/>
              </w:rPr>
            </w:pPr>
            <w:r w:rsidRPr="00BC4A16">
              <w:rPr>
                <w:bCs/>
                <w:i/>
                <w:iCs/>
                <w:sz w:val="16"/>
                <w:szCs w:val="16"/>
              </w:rPr>
              <w:t>(±</w:t>
            </w:r>
            <w:r>
              <w:rPr>
                <w:bCs/>
                <w:i/>
                <w:iCs/>
                <w:sz w:val="16"/>
                <w:szCs w:val="16"/>
              </w:rPr>
              <w:t>0.03</w:t>
            </w:r>
            <w:r w:rsidRPr="00BC4A16">
              <w:rPr>
                <w:bCs/>
                <w:i/>
                <w:iCs/>
                <w:sz w:val="16"/>
                <w:szCs w:val="16"/>
              </w:rPr>
              <w:t>)</w:t>
            </w:r>
          </w:p>
        </w:tc>
      </w:tr>
    </w:tbl>
    <w:p w:rsidR="009B5CE6" w:rsidRDefault="00040F10" w:rsidP="00956B80">
      <w:pPr>
        <w:spacing w:line="480" w:lineRule="auto"/>
        <w:jc w:val="both"/>
        <w:rPr>
          <w:bCs/>
        </w:rPr>
      </w:pPr>
      <w:r>
        <w:rPr>
          <w:noProof/>
          <w:lang w:eastAsia="en-GB"/>
        </w:rPr>
        <w:pict>
          <v:shape id="_x0000_s1131" type="#_x0000_t202" style="position:absolute;left:0;text-align:left;margin-left:179.75pt;margin-top:33.65pt;width:87.05pt;height:17.6pt;z-index:251791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1">
              <w:txbxContent>
                <w:p w:rsidR="003A5686" w:rsidRPr="00B141B9" w:rsidRDefault="003A5686" w:rsidP="0098782E">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p>
    <w:p w:rsidR="00956B80" w:rsidRDefault="00040F10" w:rsidP="00956B80">
      <w:pPr>
        <w:keepNext/>
        <w:spacing w:line="480" w:lineRule="auto"/>
        <w:jc w:val="center"/>
      </w:pPr>
      <w:r>
        <w:rPr>
          <w:bCs/>
          <w:noProof/>
          <w:lang w:eastAsia="en-GB"/>
        </w:rPr>
        <w:pict>
          <v:shape id="_x0000_s1130" type="#_x0000_t202" style="position:absolute;left:0;text-align:left;margin-left:183.8pt;margin-top:253.75pt;width:87.05pt;height:17.6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0">
              <w:txbxContent>
                <w:p w:rsidR="003A5686" w:rsidRPr="00B141B9" w:rsidRDefault="003A5686" w:rsidP="0098782E">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noProof/>
          <w:lang w:eastAsia="en-GB"/>
        </w:rPr>
        <w:pict>
          <v:shape id="_x0000_s1125" type="#_x0000_t202" style="position:absolute;left:0;text-align:left;margin-left:1.3pt;margin-top:22.7pt;width:26.15pt;height:219.7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4411AE">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sidR="006F11A0">
        <w:rPr>
          <w:noProof/>
          <w:lang w:eastAsia="en-GB"/>
        </w:rPr>
        <w:drawing>
          <wp:inline distT="0" distB="0" distL="0" distR="0" wp14:anchorId="14CB992C" wp14:editId="61BFDC6A">
            <wp:extent cx="5205730" cy="339966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9" cstate="print"/>
                    <a:srcRect/>
                    <a:stretch>
                      <a:fillRect/>
                    </a:stretch>
                  </pic:blipFill>
                  <pic:spPr bwMode="auto">
                    <a:xfrm>
                      <a:off x="0" y="0"/>
                      <a:ext cx="5205730" cy="3399660"/>
                    </a:xfrm>
                    <a:prstGeom prst="rect">
                      <a:avLst/>
                    </a:prstGeom>
                    <a:noFill/>
                    <a:ln w="9525">
                      <a:noFill/>
                      <a:miter lim="800000"/>
                      <a:headEnd/>
                      <a:tailEnd/>
                    </a:ln>
                  </pic:spPr>
                </pic:pic>
              </a:graphicData>
            </a:graphic>
          </wp:inline>
        </w:drawing>
      </w:r>
    </w:p>
    <w:p w:rsidR="00956B80" w:rsidRDefault="00956B80" w:rsidP="00956B80">
      <w:pPr>
        <w:pStyle w:val="Caption"/>
        <w:spacing w:line="480" w:lineRule="auto"/>
        <w:jc w:val="center"/>
      </w:pPr>
      <w:bookmarkStart w:id="197" w:name="_Ref442888968"/>
      <w:r>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6</w:t>
      </w:r>
      <w:r w:rsidR="0075172E">
        <w:fldChar w:fldCharType="end"/>
      </w:r>
      <w:bookmarkEnd w:id="197"/>
      <w:r>
        <w:t xml:space="preserve">: Upper: Thermogram of 6 mM sodium phytate injected into 0.4 mM lysozyme in 100 mM ammonium acetate. Sodium phytate-lysozyme interaction (teal and red), phytate dilution (blue) and lysozyme dilution (black). cITC study of 6 mM sodium phytate injected into 0.4 mM lysozyme in 100 mM ammonium acetate. Sodium phytate-lysozyme interaction (teal and red), phytate dilution into ammonium acetate (blue) and ammonium acetate into lysozyme (black). </w:t>
      </w:r>
      <w:r w:rsidR="004E0F1C">
        <w:t>Solid line represents single site independent binding model fit.</w:t>
      </w:r>
    </w:p>
    <w:p w:rsidR="00BF3CC6" w:rsidRPr="00BF3CC6" w:rsidRDefault="00040F10" w:rsidP="00D47E25">
      <w:pPr>
        <w:spacing w:line="480" w:lineRule="auto"/>
        <w:jc w:val="both"/>
      </w:pPr>
      <w:r>
        <w:rPr>
          <w:noProof/>
          <w:lang w:eastAsia="en-GB"/>
        </w:rPr>
        <w:lastRenderedPageBreak/>
        <w:pict>
          <v:shape id="_x0000_s1132" type="#_x0000_t202" style="position:absolute;left:0;text-align:left;margin-left:180.4pt;margin-top:270.7pt;width:87.05pt;height:17.6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2">
              <w:txbxContent>
                <w:p w:rsidR="003A5686" w:rsidRPr="00B141B9" w:rsidRDefault="003A5686" w:rsidP="00D25795">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4906D2" w:rsidRPr="00A86E96">
        <w:t>The two site model fitted well to the binding isotherm obtained by titrating 6 mM sodium phytate into lysozyme at 25 °C. The enthalpy of the first site was -8.47 kJ/mol</w:t>
      </w:r>
      <w:r w:rsidR="00AB2606" w:rsidRPr="00A86E96">
        <w:t>,</w:t>
      </w:r>
      <w:r w:rsidR="004906D2" w:rsidRPr="00A86E96">
        <w:t xml:space="preserve"> significantly less favourable than the second site at -18.63 kJ/mol. The </w:t>
      </w:r>
      <w:r w:rsidR="001D171F" w:rsidRPr="00A86E96">
        <w:rPr>
          <w:rFonts w:eastAsiaTheme="minorEastAsia"/>
        </w:rPr>
        <w:t>Δ</w:t>
      </w:r>
      <w:r w:rsidR="001D171F" w:rsidRPr="00A86E96">
        <w:rPr>
          <w:rFonts w:eastAsiaTheme="minorEastAsia"/>
          <w:i/>
        </w:rPr>
        <w:t>G</w:t>
      </w:r>
      <w:r w:rsidR="001D171F" w:rsidRPr="00A86E96">
        <w:t xml:space="preserve"> </w:t>
      </w:r>
      <w:r w:rsidR="004906D2" w:rsidRPr="00A86E96">
        <w:t>of the first site was -41.8 kJ/mol which is much more favourable than the second site at -28.2 kJ/mol. This means that either the two events are energetically independent or that negative binding cooperativity is occurring. Positive binding cooperativity cannot be occurring due to the less favourable binding energetics at higher molar ratios. The thermodynamic values for the sodium-phytate lysozyme interactions are presented in</w:t>
      </w:r>
      <w:r w:rsidR="00A86E96">
        <w:t xml:space="preserve"> </w:t>
      </w:r>
      <w:r w:rsidR="0075172E">
        <w:rPr>
          <w:bCs/>
        </w:rPr>
        <w:fldChar w:fldCharType="begin"/>
      </w:r>
      <w:r w:rsidR="004906D2">
        <w:rPr>
          <w:bCs/>
        </w:rPr>
        <w:instrText xml:space="preserve"> REF _Ref442889152 \h </w:instrText>
      </w:r>
      <w:r w:rsidR="0075172E">
        <w:rPr>
          <w:bCs/>
        </w:rPr>
      </w:r>
      <w:r w:rsidR="0075172E">
        <w:rPr>
          <w:bCs/>
        </w:rPr>
        <w:fldChar w:fldCharType="separate"/>
      </w:r>
      <w:r w:rsidR="00A86E96">
        <w:rPr>
          <w:bCs/>
        </w:rPr>
        <w:t xml:space="preserve"> </w:t>
      </w:r>
      <w:r w:rsidR="00CB4EDC">
        <w:rPr>
          <w:bCs/>
        </w:rPr>
        <w:t xml:space="preserve">Table </w:t>
      </w:r>
      <w:r w:rsidR="00CB4EDC">
        <w:rPr>
          <w:bCs/>
          <w:noProof/>
        </w:rPr>
        <w:t>5</w:t>
      </w:r>
      <w:r w:rsidR="00CB4EDC">
        <w:rPr>
          <w:bCs/>
        </w:rPr>
        <w:t>.</w:t>
      </w:r>
      <w:r w:rsidR="00CB4EDC">
        <w:rPr>
          <w:bCs/>
          <w:noProof/>
        </w:rPr>
        <w:t>2</w:t>
      </w:r>
      <w:r w:rsidR="0075172E">
        <w:rPr>
          <w:bCs/>
        </w:rPr>
        <w:fldChar w:fldCharType="end"/>
      </w:r>
      <w:r w:rsidR="004906D2">
        <w:rPr>
          <w:bCs/>
        </w:rPr>
        <w:t>. The binding isotherm (</w:t>
      </w:r>
      <w:r w:rsidR="0075172E">
        <w:rPr>
          <w:bCs/>
        </w:rPr>
        <w:fldChar w:fldCharType="begin"/>
      </w:r>
      <w:r w:rsidR="004906D2">
        <w:rPr>
          <w:bCs/>
        </w:rPr>
        <w:instrText xml:space="preserve"> REF _Ref442889278 \h </w:instrText>
      </w:r>
      <w:r w:rsidR="0075172E">
        <w:rPr>
          <w:bCs/>
        </w:rPr>
      </w:r>
      <w:r w:rsidR="0075172E">
        <w:rPr>
          <w:bCs/>
        </w:rPr>
        <w:fldChar w:fldCharType="separate"/>
      </w:r>
      <w:r w:rsidR="00CB4EDC">
        <w:t xml:space="preserve">Figure </w:t>
      </w:r>
      <w:r w:rsidR="00CB4EDC">
        <w:rPr>
          <w:noProof/>
        </w:rPr>
        <w:t>5</w:t>
      </w:r>
      <w:r w:rsidR="00CB4EDC">
        <w:t>.</w:t>
      </w:r>
      <w:r w:rsidR="00CB4EDC">
        <w:rPr>
          <w:noProof/>
        </w:rPr>
        <w:t>7</w:t>
      </w:r>
      <w:r w:rsidR="0075172E">
        <w:rPr>
          <w:bCs/>
        </w:rPr>
        <w:fldChar w:fldCharType="end"/>
      </w:r>
      <w:r w:rsidR="004906D2">
        <w:rPr>
          <w:bCs/>
        </w:rPr>
        <w:t xml:space="preserve">) was highly reproducible but for clarity, some of the repeats had to be omitted. </w:t>
      </w:r>
    </w:p>
    <w:p w:rsidR="00956B80" w:rsidRDefault="004679E5" w:rsidP="00B55D5C">
      <w:pPr>
        <w:jc w:val="center"/>
      </w:pPr>
      <w:r>
        <w:rPr>
          <w:noProof/>
          <w:lang w:eastAsia="en-GB"/>
        </w:rPr>
        <w:pict>
          <v:shape id="_x0000_s1126" type="#_x0000_t202" style="position:absolute;left:0;text-align:left;margin-left:-4.55pt;margin-top:11.55pt;width:26.15pt;height:234.7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4411AE">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sidR="00040F10">
        <w:rPr>
          <w:noProof/>
          <w:lang w:eastAsia="en-GB"/>
        </w:rPr>
        <w:pict>
          <v:shape id="_x0000_s1133" type="#_x0000_t202" style="position:absolute;left:0;text-align:left;margin-left:180.4pt;margin-top:255.6pt;width:87.05pt;height:17.6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3">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sidR="006F11A0">
        <w:rPr>
          <w:noProof/>
          <w:lang w:eastAsia="en-GB"/>
        </w:rPr>
        <w:drawing>
          <wp:inline distT="0" distB="0" distL="0" distR="0" wp14:anchorId="1877A786" wp14:editId="4162916D">
            <wp:extent cx="5205730" cy="3345953"/>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0" cstate="print"/>
                    <a:srcRect/>
                    <a:stretch>
                      <a:fillRect/>
                    </a:stretch>
                  </pic:blipFill>
                  <pic:spPr bwMode="auto">
                    <a:xfrm>
                      <a:off x="0" y="0"/>
                      <a:ext cx="5205730" cy="3345953"/>
                    </a:xfrm>
                    <a:prstGeom prst="rect">
                      <a:avLst/>
                    </a:prstGeom>
                    <a:noFill/>
                    <a:ln w="9525">
                      <a:noFill/>
                      <a:miter lim="800000"/>
                      <a:headEnd/>
                      <a:tailEnd/>
                    </a:ln>
                  </pic:spPr>
                </pic:pic>
              </a:graphicData>
            </a:graphic>
          </wp:inline>
        </w:drawing>
      </w:r>
    </w:p>
    <w:p w:rsidR="00066430" w:rsidRPr="00D47E25" w:rsidRDefault="00956B80" w:rsidP="00D47E25">
      <w:pPr>
        <w:pStyle w:val="Caption"/>
        <w:spacing w:line="480" w:lineRule="auto"/>
        <w:jc w:val="center"/>
      </w:pPr>
      <w:bookmarkStart w:id="198" w:name="_Ref442889278"/>
      <w:r>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7</w:t>
      </w:r>
      <w:r w:rsidR="0075172E">
        <w:fldChar w:fldCharType="end"/>
      </w:r>
      <w:bookmarkEnd w:id="198"/>
      <w:r>
        <w:t xml:space="preserve">: </w:t>
      </w:r>
      <w:r w:rsidR="00B55C59">
        <w:t>Upper: Thermogram of 6 mM sodium phytate injected into 0.4 mM lysozyme in 10 mM ammonium acetate. Sodium phytate-lysozyme interaction (teal and red), phytate dilution (blue) and lysozyme dilution (black). cITC study of 6 mM sodium phytate injected into 0.4 mM lysozyme in 10 mM ammonium acetate. Sodium phytate-lysozyme interaction (teal and red), phytate dilution into ammonium acetate (blue) and ammonium acetate into lysozyme (black). Solid line represents two site independent binding model fit.</w:t>
      </w:r>
      <w:bookmarkStart w:id="199" w:name="_Ref442889152"/>
    </w:p>
    <w:p w:rsidR="003B065D" w:rsidRPr="003B065D" w:rsidRDefault="003B065D" w:rsidP="003B065D"/>
    <w:p w:rsidR="00956B80" w:rsidRDefault="00956B80" w:rsidP="00956B80">
      <w:pPr>
        <w:pStyle w:val="Caption"/>
        <w:spacing w:line="480" w:lineRule="auto"/>
        <w:jc w:val="center"/>
        <w:rPr>
          <w:bCs w:val="0"/>
        </w:rPr>
      </w:pPr>
      <w:r>
        <w:rPr>
          <w:bCs w:val="0"/>
        </w:rPr>
        <w:t xml:space="preserve">Table </w:t>
      </w:r>
      <w:r w:rsidR="0075172E">
        <w:rPr>
          <w:bCs w:val="0"/>
        </w:rPr>
        <w:fldChar w:fldCharType="begin"/>
      </w:r>
      <w:r w:rsidR="00E71593">
        <w:rPr>
          <w:bCs w:val="0"/>
        </w:rPr>
        <w:instrText xml:space="preserve"> STYLEREF 1 \s </w:instrText>
      </w:r>
      <w:r w:rsidR="0075172E">
        <w:rPr>
          <w:bCs w:val="0"/>
        </w:rPr>
        <w:fldChar w:fldCharType="separate"/>
      </w:r>
      <w:r w:rsidR="00E71593">
        <w:rPr>
          <w:bCs w:val="0"/>
          <w:noProof/>
        </w:rPr>
        <w:t>5</w:t>
      </w:r>
      <w:r w:rsidR="0075172E">
        <w:rPr>
          <w:bCs w:val="0"/>
        </w:rPr>
        <w:fldChar w:fldCharType="end"/>
      </w:r>
      <w:r w:rsidR="00E71593">
        <w:rPr>
          <w:bCs w:val="0"/>
        </w:rPr>
        <w:t>.</w:t>
      </w:r>
      <w:r w:rsidR="0075172E">
        <w:rPr>
          <w:bCs w:val="0"/>
        </w:rPr>
        <w:fldChar w:fldCharType="begin"/>
      </w:r>
      <w:r w:rsidR="00E71593">
        <w:rPr>
          <w:bCs w:val="0"/>
        </w:rPr>
        <w:instrText xml:space="preserve"> SEQ Table \* ARABIC \s 1 </w:instrText>
      </w:r>
      <w:r w:rsidR="0075172E">
        <w:rPr>
          <w:bCs w:val="0"/>
        </w:rPr>
        <w:fldChar w:fldCharType="separate"/>
      </w:r>
      <w:r w:rsidR="00E71593">
        <w:rPr>
          <w:bCs w:val="0"/>
          <w:noProof/>
        </w:rPr>
        <w:t>3</w:t>
      </w:r>
      <w:r w:rsidR="0075172E">
        <w:rPr>
          <w:bCs w:val="0"/>
        </w:rPr>
        <w:fldChar w:fldCharType="end"/>
      </w:r>
      <w:bookmarkEnd w:id="199"/>
      <w:r>
        <w:rPr>
          <w:bCs w:val="0"/>
        </w:rPr>
        <w:t xml:space="preserve">: </w:t>
      </w:r>
      <w:r>
        <w:t>Thermodynamic parameters calculated using the one site and two site binding model for the interaction with 6 mM sodium phytate and 0.4 mM lysozyme at pH 4 in 10 mM ammonium acetate at 25</w:t>
      </w:r>
      <w:r w:rsidR="006F2757">
        <w:t xml:space="preserve"> </w:t>
      </w:r>
      <w:r>
        <w:t>°C</w:t>
      </w:r>
      <w:r w:rsidR="00484D60">
        <w:t xml:space="preserve"> using either cITC or iITC</w:t>
      </w:r>
      <w:r w:rsidR="00066430">
        <w:t xml:space="preserve">. </w:t>
      </w:r>
      <w:r w:rsidR="00066430">
        <w:rPr>
          <w:iCs/>
        </w:rPr>
        <w:t>The standard error (bold) and the confidence intervals (italics) are in brackets.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125"/>
        <w:gridCol w:w="770"/>
        <w:gridCol w:w="770"/>
        <w:gridCol w:w="770"/>
        <w:gridCol w:w="1150"/>
        <w:gridCol w:w="770"/>
        <w:gridCol w:w="770"/>
        <w:gridCol w:w="770"/>
        <w:gridCol w:w="1150"/>
      </w:tblGrid>
      <w:tr w:rsidR="00956B80" w:rsidRPr="00A87788" w:rsidTr="00AF3E73">
        <w:trPr>
          <w:trHeight w:val="584"/>
        </w:trPr>
        <w:tc>
          <w:tcPr>
            <w:tcW w:w="0" w:type="auto"/>
            <w:tcBorders>
              <w:top w:val="single" w:sz="4" w:space="0" w:color="auto"/>
              <w:bottom w:val="single" w:sz="4" w:space="0" w:color="auto"/>
            </w:tcBorders>
            <w:hideMark/>
          </w:tcPr>
          <w:p w:rsidR="00956B80" w:rsidRPr="00A87788" w:rsidRDefault="00956B80" w:rsidP="00AF3E73">
            <w:pPr>
              <w:spacing w:after="200" w:line="480" w:lineRule="auto"/>
              <w:jc w:val="center"/>
              <w:rPr>
                <w:b/>
                <w:bCs/>
                <w:sz w:val="16"/>
                <w:szCs w:val="16"/>
              </w:rPr>
            </w:pPr>
            <w:r w:rsidRPr="00A87788">
              <w:rPr>
                <w:b/>
                <w:bCs/>
                <w:sz w:val="16"/>
                <w:szCs w:val="16"/>
              </w:rPr>
              <w:t>ITC technique</w:t>
            </w:r>
          </w:p>
        </w:tc>
        <w:tc>
          <w:tcPr>
            <w:tcW w:w="0" w:type="auto"/>
            <w:tcBorders>
              <w:top w:val="single" w:sz="4" w:space="0" w:color="auto"/>
              <w:bottom w:val="single" w:sz="4" w:space="0" w:color="auto"/>
            </w:tcBorders>
            <w:hideMark/>
          </w:tcPr>
          <w:p w:rsidR="00956B80" w:rsidRPr="00A87788" w:rsidRDefault="00956B80" w:rsidP="00AF3E73">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8C3F05">
              <w:rPr>
                <w:b/>
                <w:bCs/>
                <w:i/>
                <w:sz w:val="16"/>
                <w:szCs w:val="16"/>
              </w:rPr>
              <w:t>H</w:t>
            </w:r>
            <w:r w:rsidRPr="00525BCC">
              <w:rPr>
                <w:b/>
                <w:bCs/>
                <w:sz w:val="16"/>
                <w:szCs w:val="16"/>
                <w:vertAlign w:val="subscript"/>
              </w:rPr>
              <w:t>1</w:t>
            </w:r>
            <w:r w:rsidRPr="00A87788">
              <w:rPr>
                <w:b/>
                <w:bCs/>
                <w:sz w:val="16"/>
                <w:szCs w:val="16"/>
              </w:rPr>
              <w:t xml:space="preserve"> </w:t>
            </w:r>
          </w:p>
          <w:p w:rsidR="00956B80" w:rsidRPr="00A87788" w:rsidRDefault="00956B80"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hideMark/>
          </w:tcPr>
          <w:p w:rsidR="00956B80" w:rsidRPr="00A87788" w:rsidRDefault="00956B80" w:rsidP="00AF3E73">
            <w:pPr>
              <w:spacing w:after="200" w:line="480" w:lineRule="auto"/>
              <w:jc w:val="center"/>
              <w:rPr>
                <w:b/>
                <w:bCs/>
                <w:sz w:val="16"/>
                <w:szCs w:val="16"/>
              </w:rPr>
            </w:pPr>
            <w:r w:rsidRPr="00A87788">
              <w:rPr>
                <w:b/>
                <w:bCs/>
                <w:sz w:val="16"/>
                <w:szCs w:val="16"/>
              </w:rPr>
              <w:t>- T</w:t>
            </w:r>
            <w:r w:rsidRPr="00A87788">
              <w:rPr>
                <w:b/>
                <w:bCs/>
                <w:sz w:val="16"/>
                <w:szCs w:val="16"/>
                <w:lang w:val="el-GR"/>
              </w:rPr>
              <w:t>Δ</w:t>
            </w:r>
            <w:r w:rsidRPr="008C3F05">
              <w:rPr>
                <w:b/>
                <w:bCs/>
                <w:i/>
                <w:sz w:val="16"/>
                <w:szCs w:val="16"/>
              </w:rPr>
              <w:t>S</w:t>
            </w:r>
            <w:r w:rsidRPr="00525BCC">
              <w:rPr>
                <w:b/>
                <w:bCs/>
                <w:sz w:val="16"/>
                <w:szCs w:val="16"/>
                <w:vertAlign w:val="subscript"/>
              </w:rPr>
              <w:t>1</w:t>
            </w:r>
            <w:r w:rsidRPr="00A87788">
              <w:rPr>
                <w:b/>
                <w:bCs/>
                <w:sz w:val="16"/>
                <w:szCs w:val="16"/>
              </w:rPr>
              <w:t xml:space="preserve"> </w:t>
            </w:r>
          </w:p>
          <w:p w:rsidR="00956B80" w:rsidRPr="00A87788" w:rsidRDefault="00956B80"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hideMark/>
          </w:tcPr>
          <w:p w:rsidR="00956B80" w:rsidRPr="00A87788" w:rsidRDefault="00956B80" w:rsidP="00AF3E73">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8C3F05">
              <w:rPr>
                <w:b/>
                <w:bCs/>
                <w:i/>
                <w:sz w:val="16"/>
                <w:szCs w:val="16"/>
              </w:rPr>
              <w:t>G</w:t>
            </w:r>
            <w:r w:rsidRPr="00525BCC">
              <w:rPr>
                <w:b/>
                <w:bCs/>
                <w:sz w:val="16"/>
                <w:szCs w:val="16"/>
                <w:vertAlign w:val="subscript"/>
              </w:rPr>
              <w:t>1</w:t>
            </w:r>
          </w:p>
          <w:p w:rsidR="00956B80" w:rsidRPr="00A87788" w:rsidRDefault="00956B80"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hideMark/>
          </w:tcPr>
          <w:p w:rsidR="00956B80" w:rsidRDefault="00956B80" w:rsidP="00AF3E73">
            <w:pPr>
              <w:spacing w:after="200" w:line="480" w:lineRule="auto"/>
              <w:jc w:val="center"/>
              <w:rPr>
                <w:b/>
                <w:bCs/>
                <w:sz w:val="16"/>
                <w:szCs w:val="16"/>
              </w:rPr>
            </w:pPr>
            <w:r w:rsidRPr="00A87788">
              <w:rPr>
                <w:b/>
                <w:bCs/>
                <w:sz w:val="16"/>
                <w:szCs w:val="16"/>
              </w:rPr>
              <w:t>Stoichiometry</w:t>
            </w:r>
          </w:p>
          <w:p w:rsidR="00956B80" w:rsidRPr="00A87788" w:rsidRDefault="00956B80" w:rsidP="00AF3E73">
            <w:pPr>
              <w:spacing w:after="200" w:line="480" w:lineRule="auto"/>
              <w:jc w:val="center"/>
              <w:rPr>
                <w:b/>
                <w:bCs/>
                <w:sz w:val="16"/>
                <w:szCs w:val="16"/>
              </w:rPr>
            </w:pPr>
            <w:r>
              <w:rPr>
                <w:b/>
                <w:bCs/>
                <w:sz w:val="16"/>
                <w:szCs w:val="16"/>
              </w:rPr>
              <w:t>n</w:t>
            </w:r>
            <w:r w:rsidRPr="00525BCC">
              <w:rPr>
                <w:b/>
                <w:bCs/>
                <w:sz w:val="16"/>
                <w:szCs w:val="16"/>
                <w:vertAlign w:val="subscript"/>
              </w:rPr>
              <w:t>1</w:t>
            </w:r>
          </w:p>
        </w:tc>
        <w:tc>
          <w:tcPr>
            <w:tcW w:w="0" w:type="auto"/>
            <w:tcBorders>
              <w:top w:val="single" w:sz="4" w:space="0" w:color="auto"/>
              <w:bottom w:val="single" w:sz="4" w:space="0" w:color="auto"/>
            </w:tcBorders>
          </w:tcPr>
          <w:p w:rsidR="00956B80" w:rsidRPr="00A87788" w:rsidRDefault="00956B80" w:rsidP="00AF3E73">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8C3F05">
              <w:rPr>
                <w:b/>
                <w:bCs/>
                <w:i/>
                <w:sz w:val="16"/>
                <w:szCs w:val="16"/>
              </w:rPr>
              <w:t>H</w:t>
            </w:r>
            <w:r w:rsidRPr="00525BCC">
              <w:rPr>
                <w:b/>
                <w:bCs/>
                <w:sz w:val="16"/>
                <w:szCs w:val="16"/>
                <w:vertAlign w:val="subscript"/>
              </w:rPr>
              <w:t>2</w:t>
            </w:r>
            <w:r w:rsidRPr="00A87788">
              <w:rPr>
                <w:b/>
                <w:bCs/>
                <w:sz w:val="16"/>
                <w:szCs w:val="16"/>
              </w:rPr>
              <w:t xml:space="preserve"> </w:t>
            </w:r>
          </w:p>
          <w:p w:rsidR="00956B80" w:rsidRPr="00A87788" w:rsidRDefault="00956B80"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tcPr>
          <w:p w:rsidR="00956B80" w:rsidRPr="00A87788" w:rsidRDefault="00956B80" w:rsidP="00AF3E73">
            <w:pPr>
              <w:spacing w:after="200" w:line="480" w:lineRule="auto"/>
              <w:jc w:val="center"/>
              <w:rPr>
                <w:b/>
                <w:bCs/>
                <w:sz w:val="16"/>
                <w:szCs w:val="16"/>
              </w:rPr>
            </w:pPr>
            <w:r w:rsidRPr="00A87788">
              <w:rPr>
                <w:b/>
                <w:bCs/>
                <w:sz w:val="16"/>
                <w:szCs w:val="16"/>
              </w:rPr>
              <w:t>- T</w:t>
            </w:r>
            <w:r w:rsidRPr="00A87788">
              <w:rPr>
                <w:b/>
                <w:bCs/>
                <w:sz w:val="16"/>
                <w:szCs w:val="16"/>
                <w:lang w:val="el-GR"/>
              </w:rPr>
              <w:t>Δ</w:t>
            </w:r>
            <w:r w:rsidRPr="008C3F05">
              <w:rPr>
                <w:b/>
                <w:bCs/>
                <w:i/>
                <w:sz w:val="16"/>
                <w:szCs w:val="16"/>
              </w:rPr>
              <w:t>S</w:t>
            </w:r>
            <w:r w:rsidRPr="00525BCC">
              <w:rPr>
                <w:b/>
                <w:bCs/>
                <w:sz w:val="16"/>
                <w:szCs w:val="16"/>
                <w:vertAlign w:val="subscript"/>
              </w:rPr>
              <w:t>2</w:t>
            </w:r>
            <w:r w:rsidRPr="00A87788">
              <w:rPr>
                <w:b/>
                <w:bCs/>
                <w:sz w:val="16"/>
                <w:szCs w:val="16"/>
              </w:rPr>
              <w:t xml:space="preserve"> </w:t>
            </w:r>
          </w:p>
          <w:p w:rsidR="00956B80" w:rsidRPr="00A87788" w:rsidRDefault="00956B80" w:rsidP="00AF3E73">
            <w:pPr>
              <w:spacing w:after="200" w:line="480" w:lineRule="auto"/>
              <w:jc w:val="center"/>
              <w:rPr>
                <w:b/>
                <w:bCs/>
                <w:sz w:val="16"/>
                <w:szCs w:val="16"/>
              </w:rPr>
            </w:pPr>
            <w:r>
              <w:rPr>
                <w:b/>
                <w:bCs/>
                <w:sz w:val="16"/>
                <w:szCs w:val="16"/>
              </w:rPr>
              <w:t>(</w:t>
            </w:r>
            <w:r w:rsidRPr="00A87788">
              <w:rPr>
                <w:b/>
                <w:bCs/>
                <w:sz w:val="16"/>
                <w:szCs w:val="16"/>
              </w:rPr>
              <w:t>kJ/mo</w:t>
            </w:r>
            <w:r>
              <w:rPr>
                <w:b/>
                <w:bCs/>
                <w:sz w:val="16"/>
                <w:szCs w:val="16"/>
              </w:rPr>
              <w:t>l)</w:t>
            </w:r>
          </w:p>
        </w:tc>
        <w:tc>
          <w:tcPr>
            <w:tcW w:w="0" w:type="auto"/>
            <w:tcBorders>
              <w:top w:val="single" w:sz="4" w:space="0" w:color="auto"/>
              <w:bottom w:val="single" w:sz="4" w:space="0" w:color="auto"/>
            </w:tcBorders>
          </w:tcPr>
          <w:p w:rsidR="00956B80" w:rsidRPr="00A87788" w:rsidRDefault="00956B80" w:rsidP="00AF3E73">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8C3F05">
              <w:rPr>
                <w:b/>
                <w:bCs/>
                <w:i/>
                <w:sz w:val="16"/>
                <w:szCs w:val="16"/>
              </w:rPr>
              <w:t>G</w:t>
            </w:r>
            <w:r w:rsidRPr="00525BCC">
              <w:rPr>
                <w:b/>
                <w:bCs/>
                <w:sz w:val="16"/>
                <w:szCs w:val="16"/>
                <w:vertAlign w:val="subscript"/>
              </w:rPr>
              <w:t>2</w:t>
            </w:r>
          </w:p>
          <w:p w:rsidR="00956B80" w:rsidRPr="00A87788" w:rsidRDefault="00956B80"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tcPr>
          <w:p w:rsidR="00956B80" w:rsidRDefault="00956B80" w:rsidP="00AF3E73">
            <w:pPr>
              <w:spacing w:after="200" w:line="480" w:lineRule="auto"/>
              <w:jc w:val="center"/>
              <w:rPr>
                <w:b/>
                <w:bCs/>
                <w:sz w:val="16"/>
                <w:szCs w:val="16"/>
              </w:rPr>
            </w:pPr>
            <w:r w:rsidRPr="00A87788">
              <w:rPr>
                <w:b/>
                <w:bCs/>
                <w:sz w:val="16"/>
                <w:szCs w:val="16"/>
              </w:rPr>
              <w:t>Stoichiometry</w:t>
            </w:r>
          </w:p>
          <w:p w:rsidR="00956B80" w:rsidRPr="00A87788" w:rsidRDefault="00956B80" w:rsidP="00AF3E73">
            <w:pPr>
              <w:spacing w:after="200" w:line="480" w:lineRule="auto"/>
              <w:jc w:val="center"/>
              <w:rPr>
                <w:b/>
                <w:bCs/>
                <w:sz w:val="16"/>
                <w:szCs w:val="16"/>
              </w:rPr>
            </w:pPr>
            <w:r>
              <w:rPr>
                <w:b/>
                <w:bCs/>
                <w:sz w:val="16"/>
                <w:szCs w:val="16"/>
              </w:rPr>
              <w:t>n</w:t>
            </w:r>
            <w:r w:rsidRPr="00525BCC">
              <w:rPr>
                <w:b/>
                <w:bCs/>
                <w:sz w:val="16"/>
                <w:szCs w:val="16"/>
                <w:vertAlign w:val="subscript"/>
              </w:rPr>
              <w:t>2</w:t>
            </w:r>
          </w:p>
        </w:tc>
      </w:tr>
      <w:tr w:rsidR="00956B80" w:rsidRPr="00A87788" w:rsidTr="00AF3E73">
        <w:trPr>
          <w:trHeight w:val="584"/>
        </w:trPr>
        <w:tc>
          <w:tcPr>
            <w:tcW w:w="0" w:type="auto"/>
            <w:tcBorders>
              <w:top w:val="single" w:sz="4" w:space="0" w:color="auto"/>
            </w:tcBorders>
            <w:hideMark/>
          </w:tcPr>
          <w:p w:rsidR="00956B80" w:rsidRPr="00A87788" w:rsidRDefault="00956B80" w:rsidP="00AF3E73">
            <w:pPr>
              <w:spacing w:after="200" w:line="480" w:lineRule="auto"/>
              <w:jc w:val="center"/>
              <w:rPr>
                <w:bCs/>
                <w:sz w:val="16"/>
                <w:szCs w:val="16"/>
              </w:rPr>
            </w:pPr>
            <w:r w:rsidRPr="00A87788">
              <w:rPr>
                <w:bCs/>
                <w:sz w:val="16"/>
                <w:szCs w:val="16"/>
              </w:rPr>
              <w:t xml:space="preserve">cITC </w:t>
            </w:r>
          </w:p>
        </w:tc>
        <w:tc>
          <w:tcPr>
            <w:tcW w:w="0" w:type="auto"/>
            <w:tcBorders>
              <w:top w:val="single" w:sz="4" w:space="0" w:color="auto"/>
            </w:tcBorders>
            <w:hideMark/>
          </w:tcPr>
          <w:p w:rsidR="00956B80" w:rsidRDefault="00956B80" w:rsidP="00AF3E73">
            <w:pPr>
              <w:spacing w:after="200" w:line="480" w:lineRule="auto"/>
              <w:jc w:val="center"/>
              <w:rPr>
                <w:bCs/>
                <w:sz w:val="16"/>
                <w:szCs w:val="16"/>
              </w:rPr>
            </w:pPr>
            <w:r w:rsidRPr="00525BCC">
              <w:rPr>
                <w:bCs/>
                <w:sz w:val="16"/>
                <w:szCs w:val="16"/>
              </w:rPr>
              <w:t>8.47</w:t>
            </w:r>
          </w:p>
          <w:p w:rsidR="00C61A94" w:rsidRDefault="00C61A94" w:rsidP="00C61A94">
            <w:pPr>
              <w:spacing w:after="200" w:line="480" w:lineRule="auto"/>
              <w:jc w:val="center"/>
              <w:rPr>
                <w:b/>
                <w:bCs/>
                <w:iCs/>
                <w:sz w:val="16"/>
                <w:szCs w:val="16"/>
              </w:rPr>
            </w:pPr>
            <w:r w:rsidRPr="00C61A94">
              <w:rPr>
                <w:b/>
                <w:bCs/>
                <w:iCs/>
                <w:sz w:val="16"/>
                <w:szCs w:val="16"/>
              </w:rPr>
              <w:t>(±</w:t>
            </w:r>
            <w:r>
              <w:rPr>
                <w:b/>
                <w:bCs/>
                <w:iCs/>
                <w:sz w:val="16"/>
                <w:szCs w:val="16"/>
              </w:rPr>
              <w:t>2</w:t>
            </w:r>
            <w:r w:rsidRPr="00C61A94">
              <w:rPr>
                <w:b/>
                <w:bCs/>
                <w:iCs/>
                <w:sz w:val="16"/>
                <w:szCs w:val="16"/>
              </w:rPr>
              <w:t>)</w:t>
            </w:r>
          </w:p>
          <w:p w:rsidR="003F6839" w:rsidRPr="00C61A94" w:rsidRDefault="003F6839" w:rsidP="00C61A94">
            <w:pPr>
              <w:spacing w:after="200" w:line="480" w:lineRule="auto"/>
              <w:jc w:val="center"/>
              <w:rPr>
                <w:b/>
                <w:bCs/>
                <w:iCs/>
                <w:sz w:val="16"/>
                <w:szCs w:val="16"/>
              </w:rPr>
            </w:pPr>
            <w:r w:rsidRPr="00BC4A16">
              <w:rPr>
                <w:bCs/>
                <w:i/>
                <w:iCs/>
                <w:sz w:val="16"/>
                <w:szCs w:val="16"/>
              </w:rPr>
              <w:t>(±</w:t>
            </w:r>
            <w:r>
              <w:rPr>
                <w:bCs/>
                <w:i/>
                <w:iCs/>
                <w:sz w:val="16"/>
                <w:szCs w:val="16"/>
              </w:rPr>
              <w:t>4</w:t>
            </w:r>
            <w:r w:rsidRPr="00BC4A16">
              <w:rPr>
                <w:bCs/>
                <w:i/>
                <w:iCs/>
                <w:sz w:val="16"/>
                <w:szCs w:val="16"/>
              </w:rPr>
              <w:t>)</w:t>
            </w:r>
          </w:p>
        </w:tc>
        <w:tc>
          <w:tcPr>
            <w:tcW w:w="0" w:type="auto"/>
            <w:tcBorders>
              <w:top w:val="single" w:sz="4" w:space="0" w:color="auto"/>
            </w:tcBorders>
            <w:hideMark/>
          </w:tcPr>
          <w:p w:rsidR="00956B80" w:rsidRDefault="00956B80" w:rsidP="00AF3E73">
            <w:pPr>
              <w:spacing w:after="200" w:line="480" w:lineRule="auto"/>
              <w:jc w:val="center"/>
              <w:rPr>
                <w:bCs/>
                <w:sz w:val="16"/>
                <w:szCs w:val="16"/>
              </w:rPr>
            </w:pPr>
            <w:r w:rsidRPr="00525BCC">
              <w:rPr>
                <w:bCs/>
                <w:sz w:val="16"/>
                <w:szCs w:val="16"/>
              </w:rPr>
              <w:t>33.4</w:t>
            </w:r>
          </w:p>
          <w:p w:rsidR="00C61A94" w:rsidRDefault="00C61A94" w:rsidP="00C61A94">
            <w:pPr>
              <w:spacing w:after="200" w:line="480" w:lineRule="auto"/>
              <w:jc w:val="center"/>
              <w:rPr>
                <w:b/>
                <w:bCs/>
                <w:iCs/>
                <w:sz w:val="16"/>
                <w:szCs w:val="16"/>
              </w:rPr>
            </w:pPr>
            <w:r w:rsidRPr="00C61A94">
              <w:rPr>
                <w:b/>
                <w:bCs/>
                <w:iCs/>
                <w:sz w:val="16"/>
                <w:szCs w:val="16"/>
              </w:rPr>
              <w:t>(±</w:t>
            </w:r>
            <w:r>
              <w:rPr>
                <w:b/>
                <w:bCs/>
                <w:iCs/>
                <w:sz w:val="16"/>
                <w:szCs w:val="16"/>
              </w:rPr>
              <w:t>8</w:t>
            </w:r>
            <w:r w:rsidRPr="00C61A94">
              <w:rPr>
                <w:b/>
                <w:bCs/>
                <w:iCs/>
                <w:sz w:val="16"/>
                <w:szCs w:val="16"/>
              </w:rPr>
              <w:t>)</w:t>
            </w:r>
          </w:p>
          <w:p w:rsidR="00C61A94" w:rsidRPr="00525BCC" w:rsidRDefault="00C61A94" w:rsidP="00AF3E73">
            <w:pPr>
              <w:spacing w:after="200" w:line="480" w:lineRule="auto"/>
              <w:jc w:val="center"/>
              <w:rPr>
                <w:bCs/>
                <w:sz w:val="16"/>
                <w:szCs w:val="16"/>
              </w:rPr>
            </w:pPr>
          </w:p>
        </w:tc>
        <w:tc>
          <w:tcPr>
            <w:tcW w:w="0" w:type="auto"/>
            <w:tcBorders>
              <w:top w:val="single" w:sz="4" w:space="0" w:color="auto"/>
            </w:tcBorders>
            <w:hideMark/>
          </w:tcPr>
          <w:p w:rsidR="00956B80" w:rsidRDefault="00956B80" w:rsidP="00AF3E73">
            <w:pPr>
              <w:spacing w:after="200" w:line="480" w:lineRule="auto"/>
              <w:jc w:val="center"/>
              <w:rPr>
                <w:bCs/>
                <w:sz w:val="16"/>
                <w:szCs w:val="16"/>
              </w:rPr>
            </w:pPr>
            <w:r w:rsidRPr="00525BCC">
              <w:rPr>
                <w:bCs/>
                <w:sz w:val="16"/>
                <w:szCs w:val="16"/>
              </w:rPr>
              <w:t>41.8</w:t>
            </w:r>
          </w:p>
          <w:p w:rsidR="00C61A94" w:rsidRDefault="00C61A94" w:rsidP="00C61A94">
            <w:pPr>
              <w:spacing w:after="200" w:line="480" w:lineRule="auto"/>
              <w:jc w:val="center"/>
              <w:rPr>
                <w:b/>
                <w:bCs/>
                <w:iCs/>
                <w:sz w:val="16"/>
                <w:szCs w:val="16"/>
              </w:rPr>
            </w:pPr>
            <w:r w:rsidRPr="00C61A94">
              <w:rPr>
                <w:b/>
                <w:bCs/>
                <w:iCs/>
                <w:sz w:val="16"/>
                <w:szCs w:val="16"/>
              </w:rPr>
              <w:t>(±</w:t>
            </w:r>
            <w:r>
              <w:rPr>
                <w:b/>
                <w:bCs/>
                <w:iCs/>
                <w:sz w:val="16"/>
                <w:szCs w:val="16"/>
              </w:rPr>
              <w:t>3</w:t>
            </w:r>
            <w:r w:rsidRPr="00C61A94">
              <w:rPr>
                <w:b/>
                <w:bCs/>
                <w:iCs/>
                <w:sz w:val="16"/>
                <w:szCs w:val="16"/>
              </w:rPr>
              <w:t>)</w:t>
            </w:r>
          </w:p>
          <w:p w:rsidR="003F6839" w:rsidRPr="00C61A94" w:rsidRDefault="003F6839" w:rsidP="00C61A94">
            <w:pPr>
              <w:spacing w:after="200" w:line="480" w:lineRule="auto"/>
              <w:jc w:val="center"/>
              <w:rPr>
                <w:b/>
                <w:bCs/>
                <w:iCs/>
                <w:sz w:val="16"/>
                <w:szCs w:val="16"/>
              </w:rPr>
            </w:pPr>
            <w:r>
              <w:rPr>
                <w:bCs/>
                <w:i/>
                <w:iCs/>
                <w:sz w:val="16"/>
                <w:szCs w:val="16"/>
              </w:rPr>
              <w:t>(</w:t>
            </w:r>
            <w:r w:rsidRPr="00BC4A16">
              <w:rPr>
                <w:bCs/>
                <w:i/>
                <w:iCs/>
                <w:sz w:val="16"/>
                <w:szCs w:val="16"/>
              </w:rPr>
              <w:t>±</w:t>
            </w:r>
            <w:r w:rsidR="00367E77">
              <w:rPr>
                <w:bCs/>
                <w:i/>
                <w:iCs/>
                <w:sz w:val="16"/>
                <w:szCs w:val="16"/>
              </w:rPr>
              <w:t>10</w:t>
            </w:r>
            <w:r>
              <w:rPr>
                <w:bCs/>
                <w:i/>
                <w:iCs/>
                <w:sz w:val="16"/>
                <w:szCs w:val="16"/>
              </w:rPr>
              <w:t>)</w:t>
            </w:r>
          </w:p>
        </w:tc>
        <w:tc>
          <w:tcPr>
            <w:tcW w:w="0" w:type="auto"/>
            <w:tcBorders>
              <w:top w:val="single" w:sz="4" w:space="0" w:color="auto"/>
            </w:tcBorders>
            <w:hideMark/>
          </w:tcPr>
          <w:p w:rsidR="00956B80" w:rsidRDefault="00A86E96" w:rsidP="00AF3E73">
            <w:pPr>
              <w:spacing w:after="200" w:line="480" w:lineRule="auto"/>
              <w:jc w:val="center"/>
              <w:rPr>
                <w:bCs/>
                <w:sz w:val="16"/>
                <w:szCs w:val="16"/>
              </w:rPr>
            </w:pPr>
            <w:r>
              <w:rPr>
                <w:bCs/>
                <w:sz w:val="16"/>
                <w:szCs w:val="16"/>
              </w:rPr>
              <w:t>0.27</w:t>
            </w:r>
          </w:p>
          <w:p w:rsidR="00C61A94" w:rsidRPr="00F97B29" w:rsidRDefault="00F97B29" w:rsidP="00F97B29">
            <w:pPr>
              <w:spacing w:after="200" w:line="480" w:lineRule="auto"/>
              <w:jc w:val="center"/>
              <w:rPr>
                <w:b/>
                <w:bCs/>
                <w:iCs/>
                <w:sz w:val="16"/>
                <w:szCs w:val="16"/>
              </w:rPr>
            </w:pPr>
            <w:r w:rsidRPr="00C61A94">
              <w:rPr>
                <w:b/>
                <w:bCs/>
                <w:iCs/>
                <w:sz w:val="16"/>
                <w:szCs w:val="16"/>
              </w:rPr>
              <w:t>(±0.</w:t>
            </w:r>
            <w:r>
              <w:rPr>
                <w:b/>
                <w:bCs/>
                <w:iCs/>
                <w:sz w:val="16"/>
                <w:szCs w:val="16"/>
              </w:rPr>
              <w:t>07</w:t>
            </w:r>
            <w:r w:rsidRPr="00C61A94">
              <w:rPr>
                <w:b/>
                <w:bCs/>
                <w:iCs/>
                <w:sz w:val="16"/>
                <w:szCs w:val="16"/>
              </w:rPr>
              <w:t>)</w:t>
            </w:r>
          </w:p>
          <w:p w:rsidR="00BC2B30" w:rsidRPr="00525BCC" w:rsidRDefault="00BC2B30" w:rsidP="00AF3E73">
            <w:pPr>
              <w:spacing w:after="200" w:line="480" w:lineRule="auto"/>
              <w:jc w:val="center"/>
              <w:rPr>
                <w:bCs/>
                <w:sz w:val="16"/>
                <w:szCs w:val="16"/>
              </w:rPr>
            </w:pPr>
            <w:r w:rsidRPr="00BC4A16">
              <w:rPr>
                <w:bCs/>
                <w:i/>
                <w:iCs/>
                <w:sz w:val="16"/>
                <w:szCs w:val="16"/>
              </w:rPr>
              <w:t>(±</w:t>
            </w:r>
            <w:r>
              <w:rPr>
                <w:bCs/>
                <w:i/>
                <w:iCs/>
                <w:sz w:val="16"/>
                <w:szCs w:val="16"/>
              </w:rPr>
              <w:t>0.01</w:t>
            </w:r>
            <w:r w:rsidRPr="00BC4A16">
              <w:rPr>
                <w:bCs/>
                <w:i/>
                <w:iCs/>
                <w:sz w:val="16"/>
                <w:szCs w:val="16"/>
              </w:rPr>
              <w:t>)</w:t>
            </w:r>
          </w:p>
        </w:tc>
        <w:tc>
          <w:tcPr>
            <w:tcW w:w="0" w:type="auto"/>
            <w:tcBorders>
              <w:top w:val="single" w:sz="4" w:space="0" w:color="auto"/>
            </w:tcBorders>
          </w:tcPr>
          <w:p w:rsidR="00956B80" w:rsidRDefault="00956B80" w:rsidP="00AF3E73">
            <w:pPr>
              <w:spacing w:after="200" w:line="480" w:lineRule="auto"/>
              <w:jc w:val="center"/>
              <w:rPr>
                <w:bCs/>
                <w:sz w:val="16"/>
                <w:szCs w:val="16"/>
              </w:rPr>
            </w:pPr>
            <w:r w:rsidRPr="00525BCC">
              <w:rPr>
                <w:bCs/>
                <w:sz w:val="16"/>
                <w:szCs w:val="16"/>
              </w:rPr>
              <w:t>18.6</w:t>
            </w:r>
          </w:p>
          <w:p w:rsidR="00BC2B30" w:rsidRPr="00C61A94" w:rsidRDefault="00BC2B30" w:rsidP="00BC2B30">
            <w:pPr>
              <w:spacing w:after="200" w:line="480" w:lineRule="auto"/>
              <w:jc w:val="center"/>
              <w:rPr>
                <w:b/>
                <w:bCs/>
                <w:iCs/>
                <w:sz w:val="16"/>
                <w:szCs w:val="16"/>
              </w:rPr>
            </w:pPr>
            <w:r w:rsidRPr="00C61A94">
              <w:rPr>
                <w:b/>
                <w:bCs/>
                <w:iCs/>
                <w:sz w:val="16"/>
                <w:szCs w:val="16"/>
              </w:rPr>
              <w:t>(±0.5)</w:t>
            </w:r>
          </w:p>
          <w:p w:rsidR="00BC2B30" w:rsidRPr="00BC2B30" w:rsidRDefault="00BC2B30" w:rsidP="00BC2B30">
            <w:pPr>
              <w:spacing w:after="200" w:line="480" w:lineRule="auto"/>
              <w:jc w:val="center"/>
              <w:rPr>
                <w:b/>
                <w:bCs/>
                <w:sz w:val="16"/>
                <w:szCs w:val="16"/>
              </w:rPr>
            </w:pPr>
            <w:r>
              <w:rPr>
                <w:bCs/>
                <w:i/>
                <w:iCs/>
                <w:sz w:val="16"/>
                <w:szCs w:val="16"/>
              </w:rPr>
              <w:t>(</w:t>
            </w:r>
            <w:r w:rsidRPr="00BC4A16">
              <w:rPr>
                <w:bCs/>
                <w:i/>
                <w:iCs/>
                <w:sz w:val="16"/>
                <w:szCs w:val="16"/>
              </w:rPr>
              <w:t>±</w:t>
            </w:r>
            <w:r>
              <w:rPr>
                <w:bCs/>
                <w:i/>
                <w:iCs/>
                <w:sz w:val="16"/>
                <w:szCs w:val="16"/>
              </w:rPr>
              <w:t>0.2)</w:t>
            </w:r>
          </w:p>
          <w:p w:rsidR="00BC2B30" w:rsidRPr="00525BCC" w:rsidRDefault="00BC2B30" w:rsidP="00AF3E73">
            <w:pPr>
              <w:spacing w:after="200" w:line="480" w:lineRule="auto"/>
              <w:jc w:val="center"/>
              <w:rPr>
                <w:bCs/>
                <w:sz w:val="16"/>
                <w:szCs w:val="16"/>
              </w:rPr>
            </w:pPr>
          </w:p>
        </w:tc>
        <w:tc>
          <w:tcPr>
            <w:tcW w:w="0" w:type="auto"/>
            <w:tcBorders>
              <w:top w:val="single" w:sz="4" w:space="0" w:color="auto"/>
            </w:tcBorders>
          </w:tcPr>
          <w:p w:rsidR="00956B80" w:rsidRDefault="00956B80" w:rsidP="00AF3E73">
            <w:pPr>
              <w:spacing w:after="200" w:line="480" w:lineRule="auto"/>
              <w:jc w:val="center"/>
              <w:rPr>
                <w:bCs/>
                <w:sz w:val="16"/>
                <w:szCs w:val="16"/>
              </w:rPr>
            </w:pPr>
            <w:r w:rsidRPr="00525BCC">
              <w:rPr>
                <w:bCs/>
                <w:sz w:val="16"/>
                <w:szCs w:val="16"/>
              </w:rPr>
              <w:t>-10.4</w:t>
            </w:r>
          </w:p>
          <w:p w:rsidR="00C61A94" w:rsidRDefault="00C61A94" w:rsidP="00C61A94">
            <w:pPr>
              <w:spacing w:after="200" w:line="480" w:lineRule="auto"/>
              <w:jc w:val="center"/>
              <w:rPr>
                <w:b/>
                <w:bCs/>
                <w:iCs/>
                <w:sz w:val="16"/>
                <w:szCs w:val="16"/>
              </w:rPr>
            </w:pPr>
            <w:r w:rsidRPr="00C61A94">
              <w:rPr>
                <w:b/>
                <w:bCs/>
                <w:iCs/>
                <w:sz w:val="16"/>
                <w:szCs w:val="16"/>
              </w:rPr>
              <w:t>(±</w:t>
            </w:r>
            <w:r>
              <w:rPr>
                <w:b/>
                <w:bCs/>
                <w:iCs/>
                <w:sz w:val="16"/>
                <w:szCs w:val="16"/>
              </w:rPr>
              <w:t>0.4</w:t>
            </w:r>
            <w:r w:rsidRPr="00C61A94">
              <w:rPr>
                <w:b/>
                <w:bCs/>
                <w:iCs/>
                <w:sz w:val="16"/>
                <w:szCs w:val="16"/>
              </w:rPr>
              <w:t>)</w:t>
            </w:r>
          </w:p>
          <w:p w:rsidR="00C61A94" w:rsidRPr="00525BCC" w:rsidRDefault="00C61A94" w:rsidP="00AF3E73">
            <w:pPr>
              <w:spacing w:after="200" w:line="480" w:lineRule="auto"/>
              <w:jc w:val="center"/>
              <w:rPr>
                <w:bCs/>
                <w:sz w:val="16"/>
                <w:szCs w:val="16"/>
              </w:rPr>
            </w:pPr>
          </w:p>
        </w:tc>
        <w:tc>
          <w:tcPr>
            <w:tcW w:w="0" w:type="auto"/>
            <w:tcBorders>
              <w:top w:val="single" w:sz="4" w:space="0" w:color="auto"/>
            </w:tcBorders>
          </w:tcPr>
          <w:p w:rsidR="00956B80" w:rsidRDefault="00956B80" w:rsidP="00AF3E73">
            <w:pPr>
              <w:spacing w:after="200" w:line="480" w:lineRule="auto"/>
              <w:jc w:val="center"/>
              <w:rPr>
                <w:bCs/>
                <w:sz w:val="16"/>
                <w:szCs w:val="16"/>
              </w:rPr>
            </w:pPr>
            <w:r w:rsidRPr="00525BCC">
              <w:rPr>
                <w:bCs/>
                <w:sz w:val="16"/>
                <w:szCs w:val="16"/>
              </w:rPr>
              <w:t>28.2</w:t>
            </w:r>
          </w:p>
          <w:p w:rsidR="00BC2B30" w:rsidRPr="00C61A94" w:rsidRDefault="00BC2B30" w:rsidP="00AF3E73">
            <w:pPr>
              <w:spacing w:after="200" w:line="480" w:lineRule="auto"/>
              <w:jc w:val="center"/>
              <w:rPr>
                <w:b/>
                <w:bCs/>
                <w:sz w:val="16"/>
                <w:szCs w:val="16"/>
              </w:rPr>
            </w:pPr>
            <w:r w:rsidRPr="00C61A94">
              <w:rPr>
                <w:b/>
                <w:bCs/>
                <w:iCs/>
                <w:sz w:val="16"/>
                <w:szCs w:val="16"/>
              </w:rPr>
              <w:t>(±0.5)</w:t>
            </w:r>
          </w:p>
          <w:p w:rsidR="003F6839" w:rsidRPr="00525BCC" w:rsidRDefault="003F6839" w:rsidP="00AF3E73">
            <w:pPr>
              <w:spacing w:after="200" w:line="480" w:lineRule="auto"/>
              <w:jc w:val="center"/>
              <w:rPr>
                <w:bCs/>
                <w:sz w:val="16"/>
                <w:szCs w:val="16"/>
              </w:rPr>
            </w:pPr>
            <w:r w:rsidRPr="00BC4A16">
              <w:rPr>
                <w:bCs/>
                <w:i/>
                <w:iCs/>
                <w:sz w:val="16"/>
                <w:szCs w:val="16"/>
              </w:rPr>
              <w:t>(±</w:t>
            </w:r>
            <w:r>
              <w:rPr>
                <w:bCs/>
                <w:i/>
                <w:iCs/>
                <w:sz w:val="16"/>
                <w:szCs w:val="16"/>
              </w:rPr>
              <w:t>4</w:t>
            </w:r>
            <w:r w:rsidRPr="00BC4A16">
              <w:rPr>
                <w:bCs/>
                <w:i/>
                <w:iCs/>
                <w:sz w:val="16"/>
                <w:szCs w:val="16"/>
              </w:rPr>
              <w:t>)</w:t>
            </w:r>
          </w:p>
        </w:tc>
        <w:tc>
          <w:tcPr>
            <w:tcW w:w="0" w:type="auto"/>
            <w:tcBorders>
              <w:top w:val="single" w:sz="4" w:space="0" w:color="auto"/>
            </w:tcBorders>
          </w:tcPr>
          <w:p w:rsidR="00956B80" w:rsidRDefault="00956B80" w:rsidP="00AF3E73">
            <w:pPr>
              <w:spacing w:after="200" w:line="480" w:lineRule="auto"/>
              <w:jc w:val="center"/>
              <w:rPr>
                <w:bCs/>
                <w:sz w:val="16"/>
                <w:szCs w:val="16"/>
              </w:rPr>
            </w:pPr>
            <w:r w:rsidRPr="00525BCC">
              <w:rPr>
                <w:bCs/>
                <w:sz w:val="16"/>
                <w:szCs w:val="16"/>
              </w:rPr>
              <w:t>1.97</w:t>
            </w:r>
          </w:p>
          <w:p w:rsidR="00C61A94" w:rsidRDefault="00C61A94" w:rsidP="00BC2B30">
            <w:pPr>
              <w:spacing w:after="200" w:line="480" w:lineRule="auto"/>
              <w:jc w:val="center"/>
              <w:rPr>
                <w:bCs/>
                <w:i/>
                <w:iCs/>
                <w:sz w:val="16"/>
                <w:szCs w:val="16"/>
              </w:rPr>
            </w:pPr>
            <w:r w:rsidRPr="00C61A94">
              <w:rPr>
                <w:b/>
                <w:bCs/>
                <w:iCs/>
                <w:sz w:val="16"/>
                <w:szCs w:val="16"/>
              </w:rPr>
              <w:t>(±0.1)</w:t>
            </w:r>
          </w:p>
          <w:p w:rsidR="00BC2B30" w:rsidRDefault="00BC2B30" w:rsidP="00BC2B30">
            <w:pPr>
              <w:spacing w:after="200" w:line="480" w:lineRule="auto"/>
              <w:jc w:val="center"/>
              <w:rPr>
                <w:bCs/>
                <w:i/>
                <w:iCs/>
                <w:sz w:val="16"/>
                <w:szCs w:val="16"/>
              </w:rPr>
            </w:pPr>
            <w:r w:rsidRPr="00BC4A16">
              <w:rPr>
                <w:bCs/>
                <w:i/>
                <w:iCs/>
                <w:sz w:val="16"/>
                <w:szCs w:val="16"/>
              </w:rPr>
              <w:t>(±</w:t>
            </w:r>
            <w:r>
              <w:rPr>
                <w:bCs/>
                <w:i/>
                <w:iCs/>
                <w:sz w:val="16"/>
                <w:szCs w:val="16"/>
              </w:rPr>
              <w:t>0.01</w:t>
            </w:r>
            <w:r w:rsidRPr="00BC4A16">
              <w:rPr>
                <w:bCs/>
                <w:i/>
                <w:iCs/>
                <w:sz w:val="16"/>
                <w:szCs w:val="16"/>
              </w:rPr>
              <w:t>)</w:t>
            </w:r>
          </w:p>
          <w:p w:rsidR="00C61A94" w:rsidRPr="00C61A94" w:rsidRDefault="00C61A94" w:rsidP="00C61A94">
            <w:pPr>
              <w:spacing w:after="200" w:line="480" w:lineRule="auto"/>
              <w:jc w:val="center"/>
              <w:rPr>
                <w:b/>
                <w:bCs/>
                <w:sz w:val="16"/>
                <w:szCs w:val="16"/>
              </w:rPr>
            </w:pPr>
          </w:p>
        </w:tc>
      </w:tr>
      <w:tr w:rsidR="00956B80" w:rsidRPr="00A87788" w:rsidTr="00F97B29">
        <w:trPr>
          <w:trHeight w:val="541"/>
        </w:trPr>
        <w:tc>
          <w:tcPr>
            <w:tcW w:w="0" w:type="auto"/>
            <w:tcBorders>
              <w:bottom w:val="single" w:sz="4" w:space="0" w:color="auto"/>
            </w:tcBorders>
            <w:hideMark/>
          </w:tcPr>
          <w:p w:rsidR="00956B80" w:rsidRPr="00A87788" w:rsidRDefault="00956B80" w:rsidP="00AF3E73">
            <w:pPr>
              <w:spacing w:after="200" w:line="480" w:lineRule="auto"/>
              <w:jc w:val="center"/>
              <w:rPr>
                <w:bCs/>
                <w:sz w:val="16"/>
                <w:szCs w:val="16"/>
              </w:rPr>
            </w:pPr>
            <w:r w:rsidRPr="00A87788">
              <w:rPr>
                <w:bCs/>
                <w:sz w:val="16"/>
                <w:szCs w:val="16"/>
              </w:rPr>
              <w:t>iITC</w:t>
            </w:r>
          </w:p>
        </w:tc>
        <w:tc>
          <w:tcPr>
            <w:tcW w:w="0" w:type="auto"/>
            <w:tcBorders>
              <w:bottom w:val="single" w:sz="4" w:space="0" w:color="auto"/>
            </w:tcBorders>
            <w:hideMark/>
          </w:tcPr>
          <w:p w:rsidR="00956B80" w:rsidRPr="00525BCC" w:rsidRDefault="00956B80" w:rsidP="00AF3E73">
            <w:pPr>
              <w:spacing w:line="480" w:lineRule="auto"/>
              <w:jc w:val="center"/>
              <w:rPr>
                <w:bCs/>
                <w:iCs/>
                <w:sz w:val="16"/>
                <w:szCs w:val="16"/>
              </w:rPr>
            </w:pPr>
            <w:r w:rsidRPr="00525BCC">
              <w:rPr>
                <w:bCs/>
                <w:iCs/>
                <w:sz w:val="16"/>
                <w:szCs w:val="16"/>
              </w:rPr>
              <w:t>-</w:t>
            </w:r>
          </w:p>
        </w:tc>
        <w:tc>
          <w:tcPr>
            <w:tcW w:w="0" w:type="auto"/>
            <w:tcBorders>
              <w:bottom w:val="single" w:sz="4" w:space="0" w:color="auto"/>
            </w:tcBorders>
            <w:hideMark/>
          </w:tcPr>
          <w:p w:rsidR="00956B80" w:rsidRPr="00525BCC" w:rsidRDefault="00956B80" w:rsidP="00AF3E73">
            <w:pPr>
              <w:spacing w:line="480" w:lineRule="auto"/>
              <w:jc w:val="center"/>
              <w:rPr>
                <w:bCs/>
                <w:iCs/>
                <w:sz w:val="16"/>
                <w:szCs w:val="16"/>
              </w:rPr>
            </w:pPr>
            <w:r w:rsidRPr="00525BCC">
              <w:rPr>
                <w:bCs/>
                <w:iCs/>
                <w:sz w:val="16"/>
                <w:szCs w:val="16"/>
              </w:rPr>
              <w:t>-</w:t>
            </w:r>
          </w:p>
        </w:tc>
        <w:tc>
          <w:tcPr>
            <w:tcW w:w="0" w:type="auto"/>
            <w:tcBorders>
              <w:bottom w:val="single" w:sz="4" w:space="0" w:color="auto"/>
            </w:tcBorders>
            <w:hideMark/>
          </w:tcPr>
          <w:p w:rsidR="00956B80" w:rsidRPr="00525BCC" w:rsidRDefault="00956B80" w:rsidP="00AF3E73">
            <w:pPr>
              <w:spacing w:line="480" w:lineRule="auto"/>
              <w:jc w:val="center"/>
              <w:rPr>
                <w:bCs/>
                <w:iCs/>
                <w:sz w:val="16"/>
                <w:szCs w:val="16"/>
              </w:rPr>
            </w:pPr>
            <w:r w:rsidRPr="00525BCC">
              <w:rPr>
                <w:bCs/>
                <w:iCs/>
                <w:sz w:val="16"/>
                <w:szCs w:val="16"/>
              </w:rPr>
              <w:t>-</w:t>
            </w:r>
          </w:p>
        </w:tc>
        <w:tc>
          <w:tcPr>
            <w:tcW w:w="0" w:type="auto"/>
            <w:tcBorders>
              <w:bottom w:val="single" w:sz="4" w:space="0" w:color="auto"/>
            </w:tcBorders>
            <w:hideMark/>
          </w:tcPr>
          <w:p w:rsidR="00956B80" w:rsidRPr="00525BCC" w:rsidRDefault="00956B80" w:rsidP="00AF3E73">
            <w:pPr>
              <w:spacing w:line="480" w:lineRule="auto"/>
              <w:jc w:val="center"/>
              <w:rPr>
                <w:bCs/>
                <w:iCs/>
                <w:sz w:val="16"/>
                <w:szCs w:val="16"/>
              </w:rPr>
            </w:pPr>
            <w:r w:rsidRPr="00525BCC">
              <w:rPr>
                <w:bCs/>
                <w:iCs/>
                <w:sz w:val="16"/>
                <w:szCs w:val="16"/>
              </w:rPr>
              <w:t>-</w:t>
            </w:r>
          </w:p>
        </w:tc>
        <w:tc>
          <w:tcPr>
            <w:tcW w:w="0" w:type="auto"/>
            <w:tcBorders>
              <w:bottom w:val="single" w:sz="4" w:space="0" w:color="auto"/>
            </w:tcBorders>
          </w:tcPr>
          <w:p w:rsidR="00956B80" w:rsidRDefault="00956B80" w:rsidP="00AF3E73">
            <w:pPr>
              <w:spacing w:line="480" w:lineRule="auto"/>
              <w:jc w:val="center"/>
              <w:rPr>
                <w:bCs/>
                <w:iCs/>
                <w:sz w:val="16"/>
                <w:szCs w:val="16"/>
              </w:rPr>
            </w:pPr>
            <w:r w:rsidRPr="00525BCC">
              <w:rPr>
                <w:bCs/>
                <w:iCs/>
                <w:sz w:val="16"/>
                <w:szCs w:val="16"/>
              </w:rPr>
              <w:t>22.5</w:t>
            </w:r>
          </w:p>
          <w:p w:rsidR="00F97B29" w:rsidRDefault="00F97B29" w:rsidP="00F97B29">
            <w:pPr>
              <w:spacing w:after="200" w:line="480" w:lineRule="auto"/>
              <w:jc w:val="center"/>
              <w:rPr>
                <w:b/>
                <w:bCs/>
                <w:iCs/>
                <w:sz w:val="16"/>
                <w:szCs w:val="16"/>
              </w:rPr>
            </w:pPr>
            <w:r w:rsidRPr="00C61A94">
              <w:rPr>
                <w:b/>
                <w:bCs/>
                <w:iCs/>
                <w:sz w:val="16"/>
                <w:szCs w:val="16"/>
              </w:rPr>
              <w:t>(±0.5)</w:t>
            </w:r>
          </w:p>
          <w:p w:rsidR="00CE1D49" w:rsidRPr="00CE1D49" w:rsidRDefault="00CE1D49" w:rsidP="00CE1D49">
            <w:pPr>
              <w:spacing w:after="200" w:line="480" w:lineRule="auto"/>
              <w:jc w:val="center"/>
              <w:rPr>
                <w:b/>
                <w:bCs/>
                <w:sz w:val="16"/>
                <w:szCs w:val="16"/>
              </w:rPr>
            </w:pPr>
            <w:r>
              <w:rPr>
                <w:bCs/>
                <w:i/>
                <w:iCs/>
                <w:sz w:val="16"/>
                <w:szCs w:val="16"/>
              </w:rPr>
              <w:t>(</w:t>
            </w:r>
            <w:r w:rsidRPr="00BC4A16">
              <w:rPr>
                <w:bCs/>
                <w:i/>
                <w:iCs/>
                <w:sz w:val="16"/>
                <w:szCs w:val="16"/>
              </w:rPr>
              <w:t>±</w:t>
            </w:r>
            <w:r>
              <w:rPr>
                <w:bCs/>
                <w:i/>
                <w:iCs/>
                <w:sz w:val="16"/>
                <w:szCs w:val="16"/>
              </w:rPr>
              <w:t>0.5)</w:t>
            </w:r>
          </w:p>
        </w:tc>
        <w:tc>
          <w:tcPr>
            <w:tcW w:w="0" w:type="auto"/>
            <w:tcBorders>
              <w:bottom w:val="single" w:sz="4" w:space="0" w:color="auto"/>
            </w:tcBorders>
          </w:tcPr>
          <w:p w:rsidR="00956B80" w:rsidRDefault="00956B80" w:rsidP="00AF3E73">
            <w:pPr>
              <w:spacing w:line="480" w:lineRule="auto"/>
              <w:jc w:val="center"/>
              <w:rPr>
                <w:bCs/>
                <w:iCs/>
                <w:sz w:val="16"/>
                <w:szCs w:val="16"/>
              </w:rPr>
            </w:pPr>
            <w:r w:rsidRPr="00525BCC">
              <w:rPr>
                <w:bCs/>
                <w:iCs/>
                <w:sz w:val="16"/>
                <w:szCs w:val="16"/>
              </w:rPr>
              <w:t>-9</w:t>
            </w:r>
          </w:p>
          <w:p w:rsidR="00F97B29" w:rsidRPr="00F97B29" w:rsidRDefault="00F97B29" w:rsidP="00F97B29">
            <w:pPr>
              <w:spacing w:after="200" w:line="480" w:lineRule="auto"/>
              <w:jc w:val="center"/>
              <w:rPr>
                <w:b/>
                <w:bCs/>
                <w:iCs/>
                <w:sz w:val="16"/>
                <w:szCs w:val="16"/>
              </w:rPr>
            </w:pPr>
            <w:r w:rsidRPr="00C61A94">
              <w:rPr>
                <w:b/>
                <w:bCs/>
                <w:iCs/>
                <w:sz w:val="16"/>
                <w:szCs w:val="16"/>
              </w:rPr>
              <w:t>(±</w:t>
            </w:r>
            <w:r>
              <w:rPr>
                <w:b/>
                <w:bCs/>
                <w:iCs/>
                <w:sz w:val="16"/>
                <w:szCs w:val="16"/>
              </w:rPr>
              <w:t>0.7</w:t>
            </w:r>
            <w:r w:rsidRPr="00C61A94">
              <w:rPr>
                <w:b/>
                <w:bCs/>
                <w:iCs/>
                <w:sz w:val="16"/>
                <w:szCs w:val="16"/>
              </w:rPr>
              <w:t>)</w:t>
            </w:r>
          </w:p>
        </w:tc>
        <w:tc>
          <w:tcPr>
            <w:tcW w:w="0" w:type="auto"/>
            <w:tcBorders>
              <w:bottom w:val="single" w:sz="4" w:space="0" w:color="auto"/>
            </w:tcBorders>
          </w:tcPr>
          <w:p w:rsidR="00956B80" w:rsidRDefault="00956B80" w:rsidP="00AF3E73">
            <w:pPr>
              <w:spacing w:line="480" w:lineRule="auto"/>
              <w:jc w:val="center"/>
              <w:rPr>
                <w:bCs/>
                <w:iCs/>
                <w:sz w:val="16"/>
                <w:szCs w:val="16"/>
              </w:rPr>
            </w:pPr>
            <w:r w:rsidRPr="00525BCC">
              <w:rPr>
                <w:bCs/>
                <w:iCs/>
                <w:sz w:val="16"/>
                <w:szCs w:val="16"/>
              </w:rPr>
              <w:t>31.4</w:t>
            </w:r>
          </w:p>
          <w:p w:rsidR="00CE1D49" w:rsidRDefault="00F97B29" w:rsidP="00CE1D49">
            <w:pPr>
              <w:spacing w:after="200" w:line="480" w:lineRule="auto"/>
              <w:jc w:val="center"/>
              <w:rPr>
                <w:b/>
                <w:bCs/>
                <w:iCs/>
                <w:sz w:val="16"/>
                <w:szCs w:val="16"/>
              </w:rPr>
            </w:pPr>
            <w:r w:rsidRPr="00C61A94">
              <w:rPr>
                <w:b/>
                <w:bCs/>
                <w:iCs/>
                <w:sz w:val="16"/>
                <w:szCs w:val="16"/>
              </w:rPr>
              <w:t>(±</w:t>
            </w:r>
            <w:r>
              <w:rPr>
                <w:b/>
                <w:bCs/>
                <w:iCs/>
                <w:sz w:val="16"/>
                <w:szCs w:val="16"/>
              </w:rPr>
              <w:t>0.3</w:t>
            </w:r>
            <w:r w:rsidRPr="00C61A94">
              <w:rPr>
                <w:b/>
                <w:bCs/>
                <w:iCs/>
                <w:sz w:val="16"/>
                <w:szCs w:val="16"/>
              </w:rPr>
              <w:t>)</w:t>
            </w:r>
          </w:p>
          <w:p w:rsidR="00CE1D49" w:rsidRPr="00CE1D49" w:rsidRDefault="00CE1D49" w:rsidP="00B91A41">
            <w:pPr>
              <w:spacing w:after="200" w:line="480" w:lineRule="auto"/>
              <w:jc w:val="center"/>
              <w:rPr>
                <w:b/>
                <w:bCs/>
                <w:iCs/>
                <w:sz w:val="16"/>
                <w:szCs w:val="16"/>
              </w:rPr>
            </w:pPr>
            <w:r>
              <w:rPr>
                <w:bCs/>
                <w:i/>
                <w:iCs/>
                <w:sz w:val="16"/>
                <w:szCs w:val="16"/>
              </w:rPr>
              <w:t>(</w:t>
            </w:r>
            <w:r w:rsidRPr="00BC4A16">
              <w:rPr>
                <w:bCs/>
                <w:i/>
                <w:iCs/>
                <w:sz w:val="16"/>
                <w:szCs w:val="16"/>
              </w:rPr>
              <w:t>±</w:t>
            </w:r>
            <w:r w:rsidR="00B91A41">
              <w:rPr>
                <w:bCs/>
                <w:i/>
                <w:iCs/>
                <w:sz w:val="16"/>
                <w:szCs w:val="16"/>
              </w:rPr>
              <w:t>3</w:t>
            </w:r>
            <w:r>
              <w:rPr>
                <w:bCs/>
                <w:i/>
                <w:iCs/>
                <w:sz w:val="16"/>
                <w:szCs w:val="16"/>
              </w:rPr>
              <w:t>)</w:t>
            </w:r>
          </w:p>
        </w:tc>
        <w:tc>
          <w:tcPr>
            <w:tcW w:w="0" w:type="auto"/>
            <w:tcBorders>
              <w:bottom w:val="single" w:sz="4" w:space="0" w:color="auto"/>
            </w:tcBorders>
          </w:tcPr>
          <w:p w:rsidR="00956B80" w:rsidRDefault="00956B80" w:rsidP="00AF3E73">
            <w:pPr>
              <w:spacing w:line="480" w:lineRule="auto"/>
              <w:jc w:val="center"/>
              <w:rPr>
                <w:bCs/>
                <w:iCs/>
                <w:sz w:val="16"/>
                <w:szCs w:val="16"/>
              </w:rPr>
            </w:pPr>
            <w:r w:rsidRPr="00525BCC">
              <w:rPr>
                <w:bCs/>
                <w:iCs/>
                <w:sz w:val="16"/>
                <w:szCs w:val="16"/>
              </w:rPr>
              <w:t>1.9</w:t>
            </w:r>
          </w:p>
          <w:p w:rsidR="00CE1D49" w:rsidRDefault="00F97B29" w:rsidP="00CE1D49">
            <w:pPr>
              <w:spacing w:line="720" w:lineRule="auto"/>
              <w:jc w:val="center"/>
              <w:rPr>
                <w:b/>
                <w:bCs/>
                <w:iCs/>
                <w:sz w:val="16"/>
                <w:szCs w:val="16"/>
              </w:rPr>
            </w:pPr>
            <w:r w:rsidRPr="00C61A94">
              <w:rPr>
                <w:b/>
                <w:bCs/>
                <w:iCs/>
                <w:sz w:val="16"/>
                <w:szCs w:val="16"/>
              </w:rPr>
              <w:t>(±</w:t>
            </w:r>
            <w:r>
              <w:rPr>
                <w:b/>
                <w:bCs/>
                <w:iCs/>
                <w:sz w:val="16"/>
                <w:szCs w:val="16"/>
              </w:rPr>
              <w:t>0.003</w:t>
            </w:r>
            <w:r w:rsidRPr="00C61A94">
              <w:rPr>
                <w:b/>
                <w:bCs/>
                <w:iCs/>
                <w:sz w:val="16"/>
                <w:szCs w:val="16"/>
              </w:rPr>
              <w:t>)</w:t>
            </w:r>
          </w:p>
          <w:p w:rsidR="00CE1D49" w:rsidRPr="00CE1D49" w:rsidRDefault="00CE1D49" w:rsidP="00CE1D49">
            <w:pPr>
              <w:spacing w:line="720" w:lineRule="auto"/>
              <w:rPr>
                <w:b/>
                <w:bCs/>
                <w:iCs/>
                <w:sz w:val="16"/>
                <w:szCs w:val="16"/>
              </w:rPr>
            </w:pPr>
            <w:r>
              <w:rPr>
                <w:bCs/>
                <w:i/>
                <w:iCs/>
                <w:sz w:val="16"/>
                <w:szCs w:val="16"/>
              </w:rPr>
              <w:t xml:space="preserve">     (</w:t>
            </w:r>
            <w:r w:rsidRPr="00BC4A16">
              <w:rPr>
                <w:bCs/>
                <w:i/>
                <w:iCs/>
                <w:sz w:val="16"/>
                <w:szCs w:val="16"/>
              </w:rPr>
              <w:t>±</w:t>
            </w:r>
            <w:r>
              <w:rPr>
                <w:bCs/>
                <w:i/>
                <w:iCs/>
                <w:sz w:val="16"/>
                <w:szCs w:val="16"/>
              </w:rPr>
              <w:t>0.001)</w:t>
            </w:r>
          </w:p>
        </w:tc>
      </w:tr>
    </w:tbl>
    <w:p w:rsidR="00956B80" w:rsidRDefault="00956B80" w:rsidP="00956B80">
      <w:pPr>
        <w:spacing w:line="480" w:lineRule="auto"/>
        <w:jc w:val="both"/>
        <w:rPr>
          <w:bCs/>
        </w:rPr>
      </w:pPr>
    </w:p>
    <w:p w:rsidR="00956B80" w:rsidRPr="0057458E" w:rsidRDefault="00956B80" w:rsidP="00626B72">
      <w:pPr>
        <w:pStyle w:val="Heading3"/>
        <w:numPr>
          <w:ilvl w:val="2"/>
          <w:numId w:val="10"/>
        </w:numPr>
        <w:spacing w:line="480" w:lineRule="auto"/>
      </w:pPr>
      <w:bookmarkStart w:id="200" w:name="_Toc459130728"/>
      <w:r w:rsidRPr="0057458E">
        <w:t>I</w:t>
      </w:r>
      <w:r>
        <w:t xml:space="preserve">sothermal </w:t>
      </w:r>
      <w:r w:rsidRPr="0057458E">
        <w:t>T</w:t>
      </w:r>
      <w:r>
        <w:t xml:space="preserve">itration </w:t>
      </w:r>
      <w:r w:rsidRPr="0057458E">
        <w:t>C</w:t>
      </w:r>
      <w:r>
        <w:t>alorimetry Binding Studies between Lysozyme and Potassium P</w:t>
      </w:r>
      <w:r w:rsidRPr="0057458E">
        <w:t>hytate</w:t>
      </w:r>
      <w:bookmarkEnd w:id="200"/>
    </w:p>
    <w:p w:rsidR="00956B80" w:rsidRDefault="00956B80" w:rsidP="00956B80">
      <w:pPr>
        <w:spacing w:line="480" w:lineRule="auto"/>
        <w:jc w:val="both"/>
        <w:rPr>
          <w:bCs/>
        </w:rPr>
      </w:pPr>
      <w:r>
        <w:rPr>
          <w:bCs/>
        </w:rPr>
        <w:t xml:space="preserve">To determine if purity of the chemicals was an issue, the lysozyme was dialysed overnight and potassium phytate which has a purity of 95% was employed in further ITC studies. Furthermore, the injection interval for the cITC study was increased </w:t>
      </w:r>
      <w:r w:rsidR="00277FDB">
        <w:rPr>
          <w:bCs/>
        </w:rPr>
        <w:t>as the potassium phytate-lysozyme interaction takes longer to achieve equilibrium</w:t>
      </w:r>
      <w:r>
        <w:rPr>
          <w:bCs/>
        </w:rPr>
        <w:t xml:space="preserve">. </w:t>
      </w:r>
    </w:p>
    <w:p w:rsidR="00956B80" w:rsidRDefault="0075172E" w:rsidP="00956B80">
      <w:pPr>
        <w:spacing w:line="480" w:lineRule="auto"/>
        <w:jc w:val="both"/>
        <w:rPr>
          <w:bCs/>
        </w:rPr>
      </w:pPr>
      <w:r>
        <w:rPr>
          <w:bCs/>
        </w:rPr>
        <w:fldChar w:fldCharType="begin"/>
      </w:r>
      <w:r w:rsidR="00956B80">
        <w:rPr>
          <w:bCs/>
        </w:rPr>
        <w:instrText xml:space="preserve"> REF _Ref442889665 \h </w:instrText>
      </w:r>
      <w:r>
        <w:rPr>
          <w:bCs/>
        </w:rPr>
      </w:r>
      <w:r>
        <w:rPr>
          <w:bCs/>
        </w:rPr>
        <w:fldChar w:fldCharType="separate"/>
      </w:r>
      <w:r w:rsidR="00CB4EDC">
        <w:t xml:space="preserve">Figure </w:t>
      </w:r>
      <w:r w:rsidR="00CB4EDC">
        <w:rPr>
          <w:noProof/>
        </w:rPr>
        <w:t>5</w:t>
      </w:r>
      <w:r w:rsidR="00CB4EDC">
        <w:t>.</w:t>
      </w:r>
      <w:r w:rsidR="00CB4EDC">
        <w:rPr>
          <w:noProof/>
        </w:rPr>
        <w:t>8</w:t>
      </w:r>
      <w:r>
        <w:rPr>
          <w:bCs/>
        </w:rPr>
        <w:fldChar w:fldCharType="end"/>
      </w:r>
      <w:r w:rsidR="00956B80">
        <w:rPr>
          <w:bCs/>
        </w:rPr>
        <w:t xml:space="preserve">, </w:t>
      </w:r>
      <w:r>
        <w:rPr>
          <w:bCs/>
        </w:rPr>
        <w:fldChar w:fldCharType="begin"/>
      </w:r>
      <w:r w:rsidR="00956B80">
        <w:rPr>
          <w:bCs/>
        </w:rPr>
        <w:instrText xml:space="preserve"> REF _Ref442889667 \h </w:instrText>
      </w:r>
      <w:r>
        <w:rPr>
          <w:bCs/>
        </w:rPr>
      </w:r>
      <w:r>
        <w:rPr>
          <w:bCs/>
        </w:rPr>
        <w:fldChar w:fldCharType="separate"/>
      </w:r>
      <w:r w:rsidR="00CB4EDC">
        <w:t xml:space="preserve">Figure </w:t>
      </w:r>
      <w:r w:rsidR="00CB4EDC">
        <w:rPr>
          <w:noProof/>
        </w:rPr>
        <w:t>5</w:t>
      </w:r>
      <w:r w:rsidR="00CB4EDC">
        <w:t>.</w:t>
      </w:r>
      <w:r w:rsidR="00CB4EDC">
        <w:rPr>
          <w:noProof/>
        </w:rPr>
        <w:t>9</w:t>
      </w:r>
      <w:r>
        <w:rPr>
          <w:bCs/>
        </w:rPr>
        <w:fldChar w:fldCharType="end"/>
      </w:r>
      <w:r w:rsidR="00956B80">
        <w:rPr>
          <w:bCs/>
        </w:rPr>
        <w:t xml:space="preserve"> and</w:t>
      </w:r>
      <w:r w:rsidR="00EF53A8">
        <w:rPr>
          <w:bCs/>
        </w:rPr>
        <w:t xml:space="preserve"> </w:t>
      </w:r>
      <w:r>
        <w:rPr>
          <w:bCs/>
        </w:rPr>
        <w:fldChar w:fldCharType="begin"/>
      </w:r>
      <w:r w:rsidR="00EF53A8">
        <w:rPr>
          <w:bCs/>
        </w:rPr>
        <w:instrText xml:space="preserve"> REF _Ref442891373 \h </w:instrText>
      </w:r>
      <w:r>
        <w:rPr>
          <w:bCs/>
        </w:rPr>
      </w:r>
      <w:r>
        <w:rPr>
          <w:bCs/>
        </w:rPr>
        <w:fldChar w:fldCharType="separate"/>
      </w:r>
      <w:r w:rsidR="00CB4EDC">
        <w:t xml:space="preserve">Figure </w:t>
      </w:r>
      <w:r w:rsidR="00CB4EDC">
        <w:rPr>
          <w:noProof/>
        </w:rPr>
        <w:t>5</w:t>
      </w:r>
      <w:r w:rsidR="00CB4EDC">
        <w:t>.</w:t>
      </w:r>
      <w:r w:rsidR="00CB4EDC">
        <w:rPr>
          <w:noProof/>
        </w:rPr>
        <w:t>10</w:t>
      </w:r>
      <w:r>
        <w:rPr>
          <w:bCs/>
        </w:rPr>
        <w:fldChar w:fldCharType="end"/>
      </w:r>
      <w:r w:rsidR="00956B80">
        <w:rPr>
          <w:bCs/>
        </w:rPr>
        <w:t xml:space="preserve"> show the interaction between potassium phytate and lysozyme using cITC at 10, 25 and 40 °C. </w:t>
      </w:r>
      <w:r w:rsidR="002A7F17">
        <w:rPr>
          <w:bCs/>
        </w:rPr>
        <w:t xml:space="preserve"> </w:t>
      </w:r>
      <w:r w:rsidR="00956B80">
        <w:rPr>
          <w:bCs/>
        </w:rPr>
        <w:t xml:space="preserve">This allowed an investigation of how temperature affects binding.  </w:t>
      </w:r>
      <w:r w:rsidR="00956B80" w:rsidRPr="000F6876">
        <w:rPr>
          <w:bCs/>
        </w:rPr>
        <w:t xml:space="preserve">The binding isotherms generated using cITC show oscillating endo-exothermic heats below 1 molar ratio. This is probably due to phytate-lysozyme crosslinks </w:t>
      </w:r>
      <w:r w:rsidR="00956B80" w:rsidRPr="000F6876">
        <w:rPr>
          <w:bCs/>
        </w:rPr>
        <w:lastRenderedPageBreak/>
        <w:t xml:space="preserve">forming in solution. </w:t>
      </w:r>
      <w:r w:rsidR="00956B80">
        <w:rPr>
          <w:bCs/>
        </w:rPr>
        <w:t>The exothermic profile</w:t>
      </w:r>
      <w:r w:rsidR="00E11779">
        <w:rPr>
          <w:bCs/>
        </w:rPr>
        <w:t>s</w:t>
      </w:r>
      <w:r w:rsidR="00956B80">
        <w:rPr>
          <w:bCs/>
        </w:rPr>
        <w:t xml:space="preserve"> produced by cITC </w:t>
      </w:r>
      <w:r w:rsidR="00E11779">
        <w:rPr>
          <w:bCs/>
        </w:rPr>
        <w:t>are similar</w:t>
      </w:r>
      <w:r w:rsidR="00956B80">
        <w:rPr>
          <w:bCs/>
        </w:rPr>
        <w:t xml:space="preserve"> in shape to </w:t>
      </w:r>
      <w:r w:rsidR="00E11779">
        <w:rPr>
          <w:bCs/>
        </w:rPr>
        <w:t>those</w:t>
      </w:r>
      <w:r w:rsidR="00956B80">
        <w:rPr>
          <w:bCs/>
        </w:rPr>
        <w:t xml:space="preserve"> produced by iITC at 25 and 40</w:t>
      </w:r>
      <w:r w:rsidR="00956B80">
        <w:rPr>
          <w:bCs/>
        </w:rPr>
        <w:sym w:font="Mathematica1" w:char="F0B0"/>
      </w:r>
      <w:r w:rsidR="00956B80">
        <w:rPr>
          <w:bCs/>
        </w:rPr>
        <w:t>C</w:t>
      </w:r>
      <w:r w:rsidR="00E11779">
        <w:rPr>
          <w:bCs/>
        </w:rPr>
        <w:t xml:space="preserve">. </w:t>
      </w:r>
    </w:p>
    <w:p w:rsidR="00956B80" w:rsidRDefault="00040F10" w:rsidP="00956B80">
      <w:pPr>
        <w:keepNext/>
        <w:spacing w:line="480" w:lineRule="auto"/>
        <w:jc w:val="center"/>
      </w:pPr>
      <w:r>
        <w:rPr>
          <w:bCs/>
          <w:noProof/>
          <w:lang w:eastAsia="en-GB"/>
        </w:rPr>
        <w:pict>
          <v:shape id="_x0000_s1135" type="#_x0000_t202" style="position:absolute;left:0;text-align:left;margin-left:167.65pt;margin-top:-.7pt;width:87.05pt;height:17.6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5">
              <w:txbxContent>
                <w:p w:rsidR="003A5686" w:rsidRPr="00B141B9" w:rsidRDefault="003A5686" w:rsidP="00D25795">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bCs/>
          <w:noProof/>
          <w:lang w:eastAsia="en-GB"/>
        </w:rPr>
        <w:pict>
          <v:shape id="_x0000_s1134" type="#_x0000_t202" style="position:absolute;left:0;text-align:left;margin-left:177.7pt;margin-top:254.65pt;width:87.05pt;height:17.6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4">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noProof/>
          <w:lang w:eastAsia="en-GB"/>
        </w:rPr>
        <w:pict>
          <v:shape id="_x0000_s1127" type="#_x0000_t202" style="position:absolute;left:0;text-align:left;margin-left:-5.7pt;margin-top:26.4pt;width:26.15pt;height:219.7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4411AE">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sidR="00E11779">
        <w:rPr>
          <w:noProof/>
          <w:lang w:eastAsia="en-GB"/>
        </w:rPr>
        <w:drawing>
          <wp:inline distT="0" distB="0" distL="0" distR="0" wp14:anchorId="7D71E2F4" wp14:editId="151C9B1C">
            <wp:extent cx="5205730" cy="3418036"/>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1" cstate="print"/>
                    <a:srcRect/>
                    <a:stretch>
                      <a:fillRect/>
                    </a:stretch>
                  </pic:blipFill>
                  <pic:spPr bwMode="auto">
                    <a:xfrm>
                      <a:off x="0" y="0"/>
                      <a:ext cx="5205730" cy="3418036"/>
                    </a:xfrm>
                    <a:prstGeom prst="rect">
                      <a:avLst/>
                    </a:prstGeom>
                    <a:noFill/>
                    <a:ln w="9525">
                      <a:noFill/>
                      <a:miter lim="800000"/>
                      <a:headEnd/>
                      <a:tailEnd/>
                    </a:ln>
                  </pic:spPr>
                </pic:pic>
              </a:graphicData>
            </a:graphic>
          </wp:inline>
        </w:drawing>
      </w:r>
    </w:p>
    <w:p w:rsidR="00956B80" w:rsidRPr="00A118E2" w:rsidRDefault="00956B80" w:rsidP="00956B80">
      <w:pPr>
        <w:pStyle w:val="Caption"/>
        <w:spacing w:line="480" w:lineRule="auto"/>
        <w:jc w:val="center"/>
      </w:pPr>
      <w:bookmarkStart w:id="201" w:name="_Ref442889665"/>
      <w:r>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8</w:t>
      </w:r>
      <w:r w:rsidR="0075172E">
        <w:fldChar w:fldCharType="end"/>
      </w:r>
      <w:bookmarkEnd w:id="201"/>
      <w:r>
        <w:t>: Upper: Thermogram of 6 mM sodium phytate injected into 0.4 mM lysozyme in 10 mM ammonium acetate at 40</w:t>
      </w:r>
      <w:r w:rsidR="006F2757">
        <w:t xml:space="preserve"> </w:t>
      </w:r>
      <w:r>
        <w:t>°C (red), phytate dilution into ammonium acetate (blue) and ammonium acetate into lysozyme (black) Lower: Binding isotherm for the corresponding interaction (red) phytate dilution into ammonium acetate (blue) and ammonium acetate dilution into lysozyme (black).</w:t>
      </w:r>
      <w:r w:rsidR="004E0F1C">
        <w:t xml:space="preserve"> Solid line represents single site independent binding model fit.</w:t>
      </w:r>
    </w:p>
    <w:p w:rsidR="00956B80" w:rsidRDefault="00956B80" w:rsidP="00956B80">
      <w:pPr>
        <w:spacing w:line="480" w:lineRule="auto"/>
        <w:jc w:val="both"/>
        <w:rPr>
          <w:bCs/>
        </w:rPr>
      </w:pPr>
      <w:r>
        <w:rPr>
          <w:bCs/>
        </w:rPr>
        <w:t xml:space="preserve">However, the titrations at 10 </w:t>
      </w:r>
      <w:r>
        <w:rPr>
          <w:bCs/>
        </w:rPr>
        <w:sym w:font="Mathematica1" w:char="F0B0"/>
      </w:r>
      <w:r>
        <w:rPr>
          <w:bCs/>
        </w:rPr>
        <w:t xml:space="preserve">C show a discrepancy in the binding isotherm generated by cITC or iITC </w:t>
      </w:r>
      <w:r w:rsidR="00F36D4A">
        <w:rPr>
          <w:bCs/>
        </w:rPr>
        <w:t>(</w:t>
      </w:r>
      <w:r w:rsidR="0075172E">
        <w:rPr>
          <w:bCs/>
        </w:rPr>
        <w:fldChar w:fldCharType="begin"/>
      </w:r>
      <w:r w:rsidR="00F36D4A">
        <w:rPr>
          <w:bCs/>
        </w:rPr>
        <w:instrText xml:space="preserve"> REF _Ref442891373 \h </w:instrText>
      </w:r>
      <w:r w:rsidR="0075172E">
        <w:rPr>
          <w:bCs/>
        </w:rPr>
      </w:r>
      <w:r w:rsidR="0075172E">
        <w:rPr>
          <w:bCs/>
        </w:rPr>
        <w:fldChar w:fldCharType="separate"/>
      </w:r>
      <w:r w:rsidR="00CB4EDC">
        <w:t xml:space="preserve">Figure </w:t>
      </w:r>
      <w:r w:rsidR="00CB4EDC">
        <w:rPr>
          <w:noProof/>
        </w:rPr>
        <w:t>5</w:t>
      </w:r>
      <w:r w:rsidR="00CB4EDC">
        <w:t>.</w:t>
      </w:r>
      <w:r w:rsidR="00CB4EDC">
        <w:rPr>
          <w:noProof/>
        </w:rPr>
        <w:t>10</w:t>
      </w:r>
      <w:r w:rsidR="0075172E">
        <w:rPr>
          <w:bCs/>
        </w:rPr>
        <w:fldChar w:fldCharType="end"/>
      </w:r>
      <w:r w:rsidR="00F36D4A">
        <w:rPr>
          <w:bCs/>
        </w:rPr>
        <w:t xml:space="preserve"> and </w:t>
      </w:r>
      <w:r w:rsidR="0075172E">
        <w:rPr>
          <w:bCs/>
        </w:rPr>
        <w:fldChar w:fldCharType="begin"/>
      </w:r>
      <w:r w:rsidR="00F36D4A">
        <w:rPr>
          <w:bCs/>
        </w:rPr>
        <w:instrText xml:space="preserve"> REF _Ref443076706 \h </w:instrText>
      </w:r>
      <w:r w:rsidR="0075172E">
        <w:rPr>
          <w:bCs/>
        </w:rPr>
      </w:r>
      <w:r w:rsidR="0075172E">
        <w:rPr>
          <w:bCs/>
        </w:rPr>
        <w:fldChar w:fldCharType="separate"/>
      </w:r>
      <w:r w:rsidR="00CB4EDC">
        <w:t xml:space="preserve">Figure </w:t>
      </w:r>
      <w:r w:rsidR="00CB4EDC">
        <w:rPr>
          <w:noProof/>
        </w:rPr>
        <w:t>5</w:t>
      </w:r>
      <w:r w:rsidR="00CB4EDC">
        <w:t>.</w:t>
      </w:r>
      <w:r w:rsidR="00CB4EDC">
        <w:rPr>
          <w:noProof/>
        </w:rPr>
        <w:t>11</w:t>
      </w:r>
      <w:r w:rsidR="0075172E">
        <w:rPr>
          <w:bCs/>
        </w:rPr>
        <w:fldChar w:fldCharType="end"/>
      </w:r>
      <w:r w:rsidR="00F36D4A">
        <w:rPr>
          <w:bCs/>
        </w:rPr>
        <w:t xml:space="preserve">). </w:t>
      </w:r>
      <w:r>
        <w:rPr>
          <w:bCs/>
        </w:rPr>
        <w:t>Visual inspection of the binding isotherms produced over the temperature range suggests that the binding energetics begin to differentiate at 10</w:t>
      </w:r>
      <w:r>
        <w:rPr>
          <w:bCs/>
        </w:rPr>
        <w:sym w:font="Mathematica1" w:char="F0B0"/>
      </w:r>
      <w:r>
        <w:rPr>
          <w:bCs/>
        </w:rPr>
        <w:t xml:space="preserve">C. </w:t>
      </w:r>
      <w:r w:rsidR="0075172E">
        <w:rPr>
          <w:bCs/>
        </w:rPr>
        <w:fldChar w:fldCharType="begin"/>
      </w:r>
      <w:r>
        <w:rPr>
          <w:bCs/>
        </w:rPr>
        <w:instrText xml:space="preserve"> REF _Ref442891314 \h </w:instrText>
      </w:r>
      <w:r w:rsidR="0075172E">
        <w:rPr>
          <w:bCs/>
        </w:rPr>
      </w:r>
      <w:r w:rsidR="0075172E">
        <w:rPr>
          <w:bCs/>
        </w:rPr>
        <w:fldChar w:fldCharType="separate"/>
      </w:r>
      <w:r w:rsidR="00CB4EDC">
        <w:t xml:space="preserve">Figure </w:t>
      </w:r>
      <w:r w:rsidR="00CB4EDC">
        <w:rPr>
          <w:noProof/>
        </w:rPr>
        <w:t>5</w:t>
      </w:r>
      <w:r w:rsidR="00CB4EDC">
        <w:t>.</w:t>
      </w:r>
      <w:r w:rsidR="00CB4EDC">
        <w:rPr>
          <w:noProof/>
        </w:rPr>
        <w:t>12</w:t>
      </w:r>
      <w:r w:rsidR="0075172E">
        <w:rPr>
          <w:bCs/>
        </w:rPr>
        <w:fldChar w:fldCharType="end"/>
      </w:r>
      <w:r>
        <w:rPr>
          <w:bCs/>
        </w:rPr>
        <w:t xml:space="preserve"> is the thermogram for the interaction of potassium phytate with lysozyme at 40 and 10</w:t>
      </w:r>
      <w:r w:rsidRPr="002E253A">
        <w:rPr>
          <w:bCs/>
        </w:rPr>
        <w:sym w:font="Mathematica1" w:char="F0B0"/>
      </w:r>
      <w:r w:rsidRPr="002E253A">
        <w:rPr>
          <w:bCs/>
        </w:rPr>
        <w:t>C</w:t>
      </w:r>
      <w:r>
        <w:rPr>
          <w:bCs/>
        </w:rPr>
        <w:t>.</w:t>
      </w:r>
    </w:p>
    <w:p w:rsidR="00956B80" w:rsidRPr="000B18CD" w:rsidRDefault="00956B80" w:rsidP="00956B80">
      <w:pPr>
        <w:spacing w:line="480" w:lineRule="auto"/>
        <w:jc w:val="both"/>
        <w:rPr>
          <w:bCs/>
        </w:rPr>
      </w:pPr>
      <w:r>
        <w:rPr>
          <w:bCs/>
        </w:rPr>
        <w:t xml:space="preserve">Above 4000 </w:t>
      </w:r>
      <w:r w:rsidR="00140CA5">
        <w:rPr>
          <w:bCs/>
        </w:rPr>
        <w:t>seconds,</w:t>
      </w:r>
      <w:r>
        <w:rPr>
          <w:bCs/>
        </w:rPr>
        <w:t xml:space="preserve"> there is a change in the kinetics leading to a slow return to baseline in comparison to the thermogram at 40 °C. This slow return to baseline is usually indicative of aggregation</w:t>
      </w:r>
      <w:r w:rsidR="00C76426">
        <w:rPr>
          <w:bCs/>
        </w:rPr>
        <w:t>.</w:t>
      </w:r>
      <w:hyperlink w:anchor="_ENREF_296" w:tooltip="Kasimova, 2011 #777" w:history="1">
        <w:r w:rsidR="00512D09">
          <w:rPr>
            <w:bCs/>
          </w:rPr>
          <w:fldChar w:fldCharType="begin"/>
        </w:r>
        <w:r w:rsidR="00512D09">
          <w:rPr>
            <w:bCs/>
          </w:rPr>
          <w:instrText xml:space="preserve"> ADDIN EN.CITE &lt;EndNote&gt;&lt;Cite&gt;&lt;Author&gt;Kasimova&lt;/Author&gt;&lt;Year&gt;2011&lt;/Year&gt;&lt;RecNum&gt;777&lt;/RecNum&gt;&lt;DisplayText&gt;&lt;style face="superscript"&gt;296&lt;/style&gt;&lt;/DisplayText&gt;&lt;record&gt;&lt;rec-number&gt;777&lt;/rec-number&gt;&lt;foreign-keys&gt;&lt;key app="EN" db-id="5trrespwzsdr07efd5tx2w96x22re9s0fsdt"&gt;777&lt;/key&gt;&lt;/foreign-keys&gt;&lt;ref-type name="Book"&gt;6&lt;/ref-type&gt;&lt;contributors&gt;&lt;authors&gt;&lt;author&gt;Kasimova, Marina&lt;/author&gt;&lt;/authors&gt;&lt;/contributors&gt;&lt;titles&gt;&lt;title&gt;Troubleshooting guide for Isothermal Titration Calorimetry&lt;/title&gt;&lt;/titles&gt;&lt;pages&gt;7&lt;/pages&gt;&lt;section&gt;4&lt;/section&gt;&lt;dates&gt;&lt;year&gt;2011&lt;/year&gt;&lt;/dates&gt;&lt;pub-location&gt;University of Iowa&lt;/pub-location&gt;&lt;urls&gt;&lt;/urls&gt;&lt;/record&gt;&lt;/Cite&gt;&lt;/EndNote&gt;</w:instrText>
        </w:r>
        <w:r w:rsidR="00512D09">
          <w:rPr>
            <w:bCs/>
          </w:rPr>
          <w:fldChar w:fldCharType="separate"/>
        </w:r>
        <w:r w:rsidR="00512D09" w:rsidRPr="0057696F">
          <w:rPr>
            <w:bCs/>
            <w:noProof/>
            <w:vertAlign w:val="superscript"/>
          </w:rPr>
          <w:t>296</w:t>
        </w:r>
        <w:r w:rsidR="00512D09">
          <w:rPr>
            <w:bCs/>
          </w:rPr>
          <w:fldChar w:fldCharType="end"/>
        </w:r>
      </w:hyperlink>
      <w:r>
        <w:rPr>
          <w:bCs/>
        </w:rPr>
        <w:t xml:space="preserve"> Taken here, it most likely represents formation of larger lysozyme-phytate </w:t>
      </w:r>
      <w:r>
        <w:rPr>
          <w:bCs/>
        </w:rPr>
        <w:lastRenderedPageBreak/>
        <w:t>aggregates. The increase in the time it takes to return to baseline with decreasing temperature suggests the time it takes for the aggregates to dissociate increases with decreasing temperature. Most likely</w:t>
      </w:r>
      <w:r w:rsidR="006024D3">
        <w:rPr>
          <w:bCs/>
        </w:rPr>
        <w:t>,</w:t>
      </w:r>
      <w:r>
        <w:rPr>
          <w:bCs/>
        </w:rPr>
        <w:t xml:space="preserve"> this lag in exothermicity arou</w:t>
      </w:r>
      <w:r w:rsidR="005529BE">
        <w:rPr>
          <w:bCs/>
        </w:rPr>
        <w:t xml:space="preserve">nd 1.5 molar ratios is due to an aggregation </w:t>
      </w:r>
      <w:r>
        <w:rPr>
          <w:bCs/>
        </w:rPr>
        <w:t>event not a change in the binding energetic</w:t>
      </w:r>
      <w:r w:rsidR="006024D3">
        <w:rPr>
          <w:bCs/>
        </w:rPr>
        <w:t>s</w:t>
      </w:r>
      <w:r>
        <w:rPr>
          <w:bCs/>
        </w:rPr>
        <w:t xml:space="preserve"> (</w:t>
      </w:r>
      <w:r w:rsidR="0075172E">
        <w:rPr>
          <w:bCs/>
        </w:rPr>
        <w:fldChar w:fldCharType="begin"/>
      </w:r>
      <w:r>
        <w:rPr>
          <w:bCs/>
        </w:rPr>
        <w:instrText xml:space="preserve"> REF _Ref442891373 \h </w:instrText>
      </w:r>
      <w:r w:rsidR="0075172E">
        <w:rPr>
          <w:bCs/>
        </w:rPr>
      </w:r>
      <w:r w:rsidR="0075172E">
        <w:rPr>
          <w:bCs/>
        </w:rPr>
        <w:fldChar w:fldCharType="separate"/>
      </w:r>
      <w:r w:rsidR="00CB4EDC">
        <w:t xml:space="preserve">Figure </w:t>
      </w:r>
      <w:r w:rsidR="00CB4EDC">
        <w:rPr>
          <w:noProof/>
        </w:rPr>
        <w:t>5</w:t>
      </w:r>
      <w:r w:rsidR="00CB4EDC">
        <w:t>.</w:t>
      </w:r>
      <w:r w:rsidR="00CB4EDC">
        <w:rPr>
          <w:noProof/>
        </w:rPr>
        <w:t>10</w:t>
      </w:r>
      <w:r w:rsidR="0075172E">
        <w:rPr>
          <w:bCs/>
        </w:rPr>
        <w:fldChar w:fldCharType="end"/>
      </w:r>
      <w:r>
        <w:rPr>
          <w:bCs/>
        </w:rPr>
        <w:t>).</w:t>
      </w:r>
    </w:p>
    <w:p w:rsidR="00956B80" w:rsidRDefault="00040F10" w:rsidP="00B55D5C">
      <w:pPr>
        <w:keepNext/>
        <w:spacing w:line="480" w:lineRule="auto"/>
        <w:jc w:val="center"/>
      </w:pPr>
      <w:r>
        <w:rPr>
          <w:bCs/>
          <w:noProof/>
          <w:lang w:eastAsia="en-GB"/>
        </w:rPr>
        <w:pict>
          <v:shape id="_x0000_s1136" type="#_x0000_t202" style="position:absolute;left:0;text-align:left;margin-left:183.85pt;margin-top:264.35pt;width:87.05pt;height:17.6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6">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bCs/>
          <w:noProof/>
          <w:lang w:eastAsia="en-GB"/>
        </w:rPr>
        <w:pict>
          <v:shape id="_x0000_s1137" type="#_x0000_t202" style="position:absolute;left:0;text-align:left;margin-left:183.85pt;margin-top:-1.9pt;width:87.05pt;height:17.6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7">
              <w:txbxContent>
                <w:p w:rsidR="003A5686" w:rsidRPr="00B141B9" w:rsidRDefault="003A5686" w:rsidP="00D25795">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     Time (s)</w:t>
                  </w:r>
                </w:p>
              </w:txbxContent>
            </v:textbox>
          </v:shape>
        </w:pict>
      </w:r>
      <w:r>
        <w:rPr>
          <w:bCs/>
          <w:noProof/>
          <w:lang w:eastAsia="en-GB"/>
        </w:rPr>
        <w:pict>
          <v:shape id="_x0000_s1152" type="#_x0000_t202" style="position:absolute;left:0;text-align:left;margin-left:-.95pt;margin-top:24.1pt;width:26.15pt;height:231.4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BF55B9">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sidR="00E11779">
        <w:rPr>
          <w:noProof/>
          <w:lang w:eastAsia="en-GB"/>
        </w:rPr>
        <w:drawing>
          <wp:inline distT="0" distB="0" distL="0" distR="0" wp14:anchorId="05774D61" wp14:editId="4CE02B4C">
            <wp:extent cx="5205730" cy="3524599"/>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2" cstate="print"/>
                    <a:srcRect/>
                    <a:stretch>
                      <a:fillRect/>
                    </a:stretch>
                  </pic:blipFill>
                  <pic:spPr bwMode="auto">
                    <a:xfrm>
                      <a:off x="0" y="0"/>
                      <a:ext cx="5205730" cy="3524599"/>
                    </a:xfrm>
                    <a:prstGeom prst="rect">
                      <a:avLst/>
                    </a:prstGeom>
                    <a:noFill/>
                    <a:ln w="9525">
                      <a:noFill/>
                      <a:miter lim="800000"/>
                      <a:headEnd/>
                      <a:tailEnd/>
                    </a:ln>
                  </pic:spPr>
                </pic:pic>
              </a:graphicData>
            </a:graphic>
          </wp:inline>
        </w:drawing>
      </w:r>
    </w:p>
    <w:p w:rsidR="00956B80" w:rsidRDefault="00956B80" w:rsidP="00956B80">
      <w:pPr>
        <w:pStyle w:val="Caption"/>
        <w:spacing w:line="480" w:lineRule="auto"/>
        <w:jc w:val="center"/>
      </w:pPr>
      <w:bookmarkStart w:id="202" w:name="_Ref442889667"/>
      <w:r>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9</w:t>
      </w:r>
      <w:r w:rsidR="0075172E">
        <w:fldChar w:fldCharType="end"/>
      </w:r>
      <w:bookmarkEnd w:id="202"/>
      <w:r>
        <w:t>: Upper: Thermogram of 6 mM sodium phytate injected into 0.4 mM lysozyme in 10 mM ammonium acetate at 25°C (green), phytate dilution into ammonium acetate (blue) and ammonium acetate into lysozyme (black) Lower: Binding isotherm for the corresponding interaction (green) phytate dilution into ammonium acetate (blue) and ammonium acetate dilution into lysozyme (black).</w:t>
      </w:r>
      <w:r w:rsidR="00B55C59">
        <w:t xml:space="preserve"> Solid line represents single site independent binding model fit.</w:t>
      </w:r>
    </w:p>
    <w:p w:rsidR="002D34BB" w:rsidRDefault="002D34BB" w:rsidP="002D34BB"/>
    <w:p w:rsidR="002D34BB" w:rsidRDefault="002D34BB" w:rsidP="002D34BB"/>
    <w:p w:rsidR="002D34BB" w:rsidRDefault="002D34BB" w:rsidP="002D34BB"/>
    <w:p w:rsidR="00B35303" w:rsidRDefault="00B35303" w:rsidP="002D34BB"/>
    <w:p w:rsidR="00B35303" w:rsidRDefault="00B35303" w:rsidP="002D34BB"/>
    <w:p w:rsidR="00B35303" w:rsidRDefault="00B35303" w:rsidP="002D34BB"/>
    <w:p w:rsidR="00B35303" w:rsidRDefault="00B35303" w:rsidP="002D34BB"/>
    <w:p w:rsidR="00B35303" w:rsidRDefault="00B35303" w:rsidP="002D34BB"/>
    <w:p w:rsidR="00B35303" w:rsidRDefault="00B35303" w:rsidP="002D34BB"/>
    <w:p w:rsidR="002D34BB" w:rsidRPr="002D34BB" w:rsidRDefault="00040F10" w:rsidP="002D34BB">
      <w:r>
        <w:rPr>
          <w:noProof/>
          <w:lang w:eastAsia="en-GB"/>
        </w:rPr>
        <w:pict>
          <v:shape id="_x0000_s1138" type="#_x0000_t202" style="position:absolute;margin-left:209.6pt;margin-top:24.95pt;width:57.85pt;height:17.6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8">
              <w:txbxContent>
                <w:p w:rsidR="003A5686" w:rsidRPr="00B141B9" w:rsidRDefault="003A5686" w:rsidP="00D25795">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   Time (s)</w:t>
                  </w:r>
                </w:p>
              </w:txbxContent>
            </v:textbox>
          </v:shape>
        </w:pict>
      </w:r>
    </w:p>
    <w:p w:rsidR="00956B80" w:rsidRDefault="00040F10" w:rsidP="00956B80">
      <w:pPr>
        <w:keepNext/>
        <w:spacing w:line="480" w:lineRule="auto"/>
        <w:jc w:val="center"/>
      </w:pPr>
      <w:r>
        <w:rPr>
          <w:noProof/>
          <w:lang w:eastAsia="en-GB"/>
        </w:rPr>
        <w:pict>
          <v:shape id="_x0000_s1139" type="#_x0000_t202" style="position:absolute;left:0;text-align:left;margin-left:198.05pt;margin-top:260.75pt;width:87.05pt;height:17.6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39">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Pr>
          <w:noProof/>
          <w:lang w:eastAsia="en-GB"/>
        </w:rPr>
        <w:pict>
          <v:shape id="_x0000_s1151" type="#_x0000_t202" style="position:absolute;left:0;text-align:left;margin-left:.45pt;margin-top:26.8pt;width:26.15pt;height:219.7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BF55B9">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sidR="00E11779">
        <w:rPr>
          <w:noProof/>
          <w:lang w:eastAsia="en-GB"/>
        </w:rPr>
        <w:drawing>
          <wp:inline distT="0" distB="0" distL="0" distR="0" wp14:anchorId="4EE9F121" wp14:editId="7FD455C0">
            <wp:extent cx="5205730" cy="3442499"/>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3" cstate="print"/>
                    <a:srcRect/>
                    <a:stretch>
                      <a:fillRect/>
                    </a:stretch>
                  </pic:blipFill>
                  <pic:spPr bwMode="auto">
                    <a:xfrm>
                      <a:off x="0" y="0"/>
                      <a:ext cx="5205730" cy="3442499"/>
                    </a:xfrm>
                    <a:prstGeom prst="rect">
                      <a:avLst/>
                    </a:prstGeom>
                    <a:noFill/>
                    <a:ln w="9525">
                      <a:noFill/>
                      <a:miter lim="800000"/>
                      <a:headEnd/>
                      <a:tailEnd/>
                    </a:ln>
                  </pic:spPr>
                </pic:pic>
              </a:graphicData>
            </a:graphic>
          </wp:inline>
        </w:drawing>
      </w:r>
    </w:p>
    <w:p w:rsidR="00956B80" w:rsidRPr="009F7CF3" w:rsidRDefault="00956B80" w:rsidP="00956B80">
      <w:pPr>
        <w:pStyle w:val="Caption"/>
        <w:spacing w:line="480" w:lineRule="auto"/>
        <w:jc w:val="center"/>
      </w:pPr>
      <w:bookmarkStart w:id="203" w:name="_Ref442891373"/>
      <w:bookmarkStart w:id="204" w:name="_Ref443076655"/>
      <w:r>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10</w:t>
      </w:r>
      <w:r w:rsidR="0075172E">
        <w:fldChar w:fldCharType="end"/>
      </w:r>
      <w:bookmarkEnd w:id="203"/>
      <w:r>
        <w:t xml:space="preserve"> Upper: Thermogram of 6 mM sodium phytate injected into 0.4 mM lysozyme in 10 mM ammonium acetate at 25</w:t>
      </w:r>
      <w:r w:rsidR="006F2757">
        <w:t xml:space="preserve"> </w:t>
      </w:r>
      <w:r>
        <w:t>°C (blue), phytate dilution into ammonium acetate (red) and ammonium acetate into lysozyme (black) Lower: Binding isotherm for the corresponding interaction (blue) phytate dilution into ammonium acetate (red) and ammonium acetate dilution into lysozyme (black).</w:t>
      </w:r>
      <w:bookmarkEnd w:id="204"/>
      <w:r w:rsidR="00B55C59">
        <w:t xml:space="preserve"> Solid line represents single site independent binding model fit.</w:t>
      </w:r>
    </w:p>
    <w:p w:rsidR="00956B80" w:rsidRPr="007974C5" w:rsidRDefault="00AD7AD3" w:rsidP="00956B80">
      <w:pPr>
        <w:keepNext/>
        <w:spacing w:line="480" w:lineRule="auto"/>
        <w:jc w:val="center"/>
        <w:rPr>
          <w:b/>
        </w:rPr>
      </w:pPr>
      <w:r>
        <w:rPr>
          <w:b/>
          <w:noProof/>
          <w:lang w:eastAsia="en-GB"/>
        </w:rPr>
        <w:lastRenderedPageBreak/>
        <w:drawing>
          <wp:inline distT="0" distB="0" distL="0" distR="0" wp14:anchorId="0FEAB3FE" wp14:editId="3A07D9E3">
            <wp:extent cx="4986399" cy="3532909"/>
            <wp:effectExtent l="19050" t="0" r="4701" b="0"/>
            <wp:docPr id="20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cstate="print"/>
                    <a:srcRect l="2485" r="1711" b="4017"/>
                    <a:stretch>
                      <a:fillRect/>
                    </a:stretch>
                  </pic:blipFill>
                  <pic:spPr bwMode="auto">
                    <a:xfrm>
                      <a:off x="0" y="0"/>
                      <a:ext cx="4986399" cy="3532909"/>
                    </a:xfrm>
                    <a:prstGeom prst="rect">
                      <a:avLst/>
                    </a:prstGeom>
                    <a:noFill/>
                    <a:ln w="9525">
                      <a:noFill/>
                      <a:miter lim="800000"/>
                      <a:headEnd/>
                      <a:tailEnd/>
                    </a:ln>
                  </pic:spPr>
                </pic:pic>
              </a:graphicData>
            </a:graphic>
          </wp:inline>
        </w:drawing>
      </w:r>
    </w:p>
    <w:p w:rsidR="00956B80" w:rsidRDefault="00956B80" w:rsidP="00AD7AD3">
      <w:pPr>
        <w:pStyle w:val="Caption"/>
        <w:spacing w:line="480" w:lineRule="auto"/>
        <w:jc w:val="center"/>
        <w:rPr>
          <w:bCs w:val="0"/>
        </w:rPr>
      </w:pPr>
      <w:bookmarkStart w:id="205" w:name="_Ref442890556"/>
      <w:bookmarkStart w:id="206" w:name="_Ref443076706"/>
      <w:r>
        <w:t>Figure</w:t>
      </w:r>
      <w:bookmarkEnd w:id="205"/>
      <w:r>
        <w:t xml:space="preserv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11</w:t>
      </w:r>
      <w:r w:rsidR="0075172E">
        <w:fldChar w:fldCharType="end"/>
      </w:r>
      <w:bookmarkEnd w:id="206"/>
      <w:r>
        <w:t>: (Upper:) Thermogram for the interaction of 6 mM potassium phytate and 0.4 mM lysozyme in the presence</w:t>
      </w:r>
      <w:r w:rsidR="00BF3CC6">
        <w:t xml:space="preserve"> of 10 mM ammonium acetate buffer</w:t>
      </w:r>
      <w:r>
        <w:t xml:space="preserve"> at 10 (blue), 25 (green), 40</w:t>
      </w:r>
      <w:r w:rsidR="006F2757">
        <w:t xml:space="preserve"> </w:t>
      </w:r>
      <w:r>
        <w:t>°C (red) and the corresponding binding isotherm (lower)</w:t>
      </w:r>
    </w:p>
    <w:p w:rsidR="00956B80" w:rsidRDefault="00040F10" w:rsidP="001A3DC3">
      <w:pPr>
        <w:keepNext/>
        <w:spacing w:line="480" w:lineRule="auto"/>
        <w:jc w:val="center"/>
      </w:pPr>
      <w:r>
        <w:rPr>
          <w:noProof/>
          <w:lang w:eastAsia="en-GB"/>
        </w:rPr>
        <w:pict>
          <v:shape id="_x0000_s1153" type="#_x0000_t202" style="position:absolute;left:0;text-align:left;margin-left:-6.45pt;margin-top:58.65pt;width:26.15pt;height:128.75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BF55B9">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Corrected </w:t>
                  </w:r>
                  <w:r w:rsidRPr="00311B45">
                    <w:rPr>
                      <w:rFonts w:ascii="Arial" w:hAnsi="Arial" w:cs="Arial"/>
                      <w:b/>
                      <w:color w:val="262626" w:themeColor="text1" w:themeTint="D9"/>
                      <w:sz w:val="18"/>
                      <w:szCs w:val="18"/>
                    </w:rPr>
                    <w:t>Heat</w:t>
                  </w:r>
                  <w:r>
                    <w:rPr>
                      <w:rFonts w:ascii="Arial" w:hAnsi="Arial" w:cs="Arial"/>
                      <w:b/>
                      <w:color w:val="262626" w:themeColor="text1" w:themeTint="D9"/>
                      <w:sz w:val="18"/>
                      <w:szCs w:val="18"/>
                    </w:rPr>
                    <w:t xml:space="preserve"> </w:t>
                  </w:r>
                  <w:r w:rsidRPr="00311B45">
                    <w:rPr>
                      <w:rFonts w:ascii="Arial" w:hAnsi="Arial" w:cs="Arial"/>
                      <w:b/>
                      <w:color w:val="262626" w:themeColor="text1" w:themeTint="D9"/>
                      <w:sz w:val="18"/>
                      <w:szCs w:val="18"/>
                    </w:rPr>
                    <w:t>Rate (µJ/s)</w:t>
                  </w:r>
                </w:p>
              </w:txbxContent>
            </v:textbox>
          </v:shape>
        </w:pict>
      </w:r>
      <w:r>
        <w:rPr>
          <w:noProof/>
          <w:lang w:eastAsia="en-GB"/>
        </w:rPr>
        <w:pict>
          <v:shape id="_x0000_s1140" type="#_x0000_t202" style="position:absolute;left:0;text-align:left;margin-left:168.2pt;margin-top:252.85pt;width:87.05pt;height:17.6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0">
              <w:txbxContent>
                <w:p w:rsidR="003A5686" w:rsidRPr="00B141B9" w:rsidRDefault="003A5686" w:rsidP="00D25795">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1A3DC3">
        <w:rPr>
          <w:noProof/>
          <w:lang w:eastAsia="en-GB"/>
        </w:rPr>
        <w:drawing>
          <wp:inline distT="0" distB="0" distL="0" distR="0" wp14:anchorId="5A3E9F4C" wp14:editId="2F720B8A">
            <wp:extent cx="4981575" cy="3344617"/>
            <wp:effectExtent l="1905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5" cstate="print"/>
                    <a:srcRect/>
                    <a:stretch>
                      <a:fillRect/>
                    </a:stretch>
                  </pic:blipFill>
                  <pic:spPr bwMode="auto">
                    <a:xfrm>
                      <a:off x="0" y="0"/>
                      <a:ext cx="4980776" cy="3344080"/>
                    </a:xfrm>
                    <a:prstGeom prst="rect">
                      <a:avLst/>
                    </a:prstGeom>
                    <a:noFill/>
                    <a:ln w="9525">
                      <a:noFill/>
                      <a:miter lim="800000"/>
                      <a:headEnd/>
                      <a:tailEnd/>
                    </a:ln>
                  </pic:spPr>
                </pic:pic>
              </a:graphicData>
            </a:graphic>
          </wp:inline>
        </w:drawing>
      </w:r>
    </w:p>
    <w:p w:rsidR="00956B80" w:rsidRDefault="00956B80" w:rsidP="00956B80">
      <w:pPr>
        <w:pStyle w:val="Caption"/>
        <w:spacing w:line="480" w:lineRule="auto"/>
        <w:jc w:val="center"/>
        <w:rPr>
          <w:bCs w:val="0"/>
        </w:rPr>
      </w:pPr>
      <w:bookmarkStart w:id="207" w:name="_Ref442891314"/>
      <w:r>
        <w:t xml:space="preserve">Figure </w:t>
      </w:r>
      <w:r w:rsidR="0075172E">
        <w:fldChar w:fldCharType="begin"/>
      </w:r>
      <w:r w:rsidR="00AC2227">
        <w:instrText xml:space="preserve"> STYLEREF 1 \s </w:instrText>
      </w:r>
      <w:r w:rsidR="0075172E">
        <w:fldChar w:fldCharType="separate"/>
      </w:r>
      <w:r w:rsidR="00CB4EDC">
        <w:rPr>
          <w:noProof/>
        </w:rPr>
        <w:t>5</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12</w:t>
      </w:r>
      <w:r w:rsidR="0075172E">
        <w:fldChar w:fldCharType="end"/>
      </w:r>
      <w:bookmarkEnd w:id="207"/>
      <w:r>
        <w:t>: Thermogram for the interaction between 6 mM potassium  phytate and 0.4 mM lysozyme in 10 mM ammonium acetate at 10 (blue) and 40</w:t>
      </w:r>
      <w:r>
        <w:sym w:font="Mathematica1" w:char="F0B0"/>
      </w:r>
      <w:r>
        <w:t>C (red)</w:t>
      </w:r>
    </w:p>
    <w:p w:rsidR="00956B80" w:rsidRDefault="00956B80" w:rsidP="00956B80">
      <w:pPr>
        <w:spacing w:line="480" w:lineRule="auto"/>
        <w:jc w:val="both"/>
        <w:rPr>
          <w:bCs/>
        </w:rPr>
      </w:pPr>
      <w:r>
        <w:rPr>
          <w:bCs/>
        </w:rPr>
        <w:lastRenderedPageBreak/>
        <w:t>Fitting the binding isotherms to the one site model for binding isotherm obtained at 25 °C provided thermodynamic values that were in the range of the previous iITC study (</w:t>
      </w:r>
      <w:r w:rsidR="0075172E">
        <w:rPr>
          <w:bCs/>
        </w:rPr>
        <w:fldChar w:fldCharType="begin"/>
      </w:r>
      <w:r>
        <w:rPr>
          <w:bCs/>
        </w:rPr>
        <w:instrText xml:space="preserve"> REF _Ref442891457 \h </w:instrText>
      </w:r>
      <w:r w:rsidR="0075172E">
        <w:rPr>
          <w:bCs/>
        </w:rPr>
      </w:r>
      <w:r w:rsidR="0075172E">
        <w:rPr>
          <w:bCs/>
        </w:rPr>
        <w:fldChar w:fldCharType="separate"/>
      </w:r>
      <w:r w:rsidR="00CB4EDC">
        <w:rPr>
          <w:bCs/>
        </w:rPr>
        <w:t xml:space="preserve">Table </w:t>
      </w:r>
      <w:r w:rsidR="00CB4EDC">
        <w:rPr>
          <w:bCs/>
          <w:noProof/>
        </w:rPr>
        <w:t>5</w:t>
      </w:r>
      <w:r w:rsidR="00CB4EDC">
        <w:rPr>
          <w:bCs/>
        </w:rPr>
        <w:t>.</w:t>
      </w:r>
      <w:r w:rsidR="00CB4EDC">
        <w:rPr>
          <w:bCs/>
          <w:noProof/>
        </w:rPr>
        <w:t>3</w:t>
      </w:r>
      <w:r w:rsidR="0075172E">
        <w:rPr>
          <w:bCs/>
        </w:rPr>
        <w:fldChar w:fldCharType="end"/>
      </w:r>
      <w:r>
        <w:rPr>
          <w:bCs/>
        </w:rPr>
        <w:t xml:space="preserve">). Fitting a </w:t>
      </w:r>
      <w:r w:rsidR="002A7F17">
        <w:rPr>
          <w:bCs/>
        </w:rPr>
        <w:t>two site</w:t>
      </w:r>
      <w:r>
        <w:rPr>
          <w:bCs/>
        </w:rPr>
        <w:t xml:space="preserve"> model produced a large error for the enthalpy of the second stage of the interaction and so was not utilised. </w:t>
      </w:r>
    </w:p>
    <w:p w:rsidR="00956B80" w:rsidRDefault="00956B80" w:rsidP="00956B80">
      <w:pPr>
        <w:pStyle w:val="Caption"/>
        <w:spacing w:line="480" w:lineRule="auto"/>
        <w:jc w:val="center"/>
        <w:rPr>
          <w:bCs w:val="0"/>
        </w:rPr>
      </w:pPr>
      <w:bookmarkStart w:id="208" w:name="_Ref442891457"/>
      <w:r>
        <w:rPr>
          <w:bCs w:val="0"/>
        </w:rPr>
        <w:t xml:space="preserve">Table </w:t>
      </w:r>
      <w:r w:rsidR="0075172E">
        <w:rPr>
          <w:bCs w:val="0"/>
        </w:rPr>
        <w:fldChar w:fldCharType="begin"/>
      </w:r>
      <w:r w:rsidR="00E71593">
        <w:rPr>
          <w:bCs w:val="0"/>
        </w:rPr>
        <w:instrText xml:space="preserve"> STYLEREF 1 \s </w:instrText>
      </w:r>
      <w:r w:rsidR="0075172E">
        <w:rPr>
          <w:bCs w:val="0"/>
        </w:rPr>
        <w:fldChar w:fldCharType="separate"/>
      </w:r>
      <w:r w:rsidR="00E71593">
        <w:rPr>
          <w:bCs w:val="0"/>
          <w:noProof/>
        </w:rPr>
        <w:t>5</w:t>
      </w:r>
      <w:r w:rsidR="0075172E">
        <w:rPr>
          <w:bCs w:val="0"/>
        </w:rPr>
        <w:fldChar w:fldCharType="end"/>
      </w:r>
      <w:r w:rsidR="00E71593">
        <w:rPr>
          <w:bCs w:val="0"/>
        </w:rPr>
        <w:t>.</w:t>
      </w:r>
      <w:r w:rsidR="0075172E">
        <w:rPr>
          <w:bCs w:val="0"/>
        </w:rPr>
        <w:fldChar w:fldCharType="begin"/>
      </w:r>
      <w:r w:rsidR="00E71593">
        <w:rPr>
          <w:bCs w:val="0"/>
        </w:rPr>
        <w:instrText xml:space="preserve"> SEQ Table \* ARABIC \s 1 </w:instrText>
      </w:r>
      <w:r w:rsidR="0075172E">
        <w:rPr>
          <w:bCs w:val="0"/>
        </w:rPr>
        <w:fldChar w:fldCharType="separate"/>
      </w:r>
      <w:r w:rsidR="00E71593">
        <w:rPr>
          <w:bCs w:val="0"/>
          <w:noProof/>
        </w:rPr>
        <w:t>4</w:t>
      </w:r>
      <w:r w:rsidR="0075172E">
        <w:rPr>
          <w:bCs w:val="0"/>
        </w:rPr>
        <w:fldChar w:fldCharType="end"/>
      </w:r>
      <w:bookmarkEnd w:id="208"/>
      <w:r>
        <w:rPr>
          <w:bCs w:val="0"/>
        </w:rPr>
        <w:t xml:space="preserve">: </w:t>
      </w:r>
      <w:r>
        <w:t xml:space="preserve">Thermodynamic parameters calculated using the one site binding model for the interaction with 6 mM </w:t>
      </w:r>
      <w:r w:rsidR="004836F2">
        <w:t>potassium</w:t>
      </w:r>
      <w:r>
        <w:t xml:space="preserve"> phytate and 0.4 mM lysozyme at pH 4 in 10 mM ammonium </w:t>
      </w:r>
      <w:r w:rsidR="00066430">
        <w:t>using either cITC or iITC</w:t>
      </w:r>
      <w:r w:rsidR="00484D60">
        <w:t xml:space="preserve"> at 25 and 40 °C</w:t>
      </w:r>
      <w:r w:rsidR="00066430">
        <w:t xml:space="preserve">. </w:t>
      </w:r>
      <w:r w:rsidR="00066430">
        <w:rPr>
          <w:iCs/>
        </w:rPr>
        <w:t>The standard error (bold) and the confidence intervals (italics) are in brackets.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87"/>
        <w:gridCol w:w="1125"/>
        <w:gridCol w:w="770"/>
        <w:gridCol w:w="770"/>
        <w:gridCol w:w="770"/>
        <w:gridCol w:w="1150"/>
      </w:tblGrid>
      <w:tr w:rsidR="002A7F17" w:rsidRPr="00A87788" w:rsidTr="00A25F2E">
        <w:trPr>
          <w:trHeight w:val="584"/>
          <w:jc w:val="center"/>
        </w:trPr>
        <w:tc>
          <w:tcPr>
            <w:tcW w:w="0" w:type="auto"/>
            <w:tcBorders>
              <w:top w:val="single" w:sz="4" w:space="0" w:color="auto"/>
              <w:bottom w:val="single" w:sz="4" w:space="0" w:color="auto"/>
            </w:tcBorders>
          </w:tcPr>
          <w:p w:rsidR="002A7F17" w:rsidRDefault="002A7F17" w:rsidP="00AF3E73">
            <w:pPr>
              <w:spacing w:line="480" w:lineRule="auto"/>
              <w:jc w:val="center"/>
              <w:rPr>
                <w:b/>
                <w:bCs/>
                <w:sz w:val="16"/>
                <w:szCs w:val="16"/>
              </w:rPr>
            </w:pPr>
            <w:r>
              <w:rPr>
                <w:b/>
                <w:bCs/>
                <w:sz w:val="16"/>
                <w:szCs w:val="16"/>
              </w:rPr>
              <w:t>Temperature</w:t>
            </w:r>
          </w:p>
          <w:p w:rsidR="002A7F17" w:rsidRPr="00A87788" w:rsidRDefault="002A7F17" w:rsidP="00AF3E73">
            <w:pPr>
              <w:spacing w:line="480" w:lineRule="auto"/>
              <w:jc w:val="center"/>
              <w:rPr>
                <w:b/>
                <w:bCs/>
                <w:sz w:val="16"/>
                <w:szCs w:val="16"/>
              </w:rPr>
            </w:pPr>
            <w:r>
              <w:rPr>
                <w:b/>
                <w:bCs/>
                <w:sz w:val="16"/>
                <w:szCs w:val="16"/>
              </w:rPr>
              <w:t>(°C)</w:t>
            </w:r>
          </w:p>
        </w:tc>
        <w:tc>
          <w:tcPr>
            <w:tcW w:w="0" w:type="auto"/>
            <w:tcBorders>
              <w:top w:val="single" w:sz="4" w:space="0" w:color="auto"/>
              <w:bottom w:val="single" w:sz="4" w:space="0" w:color="auto"/>
            </w:tcBorders>
            <w:hideMark/>
          </w:tcPr>
          <w:p w:rsidR="002A7F17" w:rsidRDefault="002A7F17" w:rsidP="00AF3E73">
            <w:pPr>
              <w:spacing w:after="200" w:line="480" w:lineRule="auto"/>
              <w:jc w:val="center"/>
              <w:rPr>
                <w:b/>
                <w:bCs/>
                <w:sz w:val="16"/>
                <w:szCs w:val="16"/>
              </w:rPr>
            </w:pPr>
            <w:r w:rsidRPr="00A87788">
              <w:rPr>
                <w:b/>
                <w:bCs/>
                <w:sz w:val="16"/>
                <w:szCs w:val="16"/>
              </w:rPr>
              <w:t>ITC technique</w:t>
            </w:r>
          </w:p>
          <w:p w:rsidR="002A7F17" w:rsidRPr="00A87788" w:rsidRDefault="002A7F17" w:rsidP="00AF3E73">
            <w:pPr>
              <w:spacing w:after="200" w:line="480" w:lineRule="auto"/>
              <w:jc w:val="center"/>
              <w:rPr>
                <w:b/>
                <w:bCs/>
                <w:sz w:val="16"/>
                <w:szCs w:val="16"/>
              </w:rPr>
            </w:pPr>
          </w:p>
        </w:tc>
        <w:tc>
          <w:tcPr>
            <w:tcW w:w="0" w:type="auto"/>
            <w:tcBorders>
              <w:top w:val="single" w:sz="4" w:space="0" w:color="auto"/>
              <w:bottom w:val="single" w:sz="4" w:space="0" w:color="auto"/>
            </w:tcBorders>
            <w:hideMark/>
          </w:tcPr>
          <w:p w:rsidR="002A7F17" w:rsidRPr="00A87788" w:rsidRDefault="002A7F17" w:rsidP="00AF3E73">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D31B90">
              <w:rPr>
                <w:b/>
                <w:bCs/>
                <w:i/>
                <w:sz w:val="16"/>
                <w:szCs w:val="16"/>
              </w:rPr>
              <w:t xml:space="preserve">H </w:t>
            </w:r>
          </w:p>
          <w:p w:rsidR="002A7F17" w:rsidRPr="00A87788" w:rsidRDefault="002A7F17"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hideMark/>
          </w:tcPr>
          <w:p w:rsidR="002A7F17" w:rsidRPr="00A87788" w:rsidRDefault="002A7F17" w:rsidP="00AF3E73">
            <w:pPr>
              <w:spacing w:after="200" w:line="480" w:lineRule="auto"/>
              <w:jc w:val="center"/>
              <w:rPr>
                <w:b/>
                <w:bCs/>
                <w:sz w:val="16"/>
                <w:szCs w:val="16"/>
              </w:rPr>
            </w:pPr>
            <w:r w:rsidRPr="00A87788">
              <w:rPr>
                <w:b/>
                <w:bCs/>
                <w:sz w:val="16"/>
                <w:szCs w:val="16"/>
              </w:rPr>
              <w:t>- T</w:t>
            </w:r>
            <w:r w:rsidRPr="00A87788">
              <w:rPr>
                <w:b/>
                <w:bCs/>
                <w:sz w:val="16"/>
                <w:szCs w:val="16"/>
                <w:lang w:val="el-GR"/>
              </w:rPr>
              <w:t>Δ</w:t>
            </w:r>
            <w:r w:rsidRPr="00D31B90">
              <w:rPr>
                <w:b/>
                <w:bCs/>
                <w:i/>
                <w:sz w:val="16"/>
                <w:szCs w:val="16"/>
              </w:rPr>
              <w:t>S</w:t>
            </w:r>
            <w:r w:rsidRPr="00A87788">
              <w:rPr>
                <w:b/>
                <w:bCs/>
                <w:sz w:val="16"/>
                <w:szCs w:val="16"/>
              </w:rPr>
              <w:t xml:space="preserve"> </w:t>
            </w:r>
          </w:p>
          <w:p w:rsidR="002A7F17" w:rsidRPr="00A87788" w:rsidRDefault="002A7F17" w:rsidP="00AF3E73">
            <w:pPr>
              <w:spacing w:after="200" w:line="480" w:lineRule="auto"/>
              <w:jc w:val="center"/>
              <w:rPr>
                <w:b/>
                <w:bCs/>
                <w:sz w:val="16"/>
                <w:szCs w:val="16"/>
              </w:rPr>
            </w:pPr>
            <w:r>
              <w:rPr>
                <w:b/>
                <w:bCs/>
                <w:sz w:val="16"/>
                <w:szCs w:val="16"/>
              </w:rPr>
              <w:t>(</w:t>
            </w:r>
            <w:r w:rsidRPr="00A87788">
              <w:rPr>
                <w:b/>
                <w:bCs/>
                <w:sz w:val="16"/>
                <w:szCs w:val="16"/>
              </w:rPr>
              <w:t>kJ/mo</w:t>
            </w:r>
            <w:r>
              <w:rPr>
                <w:b/>
                <w:bCs/>
                <w:sz w:val="16"/>
                <w:szCs w:val="16"/>
              </w:rPr>
              <w:t>l)</w:t>
            </w:r>
          </w:p>
        </w:tc>
        <w:tc>
          <w:tcPr>
            <w:tcW w:w="0" w:type="auto"/>
            <w:tcBorders>
              <w:top w:val="single" w:sz="4" w:space="0" w:color="auto"/>
              <w:bottom w:val="single" w:sz="4" w:space="0" w:color="auto"/>
            </w:tcBorders>
            <w:hideMark/>
          </w:tcPr>
          <w:p w:rsidR="002A7F17" w:rsidRPr="00A87788" w:rsidRDefault="002A7F17" w:rsidP="00AF3E73">
            <w:pPr>
              <w:spacing w:after="200" w:line="480" w:lineRule="auto"/>
              <w:jc w:val="center"/>
              <w:rPr>
                <w:b/>
                <w:bCs/>
                <w:sz w:val="16"/>
                <w:szCs w:val="16"/>
              </w:rPr>
            </w:pPr>
            <w:r w:rsidRPr="00A87788">
              <w:rPr>
                <w:b/>
                <w:bCs/>
                <w:sz w:val="16"/>
                <w:szCs w:val="16"/>
              </w:rPr>
              <w:t xml:space="preserve">- </w:t>
            </w:r>
            <w:r w:rsidRPr="00A87788">
              <w:rPr>
                <w:b/>
                <w:bCs/>
                <w:sz w:val="16"/>
                <w:szCs w:val="16"/>
                <w:lang w:val="el-GR"/>
              </w:rPr>
              <w:t>Δ</w:t>
            </w:r>
            <w:r w:rsidRPr="00D31B90">
              <w:rPr>
                <w:b/>
                <w:bCs/>
                <w:i/>
                <w:sz w:val="16"/>
                <w:szCs w:val="16"/>
              </w:rPr>
              <w:t>G</w:t>
            </w:r>
          </w:p>
          <w:p w:rsidR="002A7F17" w:rsidRPr="00A87788" w:rsidRDefault="002A7F17" w:rsidP="00AF3E73">
            <w:pPr>
              <w:spacing w:after="200" w:line="480" w:lineRule="auto"/>
              <w:jc w:val="center"/>
              <w:rPr>
                <w:b/>
                <w:bCs/>
                <w:sz w:val="16"/>
                <w:szCs w:val="16"/>
              </w:rPr>
            </w:pPr>
            <w:r>
              <w:rPr>
                <w:b/>
                <w:bCs/>
                <w:sz w:val="16"/>
                <w:szCs w:val="16"/>
              </w:rPr>
              <w:t>(</w:t>
            </w:r>
            <w:r w:rsidRPr="00A87788">
              <w:rPr>
                <w:b/>
                <w:bCs/>
                <w:sz w:val="16"/>
                <w:szCs w:val="16"/>
              </w:rPr>
              <w:t>kJ/mol</w:t>
            </w:r>
            <w:r>
              <w:rPr>
                <w:b/>
                <w:bCs/>
                <w:sz w:val="16"/>
                <w:szCs w:val="16"/>
              </w:rPr>
              <w:t>)</w:t>
            </w:r>
          </w:p>
        </w:tc>
        <w:tc>
          <w:tcPr>
            <w:tcW w:w="0" w:type="auto"/>
            <w:tcBorders>
              <w:top w:val="single" w:sz="4" w:space="0" w:color="auto"/>
              <w:bottom w:val="single" w:sz="4" w:space="0" w:color="auto"/>
            </w:tcBorders>
            <w:hideMark/>
          </w:tcPr>
          <w:p w:rsidR="002A7F17" w:rsidRDefault="002A7F17" w:rsidP="00AF3E73">
            <w:pPr>
              <w:spacing w:after="200" w:line="480" w:lineRule="auto"/>
              <w:jc w:val="center"/>
              <w:rPr>
                <w:b/>
                <w:bCs/>
                <w:sz w:val="16"/>
                <w:szCs w:val="16"/>
              </w:rPr>
            </w:pPr>
            <w:r w:rsidRPr="00A87788">
              <w:rPr>
                <w:b/>
                <w:bCs/>
                <w:sz w:val="16"/>
                <w:szCs w:val="16"/>
              </w:rPr>
              <w:t>Stoichiometry</w:t>
            </w:r>
          </w:p>
          <w:p w:rsidR="002A7F17" w:rsidRPr="0050110E" w:rsidRDefault="002A7F17" w:rsidP="00AF3E73">
            <w:pPr>
              <w:spacing w:after="200" w:line="480" w:lineRule="auto"/>
              <w:jc w:val="center"/>
              <w:rPr>
                <w:b/>
                <w:bCs/>
                <w:i/>
                <w:sz w:val="16"/>
                <w:szCs w:val="16"/>
              </w:rPr>
            </w:pPr>
            <w:r w:rsidRPr="0050110E">
              <w:rPr>
                <w:b/>
                <w:bCs/>
                <w:i/>
                <w:sz w:val="16"/>
                <w:szCs w:val="16"/>
              </w:rPr>
              <w:t>n</w:t>
            </w:r>
          </w:p>
        </w:tc>
      </w:tr>
      <w:tr w:rsidR="002A7F17" w:rsidRPr="00A87788" w:rsidTr="00A25F2E">
        <w:trPr>
          <w:trHeight w:val="584"/>
          <w:jc w:val="center"/>
        </w:trPr>
        <w:tc>
          <w:tcPr>
            <w:tcW w:w="0" w:type="auto"/>
            <w:tcBorders>
              <w:top w:val="single" w:sz="4" w:space="0" w:color="auto"/>
            </w:tcBorders>
          </w:tcPr>
          <w:p w:rsidR="002A7F17" w:rsidRPr="00A87788" w:rsidRDefault="002A7F17" w:rsidP="00AF3E73">
            <w:pPr>
              <w:spacing w:line="480" w:lineRule="auto"/>
              <w:jc w:val="center"/>
              <w:rPr>
                <w:bCs/>
                <w:sz w:val="16"/>
                <w:szCs w:val="16"/>
              </w:rPr>
            </w:pPr>
            <w:r>
              <w:rPr>
                <w:bCs/>
                <w:sz w:val="16"/>
                <w:szCs w:val="16"/>
              </w:rPr>
              <w:t>25</w:t>
            </w:r>
          </w:p>
        </w:tc>
        <w:tc>
          <w:tcPr>
            <w:tcW w:w="0" w:type="auto"/>
            <w:tcBorders>
              <w:top w:val="single" w:sz="4" w:space="0" w:color="auto"/>
            </w:tcBorders>
            <w:hideMark/>
          </w:tcPr>
          <w:p w:rsidR="002A7F17" w:rsidRPr="00A87788" w:rsidRDefault="002A7F17" w:rsidP="00AF3E73">
            <w:pPr>
              <w:spacing w:after="200" w:line="480" w:lineRule="auto"/>
              <w:jc w:val="center"/>
              <w:rPr>
                <w:bCs/>
                <w:sz w:val="16"/>
                <w:szCs w:val="16"/>
              </w:rPr>
            </w:pPr>
            <w:r w:rsidRPr="00A87788">
              <w:rPr>
                <w:bCs/>
                <w:sz w:val="16"/>
                <w:szCs w:val="16"/>
              </w:rPr>
              <w:t xml:space="preserve">cITC </w:t>
            </w:r>
          </w:p>
        </w:tc>
        <w:tc>
          <w:tcPr>
            <w:tcW w:w="0" w:type="auto"/>
            <w:tcBorders>
              <w:top w:val="single" w:sz="4" w:space="0" w:color="auto"/>
            </w:tcBorders>
            <w:hideMark/>
          </w:tcPr>
          <w:p w:rsidR="002A7F17" w:rsidRDefault="002A7F17" w:rsidP="00AF3E73">
            <w:pPr>
              <w:spacing w:after="200" w:line="480" w:lineRule="auto"/>
              <w:jc w:val="center"/>
              <w:rPr>
                <w:bCs/>
                <w:sz w:val="16"/>
                <w:szCs w:val="16"/>
              </w:rPr>
            </w:pPr>
            <w:r>
              <w:rPr>
                <w:bCs/>
                <w:sz w:val="16"/>
                <w:szCs w:val="16"/>
              </w:rPr>
              <w:t>29.8</w:t>
            </w:r>
          </w:p>
          <w:p w:rsidR="002A7F17" w:rsidRPr="002A7F17" w:rsidRDefault="002A7F17" w:rsidP="002A7F17">
            <w:pPr>
              <w:spacing w:after="200" w:line="480" w:lineRule="auto"/>
              <w:jc w:val="center"/>
              <w:rPr>
                <w:bCs/>
                <w:i/>
                <w:sz w:val="16"/>
                <w:szCs w:val="16"/>
              </w:rPr>
            </w:pPr>
            <w:r w:rsidRPr="002A7F17">
              <w:rPr>
                <w:bCs/>
                <w:i/>
                <w:sz w:val="16"/>
                <w:szCs w:val="16"/>
              </w:rPr>
              <w:t xml:space="preserve">(± </w:t>
            </w:r>
            <w:r>
              <w:rPr>
                <w:bCs/>
                <w:i/>
                <w:sz w:val="16"/>
                <w:szCs w:val="16"/>
              </w:rPr>
              <w:t>0.8</w:t>
            </w:r>
            <w:r w:rsidRPr="002A7F17">
              <w:rPr>
                <w:bCs/>
                <w:i/>
                <w:sz w:val="16"/>
                <w:szCs w:val="16"/>
              </w:rPr>
              <w:t>)</w:t>
            </w:r>
          </w:p>
        </w:tc>
        <w:tc>
          <w:tcPr>
            <w:tcW w:w="0" w:type="auto"/>
            <w:tcBorders>
              <w:top w:val="single" w:sz="4" w:space="0" w:color="auto"/>
            </w:tcBorders>
            <w:hideMark/>
          </w:tcPr>
          <w:p w:rsidR="002A7F17" w:rsidRPr="00A87788" w:rsidRDefault="002A7F17" w:rsidP="00A86E96">
            <w:pPr>
              <w:spacing w:after="200" w:line="480" w:lineRule="auto"/>
              <w:jc w:val="center"/>
              <w:rPr>
                <w:bCs/>
                <w:sz w:val="16"/>
                <w:szCs w:val="16"/>
              </w:rPr>
            </w:pPr>
            <w:r w:rsidRPr="00A87788">
              <w:rPr>
                <w:bCs/>
                <w:sz w:val="16"/>
                <w:szCs w:val="16"/>
              </w:rPr>
              <w:t>-</w:t>
            </w:r>
            <w:r>
              <w:rPr>
                <w:bCs/>
                <w:sz w:val="16"/>
                <w:szCs w:val="16"/>
              </w:rPr>
              <w:t>0.8</w:t>
            </w:r>
            <w:r w:rsidR="00A86E96">
              <w:rPr>
                <w:bCs/>
                <w:sz w:val="16"/>
                <w:szCs w:val="16"/>
              </w:rPr>
              <w:t>4</w:t>
            </w:r>
          </w:p>
        </w:tc>
        <w:tc>
          <w:tcPr>
            <w:tcW w:w="0" w:type="auto"/>
            <w:tcBorders>
              <w:top w:val="single" w:sz="4" w:space="0" w:color="auto"/>
            </w:tcBorders>
            <w:hideMark/>
          </w:tcPr>
          <w:p w:rsidR="002A7F17" w:rsidRDefault="00A86E96" w:rsidP="00AF3E73">
            <w:pPr>
              <w:spacing w:after="200" w:line="480" w:lineRule="auto"/>
              <w:jc w:val="center"/>
              <w:rPr>
                <w:bCs/>
                <w:sz w:val="16"/>
                <w:szCs w:val="16"/>
              </w:rPr>
            </w:pPr>
            <w:r>
              <w:rPr>
                <w:bCs/>
                <w:sz w:val="16"/>
                <w:szCs w:val="16"/>
              </w:rPr>
              <w:t>30.6</w:t>
            </w:r>
          </w:p>
          <w:p w:rsidR="002A7F17" w:rsidRPr="00A87788" w:rsidRDefault="002A7F17" w:rsidP="00AF3E73">
            <w:pPr>
              <w:spacing w:after="200" w:line="480" w:lineRule="auto"/>
              <w:jc w:val="center"/>
              <w:rPr>
                <w:bCs/>
                <w:sz w:val="16"/>
                <w:szCs w:val="16"/>
              </w:rPr>
            </w:pPr>
            <w:r w:rsidRPr="002A7F17">
              <w:rPr>
                <w:bCs/>
                <w:i/>
                <w:sz w:val="16"/>
                <w:szCs w:val="16"/>
              </w:rPr>
              <w:t>(± 10)</w:t>
            </w:r>
          </w:p>
        </w:tc>
        <w:tc>
          <w:tcPr>
            <w:tcW w:w="0" w:type="auto"/>
            <w:tcBorders>
              <w:top w:val="single" w:sz="4" w:space="0" w:color="auto"/>
            </w:tcBorders>
            <w:hideMark/>
          </w:tcPr>
          <w:p w:rsidR="002A7F17" w:rsidRDefault="002A7F17" w:rsidP="00AF3E73">
            <w:pPr>
              <w:spacing w:after="200" w:line="480" w:lineRule="auto"/>
              <w:jc w:val="center"/>
              <w:rPr>
                <w:bCs/>
                <w:sz w:val="16"/>
                <w:szCs w:val="16"/>
              </w:rPr>
            </w:pPr>
            <w:r w:rsidRPr="00A87788">
              <w:rPr>
                <w:bCs/>
                <w:sz w:val="16"/>
                <w:szCs w:val="16"/>
              </w:rPr>
              <w:t>1.</w:t>
            </w:r>
            <w:r>
              <w:rPr>
                <w:bCs/>
                <w:sz w:val="16"/>
                <w:szCs w:val="16"/>
              </w:rPr>
              <w:t>65</w:t>
            </w:r>
          </w:p>
          <w:p w:rsidR="002A7F17" w:rsidRPr="00A87788" w:rsidRDefault="002A7F17" w:rsidP="002A7F17">
            <w:pPr>
              <w:spacing w:after="200" w:line="480" w:lineRule="auto"/>
              <w:jc w:val="center"/>
              <w:rPr>
                <w:bCs/>
                <w:sz w:val="16"/>
                <w:szCs w:val="16"/>
              </w:rPr>
            </w:pPr>
            <w:r w:rsidRPr="002A7F17">
              <w:rPr>
                <w:bCs/>
                <w:i/>
                <w:sz w:val="16"/>
                <w:szCs w:val="16"/>
              </w:rPr>
              <w:t xml:space="preserve">(± </w:t>
            </w:r>
            <w:r>
              <w:rPr>
                <w:bCs/>
                <w:i/>
                <w:sz w:val="16"/>
                <w:szCs w:val="16"/>
              </w:rPr>
              <w:t>0.002</w:t>
            </w:r>
            <w:r w:rsidRPr="002A7F17">
              <w:rPr>
                <w:bCs/>
                <w:i/>
                <w:sz w:val="16"/>
                <w:szCs w:val="16"/>
              </w:rPr>
              <w:t>)</w:t>
            </w:r>
          </w:p>
        </w:tc>
      </w:tr>
      <w:tr w:rsidR="002A7F17" w:rsidRPr="00A87788" w:rsidTr="00A25F2E">
        <w:trPr>
          <w:trHeight w:val="584"/>
          <w:jc w:val="center"/>
        </w:trPr>
        <w:tc>
          <w:tcPr>
            <w:tcW w:w="0" w:type="auto"/>
          </w:tcPr>
          <w:p w:rsidR="002A7F17" w:rsidRPr="00A87788" w:rsidRDefault="002A7F17" w:rsidP="00AF3E73">
            <w:pPr>
              <w:spacing w:line="480" w:lineRule="auto"/>
              <w:jc w:val="center"/>
              <w:rPr>
                <w:bCs/>
                <w:sz w:val="16"/>
                <w:szCs w:val="16"/>
              </w:rPr>
            </w:pPr>
            <w:r>
              <w:rPr>
                <w:bCs/>
                <w:sz w:val="16"/>
                <w:szCs w:val="16"/>
              </w:rPr>
              <w:t>25</w:t>
            </w:r>
          </w:p>
        </w:tc>
        <w:tc>
          <w:tcPr>
            <w:tcW w:w="0" w:type="auto"/>
            <w:hideMark/>
          </w:tcPr>
          <w:p w:rsidR="002A7F17" w:rsidRPr="00A87788" w:rsidRDefault="002A7F17" w:rsidP="00AF3E73">
            <w:pPr>
              <w:spacing w:after="200" w:line="480" w:lineRule="auto"/>
              <w:jc w:val="center"/>
              <w:rPr>
                <w:bCs/>
                <w:sz w:val="16"/>
                <w:szCs w:val="16"/>
              </w:rPr>
            </w:pPr>
            <w:r w:rsidRPr="00A87788">
              <w:rPr>
                <w:bCs/>
                <w:sz w:val="16"/>
                <w:szCs w:val="16"/>
              </w:rPr>
              <w:t>iITC</w:t>
            </w:r>
          </w:p>
        </w:tc>
        <w:tc>
          <w:tcPr>
            <w:tcW w:w="0" w:type="auto"/>
            <w:hideMark/>
          </w:tcPr>
          <w:p w:rsidR="002A7F17" w:rsidRDefault="002A7F17" w:rsidP="00AF3E73">
            <w:pPr>
              <w:spacing w:after="200" w:line="480" w:lineRule="auto"/>
              <w:jc w:val="center"/>
              <w:rPr>
                <w:bCs/>
                <w:sz w:val="16"/>
                <w:szCs w:val="16"/>
              </w:rPr>
            </w:pPr>
            <w:r>
              <w:rPr>
                <w:bCs/>
                <w:sz w:val="16"/>
                <w:szCs w:val="16"/>
              </w:rPr>
              <w:t xml:space="preserve">25.4 </w:t>
            </w:r>
          </w:p>
          <w:p w:rsidR="002A7F17" w:rsidRPr="00050D96" w:rsidRDefault="002A7F17" w:rsidP="00AF3E73">
            <w:pPr>
              <w:spacing w:after="200" w:line="480" w:lineRule="auto"/>
              <w:jc w:val="center"/>
              <w:rPr>
                <w:b/>
                <w:bCs/>
                <w:sz w:val="16"/>
                <w:szCs w:val="16"/>
              </w:rPr>
            </w:pPr>
            <w:r w:rsidRPr="00050D96">
              <w:rPr>
                <w:b/>
                <w:bCs/>
                <w:sz w:val="16"/>
                <w:szCs w:val="16"/>
              </w:rPr>
              <w:t>(± 0.5)</w:t>
            </w:r>
          </w:p>
        </w:tc>
        <w:tc>
          <w:tcPr>
            <w:tcW w:w="0" w:type="auto"/>
            <w:hideMark/>
          </w:tcPr>
          <w:p w:rsidR="002A7F17" w:rsidRDefault="002A7F17" w:rsidP="00AF3E73">
            <w:pPr>
              <w:spacing w:after="200" w:line="480" w:lineRule="auto"/>
              <w:jc w:val="center"/>
              <w:rPr>
                <w:bCs/>
                <w:sz w:val="16"/>
                <w:szCs w:val="16"/>
              </w:rPr>
            </w:pPr>
            <w:r w:rsidRPr="00A87788">
              <w:rPr>
                <w:bCs/>
                <w:sz w:val="16"/>
                <w:szCs w:val="16"/>
              </w:rPr>
              <w:t>-</w:t>
            </w:r>
            <w:r>
              <w:rPr>
                <w:bCs/>
                <w:sz w:val="16"/>
                <w:szCs w:val="16"/>
              </w:rPr>
              <w:t xml:space="preserve">7.38 </w:t>
            </w:r>
          </w:p>
          <w:p w:rsidR="002A7F17" w:rsidRPr="00050D96" w:rsidRDefault="002A7F17" w:rsidP="00AF3E73">
            <w:pPr>
              <w:spacing w:after="200" w:line="480" w:lineRule="auto"/>
              <w:jc w:val="center"/>
              <w:rPr>
                <w:b/>
                <w:bCs/>
                <w:sz w:val="16"/>
                <w:szCs w:val="16"/>
              </w:rPr>
            </w:pPr>
            <w:r w:rsidRPr="00050D96">
              <w:rPr>
                <w:b/>
                <w:bCs/>
                <w:sz w:val="16"/>
                <w:szCs w:val="16"/>
              </w:rPr>
              <w:t>(± 0.7)</w:t>
            </w:r>
          </w:p>
        </w:tc>
        <w:tc>
          <w:tcPr>
            <w:tcW w:w="0" w:type="auto"/>
            <w:hideMark/>
          </w:tcPr>
          <w:p w:rsidR="002A7F17" w:rsidRDefault="002A7F17" w:rsidP="00AF3E73">
            <w:pPr>
              <w:spacing w:after="200" w:line="480" w:lineRule="auto"/>
              <w:jc w:val="center"/>
              <w:rPr>
                <w:bCs/>
                <w:sz w:val="16"/>
                <w:szCs w:val="16"/>
              </w:rPr>
            </w:pPr>
            <w:r>
              <w:rPr>
                <w:bCs/>
                <w:sz w:val="16"/>
                <w:szCs w:val="16"/>
              </w:rPr>
              <w:t xml:space="preserve">32.8 </w:t>
            </w:r>
          </w:p>
          <w:p w:rsidR="002A7F17" w:rsidRPr="00050D96" w:rsidRDefault="002A7F17" w:rsidP="00AF3E73">
            <w:pPr>
              <w:spacing w:after="200" w:line="480" w:lineRule="auto"/>
              <w:jc w:val="center"/>
              <w:rPr>
                <w:b/>
                <w:bCs/>
                <w:sz w:val="16"/>
                <w:szCs w:val="16"/>
              </w:rPr>
            </w:pPr>
            <w:r w:rsidRPr="00050D96">
              <w:rPr>
                <w:b/>
                <w:bCs/>
                <w:sz w:val="16"/>
                <w:szCs w:val="16"/>
              </w:rPr>
              <w:t>(± 0.3)</w:t>
            </w:r>
          </w:p>
        </w:tc>
        <w:tc>
          <w:tcPr>
            <w:tcW w:w="0" w:type="auto"/>
            <w:hideMark/>
          </w:tcPr>
          <w:p w:rsidR="002A7F17" w:rsidRDefault="002A7F17" w:rsidP="00AF3E73">
            <w:pPr>
              <w:spacing w:after="200" w:line="480" w:lineRule="auto"/>
              <w:jc w:val="center"/>
              <w:rPr>
                <w:bCs/>
                <w:sz w:val="16"/>
                <w:szCs w:val="16"/>
              </w:rPr>
            </w:pPr>
            <w:r w:rsidRPr="00A87788">
              <w:rPr>
                <w:bCs/>
                <w:sz w:val="16"/>
                <w:szCs w:val="16"/>
              </w:rPr>
              <w:t>1.9</w:t>
            </w:r>
            <w:r>
              <w:rPr>
                <w:bCs/>
                <w:sz w:val="16"/>
                <w:szCs w:val="16"/>
              </w:rPr>
              <w:t xml:space="preserve"> </w:t>
            </w:r>
          </w:p>
          <w:p w:rsidR="002A7F17" w:rsidRPr="00050D96" w:rsidRDefault="002A7F17" w:rsidP="00AF3E73">
            <w:pPr>
              <w:spacing w:after="200" w:line="480" w:lineRule="auto"/>
              <w:jc w:val="center"/>
              <w:rPr>
                <w:b/>
                <w:bCs/>
                <w:sz w:val="16"/>
                <w:szCs w:val="16"/>
              </w:rPr>
            </w:pPr>
            <w:r w:rsidRPr="00050D96">
              <w:rPr>
                <w:b/>
                <w:bCs/>
                <w:sz w:val="16"/>
                <w:szCs w:val="16"/>
              </w:rPr>
              <w:t>(± 0.03)</w:t>
            </w:r>
          </w:p>
        </w:tc>
      </w:tr>
      <w:tr w:rsidR="002A7F17" w:rsidRPr="00A87788" w:rsidTr="00A25F2E">
        <w:trPr>
          <w:trHeight w:val="584"/>
          <w:jc w:val="center"/>
        </w:trPr>
        <w:tc>
          <w:tcPr>
            <w:tcW w:w="0" w:type="auto"/>
          </w:tcPr>
          <w:p w:rsidR="002A7F17" w:rsidRPr="00A87788" w:rsidRDefault="002A7F17" w:rsidP="00BA7E7A">
            <w:pPr>
              <w:spacing w:line="480" w:lineRule="auto"/>
              <w:jc w:val="center"/>
              <w:rPr>
                <w:bCs/>
                <w:sz w:val="16"/>
                <w:szCs w:val="16"/>
              </w:rPr>
            </w:pPr>
            <w:r>
              <w:rPr>
                <w:bCs/>
                <w:sz w:val="16"/>
                <w:szCs w:val="16"/>
              </w:rPr>
              <w:t>40</w:t>
            </w:r>
          </w:p>
        </w:tc>
        <w:tc>
          <w:tcPr>
            <w:tcW w:w="0" w:type="auto"/>
            <w:hideMark/>
          </w:tcPr>
          <w:p w:rsidR="002A7F17" w:rsidRPr="00A87788" w:rsidRDefault="002A7F17" w:rsidP="00BA7E7A">
            <w:pPr>
              <w:spacing w:after="200" w:line="480" w:lineRule="auto"/>
              <w:jc w:val="center"/>
              <w:rPr>
                <w:bCs/>
                <w:sz w:val="16"/>
                <w:szCs w:val="16"/>
              </w:rPr>
            </w:pPr>
            <w:r w:rsidRPr="00A87788">
              <w:rPr>
                <w:bCs/>
                <w:sz w:val="16"/>
                <w:szCs w:val="16"/>
              </w:rPr>
              <w:t xml:space="preserve">cITC </w:t>
            </w:r>
          </w:p>
        </w:tc>
        <w:tc>
          <w:tcPr>
            <w:tcW w:w="0" w:type="auto"/>
            <w:hideMark/>
          </w:tcPr>
          <w:p w:rsidR="002A7F17" w:rsidRDefault="00865DF9" w:rsidP="00AF3E73">
            <w:pPr>
              <w:spacing w:line="480" w:lineRule="auto"/>
              <w:jc w:val="center"/>
              <w:rPr>
                <w:bCs/>
                <w:sz w:val="16"/>
                <w:szCs w:val="16"/>
              </w:rPr>
            </w:pPr>
            <w:r>
              <w:rPr>
                <w:bCs/>
                <w:sz w:val="16"/>
                <w:szCs w:val="16"/>
              </w:rPr>
              <w:t>31.</w:t>
            </w:r>
            <w:r w:rsidR="00A86E96">
              <w:rPr>
                <w:bCs/>
                <w:sz w:val="16"/>
                <w:szCs w:val="16"/>
              </w:rPr>
              <w:t>1</w:t>
            </w:r>
          </w:p>
          <w:p w:rsidR="00865DF9" w:rsidRDefault="00865DF9" w:rsidP="00865DF9">
            <w:pPr>
              <w:spacing w:line="480" w:lineRule="auto"/>
              <w:jc w:val="center"/>
              <w:rPr>
                <w:bCs/>
                <w:sz w:val="16"/>
                <w:szCs w:val="16"/>
              </w:rPr>
            </w:pPr>
            <w:r w:rsidRPr="002A7F17">
              <w:rPr>
                <w:bCs/>
                <w:i/>
                <w:sz w:val="16"/>
                <w:szCs w:val="16"/>
              </w:rPr>
              <w:t xml:space="preserve">(± </w:t>
            </w:r>
            <w:r>
              <w:rPr>
                <w:bCs/>
                <w:i/>
                <w:sz w:val="16"/>
                <w:szCs w:val="16"/>
              </w:rPr>
              <w:t>0.1</w:t>
            </w:r>
            <w:r w:rsidRPr="002A7F17">
              <w:rPr>
                <w:bCs/>
                <w:i/>
                <w:sz w:val="16"/>
                <w:szCs w:val="16"/>
              </w:rPr>
              <w:t>)</w:t>
            </w:r>
          </w:p>
        </w:tc>
        <w:tc>
          <w:tcPr>
            <w:tcW w:w="0" w:type="auto"/>
            <w:hideMark/>
          </w:tcPr>
          <w:p w:rsidR="002A7F17" w:rsidRPr="00A87788" w:rsidRDefault="00865DF9" w:rsidP="00A86E96">
            <w:pPr>
              <w:spacing w:line="480" w:lineRule="auto"/>
              <w:jc w:val="center"/>
              <w:rPr>
                <w:bCs/>
                <w:sz w:val="16"/>
                <w:szCs w:val="16"/>
              </w:rPr>
            </w:pPr>
            <w:r>
              <w:rPr>
                <w:bCs/>
                <w:sz w:val="16"/>
                <w:szCs w:val="16"/>
              </w:rPr>
              <w:t>-1.2</w:t>
            </w:r>
          </w:p>
        </w:tc>
        <w:tc>
          <w:tcPr>
            <w:tcW w:w="0" w:type="auto"/>
            <w:hideMark/>
          </w:tcPr>
          <w:p w:rsidR="002A7F17" w:rsidRDefault="00865DF9" w:rsidP="00AF3E73">
            <w:pPr>
              <w:spacing w:line="480" w:lineRule="auto"/>
              <w:jc w:val="center"/>
              <w:rPr>
                <w:bCs/>
                <w:sz w:val="16"/>
                <w:szCs w:val="16"/>
              </w:rPr>
            </w:pPr>
            <w:r>
              <w:rPr>
                <w:bCs/>
                <w:sz w:val="16"/>
                <w:szCs w:val="16"/>
              </w:rPr>
              <w:t>30</w:t>
            </w:r>
          </w:p>
          <w:p w:rsidR="00865DF9" w:rsidRDefault="00865DF9" w:rsidP="00AF3E73">
            <w:pPr>
              <w:spacing w:line="480" w:lineRule="auto"/>
              <w:jc w:val="center"/>
              <w:rPr>
                <w:bCs/>
                <w:sz w:val="16"/>
                <w:szCs w:val="16"/>
              </w:rPr>
            </w:pPr>
            <w:r w:rsidRPr="002A7F17">
              <w:rPr>
                <w:bCs/>
                <w:i/>
                <w:sz w:val="16"/>
                <w:szCs w:val="16"/>
              </w:rPr>
              <w:t>(± 10)</w:t>
            </w:r>
          </w:p>
        </w:tc>
        <w:tc>
          <w:tcPr>
            <w:tcW w:w="0" w:type="auto"/>
            <w:hideMark/>
          </w:tcPr>
          <w:p w:rsidR="002A7F17" w:rsidRDefault="00865DF9" w:rsidP="00AF3E73">
            <w:pPr>
              <w:spacing w:line="480" w:lineRule="auto"/>
              <w:jc w:val="center"/>
              <w:rPr>
                <w:bCs/>
                <w:sz w:val="16"/>
                <w:szCs w:val="16"/>
              </w:rPr>
            </w:pPr>
            <w:r>
              <w:rPr>
                <w:bCs/>
                <w:sz w:val="16"/>
                <w:szCs w:val="16"/>
              </w:rPr>
              <w:t>2</w:t>
            </w:r>
          </w:p>
          <w:p w:rsidR="00865DF9" w:rsidRPr="00A87788" w:rsidRDefault="00865DF9" w:rsidP="00AF3E73">
            <w:pPr>
              <w:spacing w:line="480" w:lineRule="auto"/>
              <w:jc w:val="center"/>
              <w:rPr>
                <w:bCs/>
                <w:sz w:val="16"/>
                <w:szCs w:val="16"/>
              </w:rPr>
            </w:pPr>
            <w:r w:rsidRPr="00B328E3">
              <w:rPr>
                <w:bCs/>
                <w:iCs/>
                <w:sz w:val="16"/>
                <w:szCs w:val="16"/>
              </w:rPr>
              <w:t>(±0.0</w:t>
            </w:r>
            <w:r>
              <w:rPr>
                <w:bCs/>
                <w:iCs/>
                <w:sz w:val="16"/>
                <w:szCs w:val="16"/>
              </w:rPr>
              <w:t>2</w:t>
            </w:r>
            <w:r w:rsidRPr="00B328E3">
              <w:rPr>
                <w:bCs/>
                <w:iCs/>
                <w:sz w:val="16"/>
                <w:szCs w:val="16"/>
              </w:rPr>
              <w:t>)</w:t>
            </w:r>
          </w:p>
        </w:tc>
      </w:tr>
      <w:tr w:rsidR="004836F2" w:rsidRPr="00A87788" w:rsidTr="00A25F2E">
        <w:trPr>
          <w:trHeight w:val="584"/>
          <w:jc w:val="center"/>
        </w:trPr>
        <w:tc>
          <w:tcPr>
            <w:tcW w:w="0" w:type="auto"/>
            <w:tcBorders>
              <w:bottom w:val="single" w:sz="4" w:space="0" w:color="auto"/>
            </w:tcBorders>
          </w:tcPr>
          <w:p w:rsidR="004836F2" w:rsidRPr="00A87788" w:rsidRDefault="004836F2" w:rsidP="00BA7E7A">
            <w:pPr>
              <w:spacing w:line="480" w:lineRule="auto"/>
              <w:jc w:val="center"/>
              <w:rPr>
                <w:bCs/>
                <w:sz w:val="16"/>
                <w:szCs w:val="16"/>
              </w:rPr>
            </w:pPr>
            <w:r>
              <w:rPr>
                <w:bCs/>
                <w:sz w:val="16"/>
                <w:szCs w:val="16"/>
              </w:rPr>
              <w:t>40</w:t>
            </w:r>
          </w:p>
        </w:tc>
        <w:tc>
          <w:tcPr>
            <w:tcW w:w="0" w:type="auto"/>
            <w:tcBorders>
              <w:bottom w:val="single" w:sz="4" w:space="0" w:color="auto"/>
            </w:tcBorders>
            <w:hideMark/>
          </w:tcPr>
          <w:p w:rsidR="004836F2" w:rsidRPr="00A87788" w:rsidRDefault="004836F2" w:rsidP="00BA7E7A">
            <w:pPr>
              <w:spacing w:after="200" w:line="480" w:lineRule="auto"/>
              <w:jc w:val="center"/>
              <w:rPr>
                <w:bCs/>
                <w:sz w:val="16"/>
                <w:szCs w:val="16"/>
              </w:rPr>
            </w:pPr>
            <w:r w:rsidRPr="00A87788">
              <w:rPr>
                <w:bCs/>
                <w:sz w:val="16"/>
                <w:szCs w:val="16"/>
              </w:rPr>
              <w:t>iITC</w:t>
            </w:r>
          </w:p>
        </w:tc>
        <w:tc>
          <w:tcPr>
            <w:tcW w:w="0" w:type="auto"/>
            <w:tcBorders>
              <w:bottom w:val="single" w:sz="4" w:space="0" w:color="auto"/>
            </w:tcBorders>
            <w:hideMark/>
          </w:tcPr>
          <w:p w:rsidR="004836F2" w:rsidRPr="006700E3" w:rsidRDefault="004836F2" w:rsidP="002E2B73">
            <w:pPr>
              <w:spacing w:line="480" w:lineRule="auto"/>
              <w:jc w:val="center"/>
              <w:rPr>
                <w:bCs/>
                <w:iCs/>
                <w:sz w:val="16"/>
                <w:szCs w:val="16"/>
              </w:rPr>
            </w:pPr>
            <w:r w:rsidRPr="006700E3">
              <w:rPr>
                <w:bCs/>
                <w:iCs/>
                <w:sz w:val="16"/>
                <w:szCs w:val="16"/>
              </w:rPr>
              <w:t>22.6</w:t>
            </w:r>
          </w:p>
          <w:p w:rsidR="004836F2" w:rsidRDefault="004836F2" w:rsidP="002E2B73">
            <w:pPr>
              <w:spacing w:line="480" w:lineRule="auto"/>
              <w:jc w:val="center"/>
              <w:rPr>
                <w:b/>
                <w:bCs/>
                <w:iCs/>
                <w:sz w:val="16"/>
                <w:szCs w:val="16"/>
              </w:rPr>
            </w:pPr>
            <w:r w:rsidRPr="00635056">
              <w:rPr>
                <w:b/>
                <w:bCs/>
                <w:iCs/>
                <w:sz w:val="16"/>
                <w:szCs w:val="16"/>
              </w:rPr>
              <w:t>(±0.2)</w:t>
            </w:r>
          </w:p>
          <w:p w:rsidR="004836F2" w:rsidRPr="00635056" w:rsidRDefault="004836F2" w:rsidP="002E2B73">
            <w:pPr>
              <w:spacing w:line="480" w:lineRule="auto"/>
              <w:jc w:val="center"/>
              <w:rPr>
                <w:b/>
                <w:bCs/>
                <w:iCs/>
                <w:sz w:val="16"/>
                <w:szCs w:val="16"/>
              </w:rPr>
            </w:pPr>
            <w:r w:rsidRPr="00B328E3">
              <w:rPr>
                <w:bCs/>
                <w:i/>
                <w:iCs/>
                <w:sz w:val="16"/>
                <w:szCs w:val="16"/>
              </w:rPr>
              <w:t>(±</w:t>
            </w:r>
            <w:r>
              <w:rPr>
                <w:bCs/>
                <w:i/>
                <w:iCs/>
                <w:sz w:val="16"/>
                <w:szCs w:val="16"/>
              </w:rPr>
              <w:t>0.5)</w:t>
            </w:r>
          </w:p>
        </w:tc>
        <w:tc>
          <w:tcPr>
            <w:tcW w:w="0" w:type="auto"/>
            <w:tcBorders>
              <w:bottom w:val="single" w:sz="4" w:space="0" w:color="auto"/>
            </w:tcBorders>
            <w:hideMark/>
          </w:tcPr>
          <w:p w:rsidR="004836F2" w:rsidRPr="006700E3" w:rsidRDefault="004836F2" w:rsidP="002E2B73">
            <w:pPr>
              <w:spacing w:line="480" w:lineRule="auto"/>
              <w:jc w:val="center"/>
              <w:rPr>
                <w:bCs/>
                <w:iCs/>
                <w:sz w:val="16"/>
                <w:szCs w:val="16"/>
              </w:rPr>
            </w:pPr>
            <w:r>
              <w:rPr>
                <w:bCs/>
                <w:iCs/>
                <w:sz w:val="16"/>
                <w:szCs w:val="16"/>
              </w:rPr>
              <w:t>-12.3</w:t>
            </w:r>
          </w:p>
          <w:p w:rsidR="004836F2" w:rsidRPr="00635056" w:rsidRDefault="004836F2" w:rsidP="002E2B73">
            <w:pPr>
              <w:spacing w:line="480" w:lineRule="auto"/>
              <w:jc w:val="center"/>
              <w:rPr>
                <w:b/>
                <w:bCs/>
                <w:iCs/>
                <w:sz w:val="16"/>
                <w:szCs w:val="16"/>
              </w:rPr>
            </w:pPr>
            <w:r w:rsidRPr="00635056">
              <w:rPr>
                <w:b/>
                <w:bCs/>
                <w:iCs/>
                <w:sz w:val="16"/>
                <w:szCs w:val="16"/>
              </w:rPr>
              <w:t>(±0.4)</w:t>
            </w:r>
          </w:p>
        </w:tc>
        <w:tc>
          <w:tcPr>
            <w:tcW w:w="0" w:type="auto"/>
            <w:tcBorders>
              <w:bottom w:val="single" w:sz="4" w:space="0" w:color="auto"/>
            </w:tcBorders>
            <w:hideMark/>
          </w:tcPr>
          <w:p w:rsidR="004836F2" w:rsidRPr="006700E3" w:rsidRDefault="004836F2" w:rsidP="002E2B73">
            <w:pPr>
              <w:spacing w:line="480" w:lineRule="auto"/>
              <w:jc w:val="center"/>
              <w:rPr>
                <w:bCs/>
                <w:iCs/>
                <w:sz w:val="16"/>
                <w:szCs w:val="16"/>
              </w:rPr>
            </w:pPr>
            <w:r w:rsidRPr="006700E3">
              <w:rPr>
                <w:bCs/>
                <w:iCs/>
                <w:sz w:val="16"/>
                <w:szCs w:val="16"/>
              </w:rPr>
              <w:t>34.8</w:t>
            </w:r>
          </w:p>
          <w:p w:rsidR="004836F2" w:rsidRDefault="004836F2" w:rsidP="002E2B73">
            <w:pPr>
              <w:spacing w:line="480" w:lineRule="auto"/>
              <w:jc w:val="center"/>
              <w:rPr>
                <w:b/>
                <w:bCs/>
                <w:iCs/>
                <w:sz w:val="16"/>
                <w:szCs w:val="16"/>
              </w:rPr>
            </w:pPr>
            <w:r w:rsidRPr="00635056">
              <w:rPr>
                <w:b/>
                <w:bCs/>
                <w:iCs/>
                <w:sz w:val="16"/>
                <w:szCs w:val="16"/>
              </w:rPr>
              <w:t>(±0.1)</w:t>
            </w:r>
          </w:p>
          <w:p w:rsidR="004836F2" w:rsidRPr="00635056" w:rsidRDefault="004836F2" w:rsidP="002E2B73">
            <w:pPr>
              <w:spacing w:line="480" w:lineRule="auto"/>
              <w:jc w:val="center"/>
              <w:rPr>
                <w:b/>
                <w:bCs/>
                <w:iCs/>
                <w:sz w:val="16"/>
                <w:szCs w:val="16"/>
              </w:rPr>
            </w:pPr>
            <w:r w:rsidRPr="00B328E3">
              <w:rPr>
                <w:bCs/>
                <w:i/>
                <w:iCs/>
                <w:sz w:val="16"/>
                <w:szCs w:val="16"/>
              </w:rPr>
              <w:t>(±</w:t>
            </w:r>
            <w:r>
              <w:rPr>
                <w:bCs/>
                <w:i/>
                <w:iCs/>
                <w:sz w:val="16"/>
                <w:szCs w:val="16"/>
              </w:rPr>
              <w:t>2)</w:t>
            </w:r>
          </w:p>
        </w:tc>
        <w:tc>
          <w:tcPr>
            <w:tcW w:w="0" w:type="auto"/>
            <w:tcBorders>
              <w:bottom w:val="single" w:sz="4" w:space="0" w:color="auto"/>
            </w:tcBorders>
            <w:hideMark/>
          </w:tcPr>
          <w:p w:rsidR="004836F2" w:rsidRPr="006700E3" w:rsidRDefault="004836F2" w:rsidP="002E2B73">
            <w:pPr>
              <w:spacing w:line="480" w:lineRule="auto"/>
              <w:jc w:val="center"/>
              <w:rPr>
                <w:bCs/>
                <w:iCs/>
                <w:sz w:val="16"/>
                <w:szCs w:val="16"/>
              </w:rPr>
            </w:pPr>
            <w:r w:rsidRPr="006700E3">
              <w:rPr>
                <w:bCs/>
                <w:iCs/>
                <w:sz w:val="16"/>
                <w:szCs w:val="16"/>
              </w:rPr>
              <w:t>2</w:t>
            </w:r>
          </w:p>
          <w:p w:rsidR="004836F2" w:rsidRDefault="004836F2" w:rsidP="002E2B73">
            <w:pPr>
              <w:spacing w:line="480" w:lineRule="auto"/>
              <w:jc w:val="center"/>
              <w:rPr>
                <w:b/>
                <w:bCs/>
                <w:iCs/>
                <w:sz w:val="16"/>
                <w:szCs w:val="16"/>
              </w:rPr>
            </w:pPr>
            <w:r w:rsidRPr="00635056">
              <w:rPr>
                <w:b/>
                <w:bCs/>
                <w:iCs/>
                <w:sz w:val="16"/>
                <w:szCs w:val="16"/>
              </w:rPr>
              <w:t>(±0.05)</w:t>
            </w:r>
          </w:p>
          <w:p w:rsidR="004836F2" w:rsidRPr="00635056" w:rsidRDefault="004836F2" w:rsidP="002E2B73">
            <w:pPr>
              <w:spacing w:line="480" w:lineRule="auto"/>
              <w:jc w:val="center"/>
              <w:rPr>
                <w:b/>
                <w:bCs/>
                <w:iCs/>
                <w:sz w:val="16"/>
                <w:szCs w:val="16"/>
              </w:rPr>
            </w:pPr>
            <w:r w:rsidRPr="00B328E3">
              <w:rPr>
                <w:bCs/>
                <w:i/>
                <w:iCs/>
                <w:sz w:val="16"/>
                <w:szCs w:val="16"/>
              </w:rPr>
              <w:t>(±</w:t>
            </w:r>
            <w:r>
              <w:rPr>
                <w:bCs/>
                <w:i/>
                <w:iCs/>
                <w:sz w:val="16"/>
                <w:szCs w:val="16"/>
              </w:rPr>
              <w:t>0.02)</w:t>
            </w:r>
          </w:p>
        </w:tc>
      </w:tr>
    </w:tbl>
    <w:p w:rsidR="00956B80" w:rsidRDefault="00956B80" w:rsidP="00956B80">
      <w:pPr>
        <w:spacing w:line="480" w:lineRule="auto"/>
        <w:jc w:val="both"/>
        <w:rPr>
          <w:bCs/>
        </w:rPr>
      </w:pPr>
    </w:p>
    <w:p w:rsidR="00956B80" w:rsidRDefault="00956B80" w:rsidP="00956B80">
      <w:pPr>
        <w:spacing w:line="480" w:lineRule="auto"/>
        <w:jc w:val="both"/>
        <w:rPr>
          <w:bCs/>
        </w:rPr>
      </w:pPr>
      <w:r>
        <w:rPr>
          <w:bCs/>
        </w:rPr>
        <w:t>The one site model for the binding isotherm obtained for the interaction at 40</w:t>
      </w:r>
      <w:r w:rsidR="006F2757">
        <w:rPr>
          <w:bCs/>
        </w:rPr>
        <w:t xml:space="preserve"> </w:t>
      </w:r>
      <w:r>
        <w:rPr>
          <w:bCs/>
        </w:rPr>
        <w:t>°C was not comparable to the previous cITC study. This may have been due to the increase noise in the binding isotherm in comparison to the one at 25</w:t>
      </w:r>
      <w:r w:rsidR="006F2757">
        <w:rPr>
          <w:bCs/>
        </w:rPr>
        <w:t xml:space="preserve"> </w:t>
      </w:r>
      <w:r>
        <w:rPr>
          <w:bCs/>
        </w:rPr>
        <w:t>°C</w:t>
      </w:r>
      <w:r w:rsidR="00277FDB">
        <w:rPr>
          <w:bCs/>
        </w:rPr>
        <w:t xml:space="preserve"> meaning a poor fit to the data</w:t>
      </w:r>
      <w:r>
        <w:rPr>
          <w:bCs/>
        </w:rPr>
        <w:t xml:space="preserve">. </w:t>
      </w:r>
    </w:p>
    <w:p w:rsidR="00956B80" w:rsidRDefault="00956B80" w:rsidP="00956B80">
      <w:pPr>
        <w:spacing w:line="480" w:lineRule="auto"/>
        <w:jc w:val="both"/>
        <w:rPr>
          <w:bCs/>
          <w:color w:val="000000" w:themeColor="text1"/>
        </w:rPr>
      </w:pPr>
      <w:r>
        <w:rPr>
          <w:bCs/>
        </w:rPr>
        <w:t xml:space="preserve">The </w:t>
      </w:r>
      <w:r w:rsidRPr="00AA55C1">
        <w:rPr>
          <w:bCs/>
          <w:color w:val="000000" w:themeColor="text1"/>
        </w:rPr>
        <w:t>noise within the potassium phytate binding isotherms is much larger than the sodium phytate. The structure, solubility of phytate changes in respect to the counter ion</w:t>
      </w:r>
      <w:r>
        <w:rPr>
          <w:bCs/>
          <w:color w:val="000000" w:themeColor="text1"/>
        </w:rPr>
        <w:t xml:space="preserve"> and this has effect on nutrition</w:t>
      </w:r>
      <w:r w:rsidRPr="00AA55C1">
        <w:rPr>
          <w:bCs/>
          <w:color w:val="000000" w:themeColor="text1"/>
        </w:rPr>
        <w:t>.</w:t>
      </w:r>
      <w:hyperlink w:anchor="_ENREF_297" w:tooltip="Veiga, 2009 #708" w:history="1">
        <w:r w:rsidR="00512D09" w:rsidRPr="00AA55C1">
          <w:rPr>
            <w:bCs/>
            <w:color w:val="000000" w:themeColor="text1"/>
          </w:rPr>
          <w:fldChar w:fldCharType="begin"/>
        </w:r>
        <w:r w:rsidR="00512D09">
          <w:rPr>
            <w:bCs/>
            <w:color w:val="000000" w:themeColor="text1"/>
          </w:rPr>
          <w:instrText xml:space="preserve"> ADDIN EN.CITE &lt;EndNote&gt;&lt;Cite&gt;&lt;Author&gt;Veiga&lt;/Author&gt;&lt;Year&gt;2009&lt;/Year&gt;&lt;RecNum&gt;708&lt;/RecNum&gt;&lt;DisplayText&gt;&lt;style face="superscript"&gt;297&lt;/style&gt;&lt;/DisplayText&gt;&lt;record&gt;&lt;rec-number&gt;708&lt;/rec-number&gt;&lt;foreign-keys&gt;&lt;key app="EN" db-id="5trrespwzsdr07efd5tx2w96x22re9s0fsdt"&gt;708&lt;/key&gt;&lt;/foreign-keys&gt;&lt;ref-type name="Journal Article"&gt;17&lt;/ref-type&gt;&lt;contributors&gt;&lt;authors&gt;&lt;author&gt;Veiga, Nicolás&lt;/author&gt;&lt;author&gt;Torres, Julia&lt;/author&gt;&lt;author&gt;Godage, Himali Y&lt;/author&gt;&lt;author&gt;Riley, Andrew M&lt;/author&gt;&lt;author&gt;Domínguez, Sixto&lt;/author&gt;&lt;author&gt;Potter, Barry VL&lt;/author&gt;&lt;author&gt;Díaz, Alvaro&lt;/author&gt;&lt;author&gt;Kremer, Carlos&lt;/author&gt;&lt;/authors&gt;&lt;/contributors&gt;&lt;titles&gt;&lt;title&gt;The behaviour of inositol 1, 3, 4, 5, 6-pentakisphosphate in the presence of the major biological metal cations&lt;/title&gt;&lt;secondary-title&gt;JBIC Journal of Biological Inorganic Chemistry&lt;/secondary-title&gt;&lt;/titles&gt;&lt;periodical&gt;&lt;full-title&gt;JBIC Journal of Biological Inorganic Chemistry&lt;/full-title&gt;&lt;/periodical&gt;&lt;pages&gt;1001-1013&lt;/pages&gt;&lt;volume&gt;14&lt;/volume&gt;&lt;number&gt;7&lt;/number&gt;&lt;dates&gt;&lt;year&gt;2009&lt;/year&gt;&lt;/dates&gt;&lt;isbn&gt;0949-8257&lt;/isbn&gt;&lt;urls&gt;&lt;/urls&gt;&lt;/record&gt;&lt;/Cite&gt;&lt;/EndNote&gt;</w:instrText>
        </w:r>
        <w:r w:rsidR="00512D09" w:rsidRPr="00AA55C1">
          <w:rPr>
            <w:bCs/>
            <w:color w:val="000000" w:themeColor="text1"/>
          </w:rPr>
          <w:fldChar w:fldCharType="separate"/>
        </w:r>
        <w:r w:rsidR="00512D09" w:rsidRPr="0057696F">
          <w:rPr>
            <w:bCs/>
            <w:noProof/>
            <w:color w:val="000000" w:themeColor="text1"/>
            <w:vertAlign w:val="superscript"/>
          </w:rPr>
          <w:t>297</w:t>
        </w:r>
        <w:r w:rsidR="00512D09" w:rsidRPr="00AA55C1">
          <w:rPr>
            <w:bCs/>
            <w:color w:val="000000" w:themeColor="text1"/>
          </w:rPr>
          <w:fldChar w:fldCharType="end"/>
        </w:r>
      </w:hyperlink>
      <w:r>
        <w:rPr>
          <w:bCs/>
          <w:color w:val="000000" w:themeColor="text1"/>
        </w:rPr>
        <w:t xml:space="preserve"> </w:t>
      </w:r>
      <w:hyperlink w:anchor="_ENREF_298" w:tooltip="Dersjant-Li, 2015 #709" w:history="1">
        <w:r w:rsidR="00512D09">
          <w:rPr>
            <w:bCs/>
            <w:color w:val="000000" w:themeColor="text1"/>
          </w:rPr>
          <w:fldChar w:fldCharType="begin">
            <w:fldData xml:space="preserve">PEVuZE5vdGU+PENpdGU+PEF1dGhvcj5EZXJzamFudC1MaTwvQXV0aG9yPjxZZWFyPjIwMTU8L1ll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</w:fldData>
          </w:fldChar>
        </w:r>
        <w:r w:rsidR="00512D09">
          <w:rPr>
            <w:bCs/>
            <w:color w:val="000000" w:themeColor="text1"/>
          </w:rPr>
          <w:instrText xml:space="preserve"> ADDIN EN.CITE </w:instrText>
        </w:r>
        <w:r w:rsidR="00512D09">
          <w:rPr>
            <w:bCs/>
            <w:color w:val="000000" w:themeColor="text1"/>
          </w:rPr>
          <w:fldChar w:fldCharType="begin">
            <w:fldData xml:space="preserve">PEVuZE5vdGU+PENpdGU+PEF1dGhvcj5EZXJzamFudC1MaTwvQXV0aG9yPjxZZWFyPjIwMTU8L1ll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</w:fldData>
          </w:fldChar>
        </w:r>
        <w:r w:rsidR="00512D09">
          <w:rPr>
            <w:bCs/>
            <w:color w:val="000000" w:themeColor="text1"/>
          </w:rPr>
          <w:instrText xml:space="preserve"> ADDIN EN.CITE.DATA </w:instrText>
        </w:r>
        <w:r w:rsidR="00512D09">
          <w:rPr>
            <w:bCs/>
            <w:color w:val="000000" w:themeColor="text1"/>
          </w:rPr>
        </w:r>
        <w:r w:rsidR="00512D09">
          <w:rPr>
            <w:bCs/>
            <w:color w:val="000000" w:themeColor="text1"/>
          </w:rPr>
          <w:fldChar w:fldCharType="end"/>
        </w:r>
        <w:r w:rsidR="00512D09">
          <w:rPr>
            <w:bCs/>
            <w:color w:val="000000" w:themeColor="text1"/>
          </w:rPr>
        </w:r>
        <w:r w:rsidR="00512D09">
          <w:rPr>
            <w:bCs/>
            <w:color w:val="000000" w:themeColor="text1"/>
          </w:rPr>
          <w:fldChar w:fldCharType="separate"/>
        </w:r>
        <w:r w:rsidR="00512D09" w:rsidRPr="0057696F">
          <w:rPr>
            <w:bCs/>
            <w:noProof/>
            <w:color w:val="000000" w:themeColor="text1"/>
            <w:vertAlign w:val="superscript"/>
          </w:rPr>
          <w:t>298</w:t>
        </w:r>
        <w:r w:rsidR="00512D09">
          <w:rPr>
            <w:bCs/>
            <w:color w:val="000000" w:themeColor="text1"/>
          </w:rPr>
          <w:fldChar w:fldCharType="end"/>
        </w:r>
      </w:hyperlink>
      <w:r>
        <w:rPr>
          <w:bCs/>
          <w:color w:val="000000" w:themeColor="text1"/>
        </w:rPr>
        <w:t xml:space="preserve"> Sodium and other ions present in the sodium phytate </w:t>
      </w:r>
      <w:r>
        <w:rPr>
          <w:bCs/>
          <w:color w:val="000000" w:themeColor="text1"/>
        </w:rPr>
        <w:lastRenderedPageBreak/>
        <w:t xml:space="preserve">preparation may have affected the solubility of the protein and the apparent crosslinking phenomena providing binding isotherms that better fitted the two site model.   </w:t>
      </w:r>
      <w:r w:rsidRPr="00AA55C1">
        <w:rPr>
          <w:bCs/>
          <w:color w:val="000000" w:themeColor="text1"/>
        </w:rPr>
        <w:t xml:space="preserve">  </w:t>
      </w:r>
    </w:p>
    <w:p w:rsidR="00E85BD8" w:rsidRDefault="00E85BD8" w:rsidP="00956B80">
      <w:pPr>
        <w:spacing w:line="480" w:lineRule="auto"/>
        <w:jc w:val="both"/>
        <w:rPr>
          <w:bCs/>
          <w:color w:val="000000" w:themeColor="text1"/>
        </w:rPr>
      </w:pPr>
    </w:p>
    <w:p w:rsidR="00E85BD8" w:rsidRDefault="00E85BD8"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Default="001926E7" w:rsidP="00956B80">
      <w:pPr>
        <w:spacing w:line="480" w:lineRule="auto"/>
        <w:jc w:val="both"/>
        <w:rPr>
          <w:bCs/>
        </w:rPr>
      </w:pPr>
    </w:p>
    <w:p w:rsidR="001926E7" w:rsidRPr="00E85BD8" w:rsidRDefault="001926E7" w:rsidP="00956B80">
      <w:pPr>
        <w:spacing w:line="480" w:lineRule="auto"/>
        <w:jc w:val="both"/>
        <w:rPr>
          <w:bCs/>
        </w:rPr>
      </w:pPr>
    </w:p>
    <w:p w:rsidR="007979BA" w:rsidRPr="00283FC3" w:rsidRDefault="007979BA" w:rsidP="00956B80">
      <w:pPr>
        <w:spacing w:line="480" w:lineRule="auto"/>
        <w:jc w:val="both"/>
      </w:pPr>
    </w:p>
    <w:p w:rsidR="00956B80" w:rsidRDefault="00956B80" w:rsidP="00626B72">
      <w:pPr>
        <w:pStyle w:val="Heading2"/>
        <w:numPr>
          <w:ilvl w:val="1"/>
          <w:numId w:val="10"/>
        </w:numPr>
        <w:spacing w:line="480" w:lineRule="auto"/>
        <w:ind w:left="578" w:hanging="578"/>
      </w:pPr>
      <w:bookmarkStart w:id="209" w:name="_Toc459130729"/>
      <w:r w:rsidRPr="0071420C">
        <w:lastRenderedPageBreak/>
        <w:t>Conclusion</w:t>
      </w:r>
      <w:bookmarkEnd w:id="209"/>
    </w:p>
    <w:p w:rsidR="00956B80" w:rsidRDefault="00956B80" w:rsidP="00956B80">
      <w:pPr>
        <w:spacing w:line="480" w:lineRule="auto"/>
        <w:jc w:val="both"/>
      </w:pPr>
      <w:r>
        <w:t xml:space="preserve">Continuous </w:t>
      </w:r>
      <w:r w:rsidR="00DF451E">
        <w:t xml:space="preserve">Isothermal Titration Calorimetry </w:t>
      </w:r>
      <w:r>
        <w:t xml:space="preserve">(cITC) is a method where the ligand solution is continuously titrated over one time interval. This offers the opportunity of thousands of data points meaning the thermodynamics of complex binding modes could be calculated. </w:t>
      </w:r>
    </w:p>
    <w:p w:rsidR="00956B80" w:rsidRDefault="00956B80" w:rsidP="00956B80">
      <w:pPr>
        <w:spacing w:line="480" w:lineRule="auto"/>
        <w:jc w:val="both"/>
      </w:pPr>
      <w:r>
        <w:t>The binding isotherms obtained by titrating sodium phytate into lysozyme provided better quality thermodynamic data than the potassium phytate interaction. Fitting a two site model to the binding isotherm obtained for the interaction between sodium phytate and lysozyme at 25</w:t>
      </w:r>
      <w:r w:rsidR="006F2757">
        <w:t xml:space="preserve"> </w:t>
      </w:r>
      <w:r>
        <w:t xml:space="preserve">°C showed that positive cooperativity is unlikely to be occurring, given that the </w:t>
      </w:r>
      <w:r w:rsidR="001D171F" w:rsidRPr="001D171F">
        <w:rPr>
          <w:rFonts w:eastAsiaTheme="minorEastAsia"/>
        </w:rPr>
        <w:t>Δ</w:t>
      </w:r>
      <w:r w:rsidR="001D171F">
        <w:rPr>
          <w:rFonts w:eastAsiaTheme="minorEastAsia"/>
          <w:i/>
        </w:rPr>
        <w:t xml:space="preserve">G </w:t>
      </w:r>
      <w:r>
        <w:t xml:space="preserve">of second site is less favourable than the first site. </w:t>
      </w:r>
    </w:p>
    <w:p w:rsidR="00956B80" w:rsidRPr="00EA38C1" w:rsidRDefault="00956B80" w:rsidP="00956B80">
      <w:pPr>
        <w:spacing w:line="480" w:lineRule="auto"/>
        <w:jc w:val="both"/>
      </w:pPr>
      <w:r>
        <w:t xml:space="preserve">For most of the binding isotherms obtained by the potassium phytate–lysozyme interaction, using either the one site or two site models to estimate the binding thermodynamics produced results that were less accurate than those obtained by incremental injections. </w:t>
      </w:r>
      <w:r>
        <w:rPr>
          <w:bCs/>
        </w:rPr>
        <w:t xml:space="preserve">The crosslinking phenomenon, which is especially evident below a molar ratio of 1, prevented a proper fit to the thermodynamic data and is most likely due to the aggregation event.  </w:t>
      </w:r>
    </w:p>
    <w:p w:rsidR="00956B80" w:rsidRDefault="00956B80" w:rsidP="00956B80">
      <w:pPr>
        <w:spacing w:line="480" w:lineRule="auto"/>
        <w:jc w:val="both"/>
      </w:pPr>
      <w:r>
        <w:t xml:space="preserve"> </w:t>
      </w:r>
    </w:p>
    <w:p w:rsidR="00E85BD8" w:rsidRDefault="00E85BD8" w:rsidP="00956B80">
      <w:pPr>
        <w:spacing w:line="480" w:lineRule="auto"/>
        <w:jc w:val="both"/>
      </w:pPr>
    </w:p>
    <w:p w:rsidR="00E85BD8" w:rsidRDefault="00E85BD8" w:rsidP="00956B80">
      <w:pPr>
        <w:spacing w:line="480" w:lineRule="auto"/>
        <w:jc w:val="both"/>
      </w:pPr>
    </w:p>
    <w:p w:rsidR="00956B80" w:rsidRDefault="00956B80" w:rsidP="00956B80">
      <w:pPr>
        <w:spacing w:line="480" w:lineRule="auto"/>
        <w:jc w:val="both"/>
      </w:pPr>
    </w:p>
    <w:p w:rsidR="003703F0" w:rsidRDefault="003703F0" w:rsidP="0095721B"/>
    <w:p w:rsidR="004906D2" w:rsidRDefault="004906D2" w:rsidP="0095721B"/>
    <w:p w:rsidR="00786D2F" w:rsidRPr="00577153" w:rsidRDefault="00AF3E73" w:rsidP="00626B72">
      <w:pPr>
        <w:pStyle w:val="Heading1"/>
        <w:numPr>
          <w:ilvl w:val="0"/>
          <w:numId w:val="10"/>
        </w:numPr>
        <w:jc w:val="center"/>
        <w:rPr>
          <w:iCs/>
        </w:rPr>
      </w:pPr>
      <w:bookmarkStart w:id="210" w:name="_Toc459130730"/>
      <w:r>
        <w:lastRenderedPageBreak/>
        <w:t>Chapter 6</w:t>
      </w:r>
      <w:r w:rsidR="00786D2F">
        <w:t xml:space="preserve">: </w:t>
      </w:r>
      <w:r w:rsidR="0076524B">
        <w:t>Determining the Specificity of Phytate-Protein I</w:t>
      </w:r>
      <w:r w:rsidR="00786D2F" w:rsidRPr="00577153">
        <w:t>nteractions</w:t>
      </w:r>
      <w:bookmarkEnd w:id="210"/>
    </w:p>
    <w:p w:rsidR="003703F0" w:rsidRDefault="003703F0" w:rsidP="003703F0">
      <w:pPr>
        <w:spacing w:line="480" w:lineRule="auto"/>
        <w:jc w:val="cente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786D2F" w:rsidRDefault="00786D2F" w:rsidP="003703F0">
      <w:pPr>
        <w:spacing w:line="480" w:lineRule="auto"/>
        <w:jc w:val="both"/>
        <w:rPr>
          <w:b/>
        </w:rPr>
      </w:pPr>
    </w:p>
    <w:p w:rsidR="00FA4BEA" w:rsidRDefault="00FA4BEA" w:rsidP="00626B72">
      <w:pPr>
        <w:pStyle w:val="Heading2"/>
        <w:numPr>
          <w:ilvl w:val="1"/>
          <w:numId w:val="10"/>
        </w:numPr>
        <w:spacing w:line="480" w:lineRule="auto"/>
      </w:pPr>
      <w:bookmarkStart w:id="211" w:name="_Toc459130731"/>
      <w:r>
        <w:lastRenderedPageBreak/>
        <w:t>Summary</w:t>
      </w:r>
      <w:bookmarkEnd w:id="211"/>
    </w:p>
    <w:p w:rsidR="003703F0" w:rsidRDefault="003703F0" w:rsidP="003703F0">
      <w:pPr>
        <w:spacing w:line="480" w:lineRule="auto"/>
        <w:jc w:val="both"/>
        <w:rPr>
          <w:rFonts w:cs="Arial"/>
          <w:bCs/>
          <w:color w:val="252525"/>
          <w:shd w:val="clear" w:color="auto" w:fill="FFFFFF"/>
        </w:rPr>
      </w:pPr>
      <w:r>
        <w:t xml:space="preserve">Albumins are major transporters of organic compounds and mineral ions in the blood. Human serum albumin (HSA) is the </w:t>
      </w:r>
      <w:r w:rsidRPr="00935E1C">
        <w:t xml:space="preserve">variant found in human blood, whilst bovine serum albumin </w:t>
      </w:r>
      <w:r>
        <w:t xml:space="preserve">(BSA) </w:t>
      </w:r>
      <w:r w:rsidRPr="00935E1C">
        <w:t xml:space="preserve">is </w:t>
      </w:r>
      <w:r w:rsidR="00E85BD8">
        <w:t xml:space="preserve">the </w:t>
      </w:r>
      <w:r w:rsidRPr="00935E1C">
        <w:t>variant found in cattle.</w:t>
      </w:r>
      <w:r>
        <w:t xml:space="preserve"> </w:t>
      </w:r>
      <w:r w:rsidRPr="00C11EB4">
        <w:t>Inositol hexakisphosphate</w:t>
      </w:r>
      <w:r>
        <w:t xml:space="preserve">, otherwise known as phytate, is a cell signalling molecule found in all mammalian cells. It also exists in crops, seeds and legumes meaning it presents a nutritional problem due to its capability of precipitating both exogenenous proteins and those involved in digestion. </w:t>
      </w:r>
      <w:r w:rsidRPr="00935E1C">
        <w:t xml:space="preserve">Isothermal Titration Calorimetry (ITC) was utilised to measure the </w:t>
      </w:r>
      <w:r>
        <w:t>Gibbs f</w:t>
      </w:r>
      <w:r w:rsidRPr="00935E1C">
        <w:t>ree energy (</w:t>
      </w:r>
      <w:r w:rsidRPr="00935E1C">
        <w:rPr>
          <w:rFonts w:cs="Arial"/>
          <w:bCs/>
          <w:color w:val="252525"/>
          <w:shd w:val="clear" w:color="auto" w:fill="FFFFFF"/>
        </w:rPr>
        <w:t>Δ</w:t>
      </w:r>
      <w:r w:rsidRPr="002D22A3">
        <w:rPr>
          <w:rFonts w:cs="Arial"/>
          <w:bCs/>
          <w:i/>
          <w:color w:val="252525"/>
          <w:shd w:val="clear" w:color="auto" w:fill="FFFFFF"/>
        </w:rPr>
        <w:t>G</w:t>
      </w:r>
      <w:r w:rsidRPr="00935E1C">
        <w:rPr>
          <w:rFonts w:cs="Arial"/>
          <w:bCs/>
          <w:color w:val="252525"/>
          <w:shd w:val="clear" w:color="auto" w:fill="FFFFFF"/>
        </w:rPr>
        <w:t>), the enthalpy</w:t>
      </w:r>
      <w:r>
        <w:rPr>
          <w:rFonts w:cs="Arial"/>
          <w:bCs/>
          <w:color w:val="252525"/>
          <w:shd w:val="clear" w:color="auto" w:fill="FFFFFF"/>
        </w:rPr>
        <w:t xml:space="preserve"> </w:t>
      </w:r>
      <w:r w:rsidRPr="00935E1C">
        <w:t>(</w:t>
      </w:r>
      <w:r w:rsidRPr="00935E1C">
        <w:rPr>
          <w:rFonts w:cs="Arial"/>
          <w:bCs/>
          <w:color w:val="252525"/>
          <w:shd w:val="clear" w:color="auto" w:fill="FFFFFF"/>
        </w:rPr>
        <w:t>Δ</w:t>
      </w:r>
      <w:r w:rsidRPr="002D22A3">
        <w:rPr>
          <w:rFonts w:cs="Arial"/>
          <w:bCs/>
          <w:i/>
          <w:color w:val="252525"/>
          <w:shd w:val="clear" w:color="auto" w:fill="FFFFFF"/>
        </w:rPr>
        <w:t>H</w:t>
      </w:r>
      <w:r w:rsidRPr="00935E1C">
        <w:rPr>
          <w:rFonts w:cs="Arial"/>
          <w:bCs/>
          <w:color w:val="252525"/>
          <w:shd w:val="clear" w:color="auto" w:fill="FFFFFF"/>
        </w:rPr>
        <w:t>)</w:t>
      </w:r>
      <w:r>
        <w:rPr>
          <w:rFonts w:cs="Arial"/>
          <w:bCs/>
          <w:color w:val="252525"/>
          <w:shd w:val="clear" w:color="auto" w:fill="FFFFFF"/>
        </w:rPr>
        <w:t xml:space="preserve">, the entropy </w:t>
      </w:r>
      <w:r w:rsidRPr="00935E1C">
        <w:t>(</w:t>
      </w:r>
      <w:r>
        <w:t>T</w:t>
      </w:r>
      <w:r w:rsidRPr="00935E1C">
        <w:rPr>
          <w:rFonts w:cs="Arial"/>
          <w:bCs/>
          <w:color w:val="252525"/>
          <w:shd w:val="clear" w:color="auto" w:fill="FFFFFF"/>
        </w:rPr>
        <w:t>Δ</w:t>
      </w:r>
      <w:r w:rsidRPr="002D22A3">
        <w:rPr>
          <w:rFonts w:cs="Arial"/>
          <w:bCs/>
          <w:i/>
          <w:color w:val="252525"/>
          <w:shd w:val="clear" w:color="auto" w:fill="FFFFFF"/>
        </w:rPr>
        <w:t>S</w:t>
      </w:r>
      <w:r w:rsidRPr="00935E1C">
        <w:rPr>
          <w:rFonts w:cs="Arial"/>
          <w:bCs/>
          <w:color w:val="252525"/>
          <w:shd w:val="clear" w:color="auto" w:fill="FFFFFF"/>
        </w:rPr>
        <w:t>)</w:t>
      </w:r>
      <w:r>
        <w:rPr>
          <w:rFonts w:cs="Arial"/>
          <w:bCs/>
          <w:color w:val="252525"/>
          <w:shd w:val="clear" w:color="auto" w:fill="FFFFFF"/>
        </w:rPr>
        <w:t xml:space="preserve"> and stoichiometry (</w:t>
      </w:r>
      <w:r w:rsidRPr="0050110E">
        <w:rPr>
          <w:rFonts w:cs="Arial"/>
          <w:bCs/>
          <w:i/>
          <w:color w:val="252525"/>
          <w:shd w:val="clear" w:color="auto" w:fill="FFFFFF"/>
        </w:rPr>
        <w:t>n</w:t>
      </w:r>
      <w:r>
        <w:rPr>
          <w:rFonts w:cs="Arial"/>
          <w:bCs/>
          <w:color w:val="252525"/>
          <w:shd w:val="clear" w:color="auto" w:fill="FFFFFF"/>
        </w:rPr>
        <w:t xml:space="preserve">) of binding between phytate and these two serum albumins. The </w:t>
      </w:r>
      <w:r w:rsidRPr="00935E1C">
        <w:rPr>
          <w:rFonts w:cs="Arial"/>
          <w:bCs/>
          <w:color w:val="252525"/>
          <w:shd w:val="clear" w:color="auto" w:fill="FFFFFF"/>
        </w:rPr>
        <w:t>Δ</w:t>
      </w:r>
      <w:r w:rsidRPr="002D22A3">
        <w:rPr>
          <w:rFonts w:cs="Arial"/>
          <w:bCs/>
          <w:i/>
          <w:color w:val="252525"/>
          <w:shd w:val="clear" w:color="auto" w:fill="FFFFFF"/>
        </w:rPr>
        <w:t>G</w:t>
      </w:r>
      <w:r>
        <w:rPr>
          <w:rFonts w:cs="Arial"/>
          <w:bCs/>
          <w:color w:val="252525"/>
          <w:shd w:val="clear" w:color="auto" w:fill="FFFFFF"/>
        </w:rPr>
        <w:t xml:space="preserve"> was relatively similar, with 28.0 and 28.8 kJ/mol for BSA and HSA respectively. The binding isotherms were sigmoidal, suggesting a lack of extensive precipitation, but showed two stages of interaction. The first stage was indicative of saturation of binding sites with saturation occurring at approximately two molar ratios for both HSA and BSA. The second stage exhibited endothermic peaks on the thermogram which was taken as a possible dissocation event of phytate from the albumins.  Visual inspection of the binding isotherms shows that the first stage of phytate binding to HSA is more exothermic than binding to BSA. This suggests that the initial binding event occurs at a different set of positively charged amino acids in respect to both the albumins. </w:t>
      </w:r>
    </w:p>
    <w:p w:rsidR="003703F0" w:rsidRDefault="003703F0" w:rsidP="003703F0">
      <w:pPr>
        <w:spacing w:line="480" w:lineRule="auto"/>
        <w:jc w:val="both"/>
        <w:rPr>
          <w:rFonts w:cs="Arial"/>
          <w:bCs/>
          <w:color w:val="252525"/>
          <w:shd w:val="clear" w:color="auto" w:fill="FFFFFF"/>
        </w:rPr>
      </w:pPr>
      <w:r>
        <w:rPr>
          <w:rFonts w:cs="Arial"/>
          <w:bCs/>
          <w:color w:val="252525"/>
          <w:shd w:val="clear" w:color="auto" w:fill="FFFFFF"/>
        </w:rPr>
        <w:t xml:space="preserve">To determine the specificity of the binding interaction the titration was performed in phosphate buffered saline (PBS) buffer at pH 7.4. The pH is well above the isoelectric point (pI) of the protein meaning it has an overall negative charge. Secondly, the high ionic strength of the buffer further prevents non-specific electrostatic interactions between phytate and the albumin. The interaction was completely abolished in PBS buffer at pH 7.4, suggesting the interaction is not specific. This also suggests albumins do not function as extracellular transporters of phytate.  </w:t>
      </w: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rPr>
          <w:rFonts w:cs="Arial"/>
          <w:bCs/>
          <w:color w:val="252525"/>
          <w:shd w:val="clear" w:color="auto" w:fill="FFFFFF"/>
        </w:rPr>
      </w:pPr>
    </w:p>
    <w:p w:rsidR="003711CB" w:rsidRDefault="003711CB" w:rsidP="003703F0">
      <w:pPr>
        <w:spacing w:line="480" w:lineRule="auto"/>
        <w:jc w:val="both"/>
      </w:pPr>
    </w:p>
    <w:p w:rsidR="00E85BD8" w:rsidRDefault="00E85BD8" w:rsidP="003703F0">
      <w:pPr>
        <w:spacing w:line="480" w:lineRule="auto"/>
        <w:jc w:val="both"/>
      </w:pPr>
    </w:p>
    <w:p w:rsidR="00E85BD8" w:rsidRPr="005A2A06" w:rsidRDefault="00E85BD8" w:rsidP="003703F0">
      <w:pPr>
        <w:spacing w:line="480" w:lineRule="auto"/>
        <w:jc w:val="both"/>
      </w:pPr>
    </w:p>
    <w:p w:rsidR="003703F0" w:rsidRPr="00F20A26" w:rsidRDefault="003703F0" w:rsidP="00626B72">
      <w:pPr>
        <w:pStyle w:val="Heading2"/>
        <w:numPr>
          <w:ilvl w:val="1"/>
          <w:numId w:val="10"/>
        </w:numPr>
        <w:spacing w:line="480" w:lineRule="auto"/>
      </w:pPr>
      <w:bookmarkStart w:id="212" w:name="_Toc459130732"/>
      <w:r w:rsidRPr="00F20A26">
        <w:lastRenderedPageBreak/>
        <w:t>Introduction</w:t>
      </w:r>
      <w:bookmarkEnd w:id="212"/>
    </w:p>
    <w:p w:rsidR="003703F0" w:rsidRPr="00C11EB4" w:rsidRDefault="003703F0" w:rsidP="003703F0">
      <w:pPr>
        <w:spacing w:line="480" w:lineRule="auto"/>
        <w:jc w:val="both"/>
      </w:pPr>
      <w:r w:rsidRPr="00C11EB4">
        <w:t xml:space="preserve">Human </w:t>
      </w:r>
      <w:r w:rsidR="00DF5E54" w:rsidRPr="00C11EB4">
        <w:t xml:space="preserve">serum albumin </w:t>
      </w:r>
      <w:r w:rsidRPr="00C11EB4">
        <w:t>(HSA) is a negatively charged plasma protein which transports numerous substances around the blood</w:t>
      </w:r>
      <w:r>
        <w:t xml:space="preserve"> such as fatty acids, bilirubin and pharmacologically active molecules</w:t>
      </w:r>
      <w:r w:rsidRPr="00C11EB4">
        <w:t xml:space="preserve">. It is one of the most abundant plasma proteins in mammals comprising 60-65% of the </w:t>
      </w:r>
      <w:r>
        <w:t>total plasma protein in humans.</w:t>
      </w:r>
      <w:hyperlink w:anchor="_ENREF_299" w:tooltip="Ha, 2013 #153" w:history="1">
        <w:r w:rsidR="00512D09">
          <w:fldChar w:fldCharType="begin">
            <w:fldData xml:space="preserve">PEVuZE5vdGU+PENpdGU+PEF1dGhvcj5IYTwvQXV0aG9yPjxSZWNOdW0+MTUzPC9SZWNOdW0+PERp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</w:fldData>
          </w:fldChar>
        </w:r>
        <w:r w:rsidR="00512D09">
          <w:instrText xml:space="preserve"> ADDIN EN.CITE </w:instrText>
        </w:r>
        <w:r w:rsidR="00512D09">
          <w:fldChar w:fldCharType="begin">
            <w:fldData xml:space="preserve">PEVuZE5vdGU+PENpdGU+PEF1dGhvcj5IYTwvQXV0aG9yPjxSZWNOdW0+MTUzPC9SZWNOdW0+PERp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</w:fldData>
          </w:fldChar>
        </w:r>
        <w:r w:rsidR="00512D09">
          <w:instrText xml:space="preserve"> ADDIN EN.CITE.DATA </w:instrText>
        </w:r>
        <w:r w:rsidR="00512D09">
          <w:fldChar w:fldCharType="end"/>
        </w:r>
        <w:r w:rsidR="00512D09">
          <w:fldChar w:fldCharType="separate"/>
        </w:r>
        <w:r w:rsidR="00512D09" w:rsidRPr="0057696F">
          <w:rPr>
            <w:noProof/>
            <w:vertAlign w:val="superscript"/>
          </w:rPr>
          <w:t>299</w:t>
        </w:r>
        <w:r w:rsidR="00512D09">
          <w:fldChar w:fldCharType="end"/>
        </w:r>
      </w:hyperlink>
      <w:r>
        <w:t xml:space="preserve"> </w:t>
      </w:r>
      <w:r w:rsidRPr="00C11EB4">
        <w:t>HSA has a very high intravascular concentration and so is vital for keeping the oncotic pressure required for the separation o</w:t>
      </w:r>
      <w:r>
        <w:t>f body fluids around the body.</w:t>
      </w:r>
      <w:hyperlink w:anchor="_ENREF_300" w:tooltip="Kragh-Hansen, 2013 #216" w:history="1">
        <w:r w:rsidR="00512D09">
          <w:fldChar w:fldCharType="begin"/>
        </w:r>
        <w:r w:rsidR="00512D09">
          <w:instrText xml:space="preserve"> ADDIN EN.CITE &lt;EndNote&gt;&lt;Cite&gt;&lt;Author&gt;Kragh-Hansen&lt;/Author&gt;&lt;RecNum&gt;216&lt;/RecNum&gt;&lt;DisplayText&gt;&lt;style face="superscript"&gt;300&lt;/style&gt;&lt;/DisplayText&gt;&lt;record&gt;&lt;rec-number&gt;216&lt;/rec-number&gt;&lt;foreign-keys&gt;&lt;key app="EN" db-id="5trrespwzsdr07efd5tx2w96x22re9s0fsdt"&gt;216&lt;/key&gt;&lt;/foreign-keys&gt;&lt;ref-type name="Journal Article"&gt;17&lt;/ref-type&gt;&lt;contributors&gt;&lt;authors&gt;&lt;author&gt;Kragh-Hansen, U.&lt;/author&gt;&lt;author&gt;Minchiotti, L.&lt;/author&gt;&lt;author&gt;Galliano, M.&lt;/author&gt;&lt;author&gt;Peters, T., Jr.&lt;/author&gt;&lt;/authors&gt;&lt;/contributors&gt;&lt;auth-address&gt;Department of Biomedicine, University of Aarhus, DK-8000 Aarhus C, Denmark. Electronic address: ukh@biokemi.au.dk.&lt;/auth-address&gt;&lt;titles&gt;&lt;title&gt;Human serum albumin isoforms: genetic and molecular aspects and functional consequences&lt;/title&gt;&lt;secondary-title&gt;Biochimica et Biophysica Acta (BBA) - General Subjects&lt;/secondary-title&gt;&lt;alt-title&gt;Biochimica et biophysica acta&lt;/alt-title&gt;&lt;/titles&gt;&lt;periodical&gt;&lt;full-title&gt;Biochimica et Biophysica Acta (BBA) - General Subjects&lt;/full-title&gt;&lt;/periodical&gt;&lt;alt-periodical&gt;&lt;full-title&gt;Biochim Biophys Acta&lt;/full-title&gt;&lt;abbr-1&gt;Biochimica et biophysica acta&lt;/abbr-1&gt;&lt;/alt-periodical&gt;&lt;pages&gt;5405-17&lt;/pages&gt;&lt;volume&gt;1830&lt;/volume&gt;&lt;number&gt;12&lt;/number&gt;&lt;edition&gt;2013/04/06&lt;/edition&gt;&lt;keywords&gt;&lt;keyword&gt;Humans&lt;/keyword&gt;&lt;keyword&gt;Models, Molecular&lt;/keyword&gt;&lt;keyword&gt;Protein Conformation&lt;/keyword&gt;&lt;keyword&gt;Protein Isoforms/chemistry/genetics/*physiology&lt;/keyword&gt;&lt;keyword&gt;Serum Albumin/chemistry/genetics/*physiology&lt;/keyword&gt;&lt;/keywords&gt;&lt;dates&gt;&lt;year&gt;2013&lt;/year&gt;&lt;pub-dates&gt;&lt;date&gt;Dec&lt;/date&gt;&lt;/pub-dates&gt;&lt;/dates&gt;&lt;isbn&gt;0006-3002 (Print)&amp;#xD;0006-3002 (Linking)&lt;/isbn&gt;&lt;accession-num&gt;23558059&lt;/accession-num&gt;&lt;work-type&gt;Review&lt;/work-type&gt;&lt;urls&gt;&lt;related-urls&gt;&lt;url&gt;http://www.ncbi.nlm.nih.gov/pubmed/23558059&lt;/url&gt;&lt;/related-urls&gt;&lt;/urls&gt;&lt;electronic-resource-num&gt;10.1016/j.bbagen.2013.03.026&lt;/electronic-resource-num&gt;&lt;language&gt;eng&lt;/language&gt;&lt;/record&gt;&lt;/Cite&gt;&lt;/EndNote&gt;</w:instrText>
        </w:r>
        <w:r w:rsidR="00512D09">
          <w:fldChar w:fldCharType="separate"/>
        </w:r>
        <w:r w:rsidR="00512D09" w:rsidRPr="0057696F">
          <w:rPr>
            <w:noProof/>
            <w:vertAlign w:val="superscript"/>
          </w:rPr>
          <w:t>300</w:t>
        </w:r>
        <w:r w:rsidR="00512D09">
          <w:fldChar w:fldCharType="end"/>
        </w:r>
      </w:hyperlink>
      <w:r>
        <w:t xml:space="preserve"> </w:t>
      </w:r>
      <w:r w:rsidRPr="00C11EB4">
        <w:t>The protein exhibits a high buffering capacity due to the high number of charged amino ac</w:t>
      </w:r>
      <w:r>
        <w:t>ids that are readily titratable.</w:t>
      </w:r>
      <w:hyperlink w:anchor="_ENREF_300" w:tooltip="Kragh-Hansen, 2013 #216" w:history="1">
        <w:r w:rsidR="00512D09">
          <w:fldChar w:fldCharType="begin"/>
        </w:r>
        <w:r w:rsidR="00512D09">
          <w:instrText xml:space="preserve"> ADDIN EN.CITE &lt;EndNote&gt;&lt;Cite&gt;&lt;Author&gt;Kragh-Hansen&lt;/Author&gt;&lt;RecNum&gt;216&lt;/RecNum&gt;&lt;DisplayText&gt;&lt;style face="superscript"&gt;300&lt;/style&gt;&lt;/DisplayText&gt;&lt;record&gt;&lt;rec-number&gt;216&lt;/rec-number&gt;&lt;foreign-keys&gt;&lt;key app="EN" db-id="5trrespwzsdr07efd5tx2w96x22re9s0fsdt"&gt;216&lt;/key&gt;&lt;/foreign-keys&gt;&lt;ref-type name="Journal Article"&gt;17&lt;/ref-type&gt;&lt;contributors&gt;&lt;authors&gt;&lt;author&gt;Kragh-Hansen, U.&lt;/author&gt;&lt;author&gt;Minchiotti, L.&lt;/author&gt;&lt;author&gt;Galliano, M.&lt;/author&gt;&lt;author&gt;Peters, T., Jr.&lt;/author&gt;&lt;/authors&gt;&lt;/contributors&gt;&lt;auth-address&gt;Department of Biomedicine, University of Aarhus, DK-8000 Aarhus C, Denmark. Electronic address: ukh@biokemi.au.dk.&lt;/auth-address&gt;&lt;titles&gt;&lt;title&gt;Human serum albumin isoforms: genetic and molecular aspects and functional consequences&lt;/title&gt;&lt;secondary-title&gt;Biochimica et Biophysica Acta (BBA) - General Subjects&lt;/secondary-title&gt;&lt;alt-title&gt;Biochimica et biophysica acta&lt;/alt-title&gt;&lt;/titles&gt;&lt;periodical&gt;&lt;full-title&gt;Biochimica et Biophysica Acta (BBA) - General Subjects&lt;/full-title&gt;&lt;/periodical&gt;&lt;alt-periodical&gt;&lt;full-title&gt;Biochim Biophys Acta&lt;/full-title&gt;&lt;abbr-1&gt;Biochimica et biophysica acta&lt;/abbr-1&gt;&lt;/alt-periodical&gt;&lt;pages&gt;5405-17&lt;/pages&gt;&lt;volume&gt;1830&lt;/volume&gt;&lt;number&gt;12&lt;/number&gt;&lt;edition&gt;2013/04/06&lt;/edition&gt;&lt;keywords&gt;&lt;keyword&gt;Humans&lt;/keyword&gt;&lt;keyword&gt;Models, Molecular&lt;/keyword&gt;&lt;keyword&gt;Protein Conformation&lt;/keyword&gt;&lt;keyword&gt;Protein Isoforms/chemistry/genetics/*physiology&lt;/keyword&gt;&lt;keyword&gt;Serum Albumin/chemistry/genetics/*physiology&lt;/keyword&gt;&lt;/keywords&gt;&lt;dates&gt;&lt;year&gt;2013&lt;/year&gt;&lt;pub-dates&gt;&lt;date&gt;Dec&lt;/date&gt;&lt;/pub-dates&gt;&lt;/dates&gt;&lt;isbn&gt;0006-3002 (Print)&amp;#xD;0006-3002 (Linking)&lt;/isbn&gt;&lt;accession-num&gt;23558059&lt;/accession-num&gt;&lt;work-type&gt;Review&lt;/work-type&gt;&lt;urls&gt;&lt;related-urls&gt;&lt;url&gt;http://www.ncbi.nlm.nih.gov/pubmed/23558059&lt;/url&gt;&lt;/related-urls&gt;&lt;/urls&gt;&lt;electronic-resource-num&gt;10.1016/j.bbagen.2013.03.026&lt;/electronic-resource-num&gt;&lt;language&gt;eng&lt;/language&gt;&lt;/record&gt;&lt;/Cite&gt;&lt;/EndNote&gt;</w:instrText>
        </w:r>
        <w:r w:rsidR="00512D09">
          <w:fldChar w:fldCharType="separate"/>
        </w:r>
        <w:r w:rsidR="00512D09" w:rsidRPr="0057696F">
          <w:rPr>
            <w:noProof/>
            <w:vertAlign w:val="superscript"/>
          </w:rPr>
          <w:t>300</w:t>
        </w:r>
        <w:r w:rsidR="00512D09">
          <w:fldChar w:fldCharType="end"/>
        </w:r>
      </w:hyperlink>
      <w:r>
        <w:t xml:space="preserve"> </w:t>
      </w:r>
      <w:r w:rsidRPr="00C11EB4">
        <w:t xml:space="preserve">HSA has a negative net charge of -19 at physiological pH due to the high number of acidic amino acids </w:t>
      </w:r>
      <w:r>
        <w:t>in comparison to basic residues.</w:t>
      </w:r>
      <w:hyperlink w:anchor="_ENREF_300" w:tooltip="Kragh-Hansen, 2013 #216" w:history="1">
        <w:r w:rsidR="00512D09">
          <w:fldChar w:fldCharType="begin"/>
        </w:r>
        <w:r w:rsidR="00512D09">
          <w:instrText xml:space="preserve"> ADDIN EN.CITE &lt;EndNote&gt;&lt;Cite&gt;&lt;Author&gt;Kragh-Hansen&lt;/Author&gt;&lt;RecNum&gt;216&lt;/RecNum&gt;&lt;DisplayText&gt;&lt;style face="superscript"&gt;300&lt;/style&gt;&lt;/DisplayText&gt;&lt;record&gt;&lt;rec-number&gt;216&lt;/rec-number&gt;&lt;foreign-keys&gt;&lt;key app="EN" db-id="5trrespwzsdr07efd5tx2w96x22re9s0fsdt"&gt;216&lt;/key&gt;&lt;/foreign-keys&gt;&lt;ref-type name="Journal Article"&gt;17&lt;/ref-type&gt;&lt;contributors&gt;&lt;authors&gt;&lt;author&gt;Kragh-Hansen, U.&lt;/author&gt;&lt;author&gt;Minchiotti, L.&lt;/author&gt;&lt;author&gt;Galliano, M.&lt;/author&gt;&lt;author&gt;Peters, T., Jr.&lt;/author&gt;&lt;/authors&gt;&lt;/contributors&gt;&lt;auth-address&gt;Department of Biomedicine, University of Aarhus, DK-8000 Aarhus C, Denmark. Electronic address: ukh@biokemi.au.dk.&lt;/auth-address&gt;&lt;titles&gt;&lt;title&gt;Human serum albumin isoforms: genetic and molecular aspects and functional consequences&lt;/title&gt;&lt;secondary-title&gt;Biochimica et Biophysica Acta (BBA) - General Subjects&lt;/secondary-title&gt;&lt;alt-title&gt;Biochimica et biophysica acta&lt;/alt-title&gt;&lt;/titles&gt;&lt;periodical&gt;&lt;full-title&gt;Biochimica et Biophysica Acta (BBA) - General Subjects&lt;/full-title&gt;&lt;/periodical&gt;&lt;alt-periodical&gt;&lt;full-title&gt;Biochim Biophys Acta&lt;/full-title&gt;&lt;abbr-1&gt;Biochimica et biophysica acta&lt;/abbr-1&gt;&lt;/alt-periodical&gt;&lt;pages&gt;5405-17&lt;/pages&gt;&lt;volume&gt;1830&lt;/volume&gt;&lt;number&gt;12&lt;/number&gt;&lt;edition&gt;2013/04/06&lt;/edition&gt;&lt;keywords&gt;&lt;keyword&gt;Humans&lt;/keyword&gt;&lt;keyword&gt;Models, Molecular&lt;/keyword&gt;&lt;keyword&gt;Protein Conformation&lt;/keyword&gt;&lt;keyword&gt;Protein Isoforms/chemistry/genetics/*physiology&lt;/keyword&gt;&lt;keyword&gt;Serum Albumin/chemistry/genetics/*physiology&lt;/keyword&gt;&lt;/keywords&gt;&lt;dates&gt;&lt;year&gt;2013&lt;/year&gt;&lt;pub-dates&gt;&lt;date&gt;Dec&lt;/date&gt;&lt;/pub-dates&gt;&lt;/dates&gt;&lt;isbn&gt;0006-3002 (Print)&amp;#xD;0006-3002 (Linking)&lt;/isbn&gt;&lt;accession-num&gt;23558059&lt;/accession-num&gt;&lt;work-type&gt;Review&lt;/work-type&gt;&lt;urls&gt;&lt;related-urls&gt;&lt;url&gt;http://www.ncbi.nlm.nih.gov/pubmed/23558059&lt;/url&gt;&lt;/related-urls&gt;&lt;/urls&gt;&lt;electronic-resource-num&gt;10.1016/j.bbagen.2013.03.026&lt;/electronic-resource-num&gt;&lt;language&gt;eng&lt;/language&gt;&lt;/record&gt;&lt;/Cite&gt;&lt;/EndNote&gt;</w:instrText>
        </w:r>
        <w:r w:rsidR="00512D09">
          <w:fldChar w:fldCharType="separate"/>
        </w:r>
        <w:r w:rsidR="00512D09" w:rsidRPr="0057696F">
          <w:rPr>
            <w:noProof/>
            <w:vertAlign w:val="superscript"/>
          </w:rPr>
          <w:t>300</w:t>
        </w:r>
        <w:r w:rsidR="00512D09">
          <w:fldChar w:fldCharType="end"/>
        </w:r>
      </w:hyperlink>
      <w:r>
        <w:t xml:space="preserve"> </w:t>
      </w:r>
    </w:p>
    <w:p w:rsidR="003703F0" w:rsidRPr="00C11EB4" w:rsidRDefault="003703F0" w:rsidP="003703F0">
      <w:pPr>
        <w:spacing w:line="480" w:lineRule="auto"/>
        <w:jc w:val="both"/>
      </w:pPr>
      <w:r w:rsidRPr="00C11EB4">
        <w:t>The transport role of HSA has been thoroughly researched. The protein binds a number of organic compounds, proteins and inorganic ions ei</w:t>
      </w:r>
      <w:r>
        <w:t>ther reversibly or irreversibly.</w:t>
      </w:r>
      <w:hyperlink w:anchor="_ENREF_301" w:tooltip="Simard, 2006 #129" w:history="1">
        <w:r w:rsidR="00512D09">
          <w:fldChar w:fldCharType="begin">
            <w:fldData xml:space="preserve">PEVuZE5vdGU+PENpdGU+PEF1dGhvcj5TaW1hcmQ8L0F1dGhvcj48WWVhcj4yMDA2PC9ZZWFyPjxS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</w:fldData>
          </w:fldChar>
        </w:r>
        <w:r w:rsidR="00512D09">
          <w:instrText xml:space="preserve"> ADDIN EN.CITE </w:instrText>
        </w:r>
        <w:r w:rsidR="00512D09">
          <w:fldChar w:fldCharType="begin">
            <w:fldData xml:space="preserve">PEVuZE5vdGU+PENpdGU+PEF1dGhvcj5TaW1hcmQ8L0F1dGhvcj48WWVhcj4yMDA2PC9ZZWFyPjxS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</w:fldData>
          </w:fldChar>
        </w:r>
        <w:r w:rsidR="00512D09">
          <w:instrText xml:space="preserve"> ADDIN EN.CITE.DATA </w:instrText>
        </w:r>
        <w:r w:rsidR="00512D09">
          <w:fldChar w:fldCharType="end"/>
        </w:r>
        <w:r w:rsidR="00512D09">
          <w:fldChar w:fldCharType="separate"/>
        </w:r>
        <w:r w:rsidR="00512D09" w:rsidRPr="0057696F">
          <w:rPr>
            <w:noProof/>
            <w:vertAlign w:val="superscript"/>
          </w:rPr>
          <w:t>301</w:t>
        </w:r>
        <w:r w:rsidR="00512D09">
          <w:fldChar w:fldCharType="end"/>
        </w:r>
      </w:hyperlink>
      <w:r>
        <w:t xml:space="preserve"> </w:t>
      </w:r>
      <w:r w:rsidRPr="00C11EB4">
        <w:t>This feature has an acute effect on the pharmacokinetics and pharmacodynamics of a drug and so this protein has been of interest to the pharmaceutical industry. HSA lowers the rate of clearance, increases the plasma half-life of the drug and modifies the volume and pattern of distribu</w:t>
      </w:r>
      <w:r>
        <w:t>tion.</w:t>
      </w:r>
      <w:hyperlink w:anchor="_ENREF_301" w:tooltip="Simard, 2006 #129" w:history="1">
        <w:r w:rsidR="00512D09">
          <w:fldChar w:fldCharType="begin">
            <w:fldData xml:space="preserve">PEVuZE5vdGU+PENpdGU+PEF1dGhvcj5TaW1hcmQ8L0F1dGhvcj48WWVhcj4yMDA2PC9ZZWFyPjxS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</w:fldData>
          </w:fldChar>
        </w:r>
        <w:r w:rsidR="00512D09">
          <w:instrText xml:space="preserve"> ADDIN EN.CITE </w:instrText>
        </w:r>
        <w:r w:rsidR="00512D09">
          <w:fldChar w:fldCharType="begin">
            <w:fldData xml:space="preserve">PEVuZE5vdGU+PENpdGU+PEF1dGhvcj5TaW1hcmQ8L0F1dGhvcj48WWVhcj4yMDA2PC9ZZWFyPjxS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</w:fldData>
          </w:fldChar>
        </w:r>
        <w:r w:rsidR="00512D09">
          <w:instrText xml:space="preserve"> ADDIN EN.CITE.DATA </w:instrText>
        </w:r>
        <w:r w:rsidR="00512D09">
          <w:fldChar w:fldCharType="end"/>
        </w:r>
        <w:r w:rsidR="00512D09">
          <w:fldChar w:fldCharType="separate"/>
        </w:r>
        <w:r w:rsidR="00512D09" w:rsidRPr="0057696F">
          <w:rPr>
            <w:noProof/>
            <w:vertAlign w:val="superscript"/>
          </w:rPr>
          <w:t>301</w:t>
        </w:r>
        <w:r w:rsidR="00512D09">
          <w:fldChar w:fldCharType="end"/>
        </w:r>
      </w:hyperlink>
    </w:p>
    <w:p w:rsidR="003703F0" w:rsidRDefault="003703F0" w:rsidP="003703F0">
      <w:pPr>
        <w:spacing w:line="480" w:lineRule="auto"/>
        <w:jc w:val="both"/>
      </w:pPr>
      <w:r>
        <w:t xml:space="preserve">Sequence identity is the exact match between amino acids. Typically, a match of 25% or higher indicates similarity in function. </w:t>
      </w:r>
      <w:r w:rsidRPr="00C11EB4">
        <w:t xml:space="preserve">Bovine </w:t>
      </w:r>
      <w:r w:rsidR="00DF5E54" w:rsidRPr="00C11EB4">
        <w:t>serum albumin</w:t>
      </w:r>
      <w:r w:rsidR="00DF5E54">
        <w:t xml:space="preserve"> </w:t>
      </w:r>
      <w:r>
        <w:t>(BSA)</w:t>
      </w:r>
      <w:r w:rsidRPr="00C11EB4">
        <w:t xml:space="preserve"> share</w:t>
      </w:r>
      <w:r>
        <w:t xml:space="preserve">s 76% sequence identity with HSA which is visualised in </w:t>
      </w:r>
      <w:r w:rsidR="0075172E">
        <w:fldChar w:fldCharType="begin"/>
      </w:r>
      <w:r w:rsidR="001E196D">
        <w:instrText xml:space="preserve"> REF _Ref443076789 \h </w:instrText>
      </w:r>
      <w:r w:rsidR="0075172E">
        <w:fldChar w:fldCharType="separate"/>
      </w:r>
      <w:r w:rsidR="00CB4EDC">
        <w:t xml:space="preserve">Figure  </w:t>
      </w:r>
      <w:r w:rsidR="00CB4EDC">
        <w:rPr>
          <w:noProof/>
        </w:rPr>
        <w:t>6</w:t>
      </w:r>
      <w:r w:rsidR="00CB4EDC">
        <w:t>.</w:t>
      </w:r>
      <w:r w:rsidR="00CB4EDC">
        <w:rPr>
          <w:noProof/>
        </w:rPr>
        <w:t>1</w:t>
      </w:r>
      <w:r w:rsidR="0075172E">
        <w:fldChar w:fldCharType="end"/>
      </w:r>
      <w:r w:rsidR="001E196D">
        <w:t xml:space="preserve"> </w:t>
      </w:r>
      <w:r>
        <w:t xml:space="preserve">as dark blue amino acids. The remaining 23% amino acids are coloured from light blue to orange. Light blue and green represent those amino acids that are less stable but can still be accommodated within the structure.  Orange and yellow amino acids are those that are not stable within the structure and are unfavourably positioned. </w:t>
      </w:r>
      <w:hyperlink w:anchor="_ENREF_302" w:tooltip="Sippl, 1990 #694" w:history="1">
        <w:r w:rsidR="00512D09">
          <w:fldChar w:fldCharType="begin"/>
        </w:r>
        <w:r w:rsidR="00512D09">
          <w:instrText xml:space="preserve"> ADDIN EN.CITE &lt;EndNote&gt;&lt;Cite&gt;&lt;Author&gt;Sippl&lt;/Author&gt;&lt;Year&gt;1990&lt;/Year&gt;&lt;RecNum&gt;694&lt;/RecNum&gt;&lt;DisplayText&gt;&lt;style face="superscript"&gt;302&lt;/style&gt;&lt;/DisplayText&gt;&lt;record&gt;&lt;rec-number&gt;694&lt;/rec-number&gt;&lt;foreign-keys&gt;&lt;key app="EN" db-id="5trrespwzsdr07efd5tx2w96x22re9s0fsdt"&gt;694&lt;/key&gt;&lt;/foreign-keys&gt;&lt;ref-type name="Journal Article"&gt;17&lt;/ref-type&gt;&lt;contributors&gt;&lt;authors&gt;&lt;author&gt;Sippl, Manfred J&lt;/author&gt;&lt;/authors&gt;&lt;/contributors&gt;&lt;titles&gt;&lt;title&gt;Calculation of conformational ensembles from potentials of mena force: an approach to the knowledge-based prediction of local structures in globular proteins&lt;/title&gt;&lt;secondary-title&gt;Journal of Molecular Biology&lt;/secondary-title&gt;&lt;/titles&gt;&lt;periodical&gt;&lt;full-title&gt;Journal of Molecular Biology&lt;/full-title&gt;&lt;/periodical&gt;&lt;pages&gt;859-883&lt;/pages&gt;&lt;volume&gt;213&lt;/volume&gt;&lt;number&gt;4&lt;/number&gt;&lt;dates&gt;&lt;year&gt;1990&lt;/year&gt;&lt;/dates&gt;&lt;isbn&gt;0022-2836&lt;/isbn&gt;&lt;urls&gt;&lt;/urls&gt;&lt;/record&gt;&lt;/Cite&gt;&lt;/EndNote&gt;</w:instrText>
        </w:r>
        <w:r w:rsidR="00512D09">
          <w:fldChar w:fldCharType="separate"/>
        </w:r>
        <w:r w:rsidR="00512D09" w:rsidRPr="0057696F">
          <w:rPr>
            <w:noProof/>
            <w:vertAlign w:val="superscript"/>
          </w:rPr>
          <w:t>302</w:t>
        </w:r>
        <w:r w:rsidR="00512D09">
          <w:fldChar w:fldCharType="end"/>
        </w:r>
      </w:hyperlink>
    </w:p>
    <w:p w:rsidR="003703F0" w:rsidRDefault="003703F0" w:rsidP="003703F0">
      <w:pPr>
        <w:spacing w:line="480" w:lineRule="auto"/>
        <w:jc w:val="both"/>
      </w:pPr>
      <w:r>
        <w:lastRenderedPageBreak/>
        <w:t>BSA</w:t>
      </w:r>
      <w:r w:rsidRPr="00C11EB4">
        <w:t xml:space="preserve"> performs the same function as HSA in cows, carrying a range of endogenous and exogenous ligands. The similar structure and function mean that BSA is often used to study ligand-albumin interactions most probably because it is cheaper to obtain than HSA. </w:t>
      </w:r>
    </w:p>
    <w:p w:rsidR="003703F0" w:rsidRDefault="003703F0" w:rsidP="003703F0">
      <w:pPr>
        <w:keepNext/>
        <w:spacing w:line="480" w:lineRule="auto"/>
      </w:pPr>
      <w:r>
        <w:rPr>
          <w:noProof/>
          <w:lang w:eastAsia="en-GB"/>
        </w:rPr>
        <w:drawing>
          <wp:inline distT="0" distB="0" distL="0" distR="0" wp14:anchorId="45317A4F" wp14:editId="162E05FD">
            <wp:extent cx="5148580" cy="2413000"/>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t="15929"/>
                    <a:stretch>
                      <a:fillRect/>
                    </a:stretch>
                  </pic:blipFill>
                  <pic:spPr bwMode="auto">
                    <a:xfrm>
                      <a:off x="0" y="0"/>
                      <a:ext cx="5148580" cy="2413000"/>
                    </a:xfrm>
                    <a:prstGeom prst="rect">
                      <a:avLst/>
                    </a:prstGeom>
                    <a:noFill/>
                    <a:ln w="9525">
                      <a:noFill/>
                      <a:miter lim="800000"/>
                      <a:headEnd/>
                      <a:tailEnd/>
                    </a:ln>
                  </pic:spPr>
                </pic:pic>
              </a:graphicData>
            </a:graphic>
          </wp:inline>
        </w:drawing>
      </w:r>
    </w:p>
    <w:p w:rsidR="003703F0" w:rsidRPr="00C11EB4" w:rsidRDefault="003703F0" w:rsidP="00041E91">
      <w:pPr>
        <w:pStyle w:val="Caption"/>
        <w:spacing w:line="480" w:lineRule="auto"/>
        <w:jc w:val="center"/>
      </w:pPr>
      <w:bookmarkStart w:id="213" w:name="_Ref443076789"/>
      <w:r>
        <w:t>Figure</w:t>
      </w:r>
      <w:r w:rsidR="00AF3E73">
        <w:t xml:space="preserve">  </w:t>
      </w:r>
      <w:r w:rsidR="0075172E">
        <w:fldChar w:fldCharType="begin"/>
      </w:r>
      <w:r w:rsidR="008628F5">
        <w:instrText xml:space="preserve"> STYLEREF 1 \s </w:instrText>
      </w:r>
      <w:r w:rsidR="0075172E">
        <w:fldChar w:fldCharType="separate"/>
      </w:r>
      <w:r w:rsidR="00CB4EDC">
        <w:rPr>
          <w:noProof/>
        </w:rPr>
        <w:t>6</w:t>
      </w:r>
      <w:r w:rsidR="0075172E">
        <w:fldChar w:fldCharType="end"/>
      </w:r>
      <w:r w:rsidR="00EB1DC7">
        <w:t>.</w:t>
      </w:r>
      <w:r w:rsidR="0075172E">
        <w:fldChar w:fldCharType="begin"/>
      </w:r>
      <w:r w:rsidR="00AC2227">
        <w:instrText xml:space="preserve"> SEQ Figure \* ARABIC \s 1 </w:instrText>
      </w:r>
      <w:r w:rsidR="0075172E">
        <w:fldChar w:fldCharType="separate"/>
      </w:r>
      <w:r w:rsidR="00CB4EDC">
        <w:rPr>
          <w:noProof/>
        </w:rPr>
        <w:t>1</w:t>
      </w:r>
      <w:r w:rsidR="0075172E">
        <w:rPr>
          <w:noProof/>
        </w:rPr>
        <w:fldChar w:fldCharType="end"/>
      </w:r>
      <w:bookmarkEnd w:id="213"/>
      <w:r>
        <w:t>: Crystal structure of HSA showing the level of sequen</w:t>
      </w:r>
      <w:r w:rsidR="00957825">
        <w:t>ce identity between HSA and BSA using the structures provided by</w:t>
      </w:r>
      <w:r w:rsidR="00BF2504">
        <w:t xml:space="preserve"> Wang </w:t>
      </w:r>
      <w:r w:rsidR="00BF2504" w:rsidRPr="002D4FF8">
        <w:rPr>
          <w:i/>
        </w:rPr>
        <w:t>et al</w:t>
      </w:r>
      <w:r w:rsidR="000975B7">
        <w:t>.</w:t>
      </w:r>
      <w:r w:rsidR="00BF2504">
        <w:t xml:space="preserve"> </w:t>
      </w:r>
      <w:hyperlink w:anchor="_ENREF_303" w:tooltip="Wang, 2013 #217" w:history="1">
        <w:r w:rsidR="00512D09">
          <w:fldChar w:fldCharType="begin"/>
        </w:r>
        <w:r w:rsidR="00512D09">
          <w:instrText xml:space="preserve"> ADDIN EN.CITE &lt;EndNote&gt;&lt;Cite&gt;&lt;Author&gt;Wang&lt;/Author&gt;&lt;Year&gt;2013&lt;/Year&gt;&lt;RecNum&gt;217&lt;/RecNum&gt;&lt;DisplayText&gt;&lt;style face="superscript"&gt;303&lt;/style&gt;&lt;/DisplayText&gt;&lt;record&gt;&lt;rec-number&gt;217&lt;/rec-number&gt;&lt;foreign-keys&gt;&lt;key app="EN" db-id="5trrespwzsdr07efd5tx2w96x22re9s0fsdt"&gt;217&lt;/key&gt;&lt;/foreign-keys&gt;&lt;ref-type name="Journal Article"&gt;17&lt;/ref-type&gt;&lt;contributors&gt;&lt;authors&gt;&lt;author&gt;Wang, Yu&lt;/author&gt;&lt;author&gt;Yu, Haiyang&lt;/author&gt;&lt;author&gt;Shi, Xiaoli&lt;/author&gt;&lt;author&gt;Luo, Zhipu&lt;/author&gt;&lt;author&gt;Lin, Donghai&lt;/author&gt;&lt;author&gt;Huang, Mingdong&lt;/author&gt;&lt;/authors&gt;&lt;/contributors&gt;&lt;titles&gt;&lt;title&gt;Structural Mechanism of Ring-opening Reaction of Glucose by Human Serum Albumin&lt;/title&gt;&lt;secondary-title&gt;Journal of Biological Chemistry&lt;/secondary-title&gt;&lt;/titles&gt;&lt;periodical&gt;&lt;full-title&gt;Journal of Biological Chemistry&lt;/full-title&gt;&lt;/periodical&gt;&lt;pages&gt;15980-15987&lt;/pages&gt;&lt;volume&gt;288&lt;/volume&gt;&lt;number&gt;22&lt;/number&gt;&lt;dates&gt;&lt;year&gt;2013&lt;/year&gt;&lt;pub-dates&gt;&lt;date&gt;May 31, 2013&lt;/date&gt;&lt;/pub-dates&gt;&lt;/dates&gt;&lt;urls&gt;&lt;related-urls&gt;&lt;url&gt;http://www.jbc.org/content/288/22/15980.abstract&lt;/url&gt;&lt;/related-urls&gt;&lt;/urls&gt;&lt;electronic-resource-num&gt;10.1074/jbc.M113.467027&lt;/electronic-resource-num&gt;&lt;/record&gt;&lt;/Cite&gt;&lt;/EndNote&gt;</w:instrText>
        </w:r>
        <w:r w:rsidR="00512D09">
          <w:fldChar w:fldCharType="separate"/>
        </w:r>
        <w:r w:rsidR="00512D09" w:rsidRPr="0057696F">
          <w:rPr>
            <w:noProof/>
            <w:vertAlign w:val="superscript"/>
          </w:rPr>
          <w:t>303</w:t>
        </w:r>
        <w:r w:rsidR="00512D09">
          <w:fldChar w:fldCharType="end"/>
        </w:r>
      </w:hyperlink>
      <w:r w:rsidR="00BF2504">
        <w:t xml:space="preserve"> and Bujacz. </w:t>
      </w:r>
      <w:hyperlink w:anchor="_ENREF_183" w:tooltip="Bujacz, 2012 #494" w:history="1">
        <w:r w:rsidR="00512D09">
          <w:fldChar w:fldCharType="begin"/>
        </w:r>
        <w:r w:rsidR="00512D09">
          <w:instrText xml:space="preserve"> ADDIN EN.CITE &lt;EndNote&gt;&lt;Cite&gt;&lt;Author&gt;Bujacz&lt;/Author&gt;&lt;Year&gt;2012&lt;/Year&gt;&lt;RecNum&gt;494&lt;/RecNum&gt;&lt;DisplayText&gt;&lt;style face="superscript"&gt;183&lt;/style&gt;&lt;/DisplayText&gt;&lt;record&gt;&lt;rec-number&gt;494&lt;/rec-number&gt;&lt;foreign-keys&gt;&lt;key app="EN" db-id="5trrespwzsdr07efd5tx2w96x22re9s0fsdt"&gt;494&lt;/key&gt;&lt;/foreign-keys&gt;&lt;ref-type name="Journal Article"&gt;17&lt;/ref-type&gt;&lt;contributors&gt;&lt;authors&gt;&lt;author&gt;Bujacz, Anna&lt;/author&gt;&lt;/authors&gt;&lt;/contributors&gt;&lt;titles&gt;&lt;title&gt;Structures of bovine, equine and leporine serum albumin&lt;/title&gt;&lt;secondary-title&gt;Acta Crystallographica Section D: Biological Crystallography&lt;/secondary-title&gt;&lt;/titles&gt;&lt;periodical&gt;&lt;full-title&gt;Acta Crystallographica Section D: Biological Crystallography&lt;/full-title&gt;&lt;/periodical&gt;&lt;pages&gt;1278-1289&lt;/pages&gt;&lt;volume&gt;68&lt;/volume&gt;&lt;number&gt;10&lt;/number&gt;&lt;dates&gt;&lt;year&gt;2012&lt;/year&gt;&lt;/dates&gt;&lt;isbn&gt;0907-4449&lt;/isbn&gt;&lt;urls&gt;&lt;/urls&gt;&lt;/record&gt;&lt;/Cite&gt;&lt;/EndNote&gt;</w:instrText>
        </w:r>
        <w:r w:rsidR="00512D09">
          <w:fldChar w:fldCharType="separate"/>
        </w:r>
        <w:r w:rsidR="00512D09" w:rsidRPr="006421D1">
          <w:rPr>
            <w:noProof/>
            <w:vertAlign w:val="superscript"/>
          </w:rPr>
          <w:t>183</w:t>
        </w:r>
        <w:r w:rsidR="00512D09">
          <w:fldChar w:fldCharType="end"/>
        </w:r>
      </w:hyperlink>
      <w:r w:rsidR="00957825">
        <w:t xml:space="preserve"> </w:t>
      </w:r>
    </w:p>
    <w:p w:rsidR="003703F0" w:rsidRPr="00F20A26" w:rsidRDefault="003703F0" w:rsidP="00626B72">
      <w:pPr>
        <w:pStyle w:val="Heading3"/>
        <w:numPr>
          <w:ilvl w:val="2"/>
          <w:numId w:val="10"/>
        </w:numPr>
        <w:spacing w:line="480" w:lineRule="auto"/>
      </w:pPr>
      <w:bookmarkStart w:id="214" w:name="_Toc459130733"/>
      <w:r w:rsidRPr="00F20A26">
        <w:t>Str</w:t>
      </w:r>
      <w:r w:rsidR="0076524B">
        <w:t>ucture of H</w:t>
      </w:r>
      <w:r w:rsidR="009D3D48">
        <w:t xml:space="preserve">uman </w:t>
      </w:r>
      <w:r w:rsidR="0076524B">
        <w:t>S</w:t>
      </w:r>
      <w:r w:rsidR="009D3D48">
        <w:t xml:space="preserve">erum </w:t>
      </w:r>
      <w:r w:rsidR="0076524B">
        <w:t>A</w:t>
      </w:r>
      <w:r w:rsidR="009D3D48">
        <w:t>lbumin</w:t>
      </w:r>
      <w:r w:rsidR="0076524B">
        <w:t xml:space="preserve"> and Drug Binding I</w:t>
      </w:r>
      <w:r w:rsidRPr="00F20A26">
        <w:t>nteractions</w:t>
      </w:r>
      <w:bookmarkEnd w:id="214"/>
      <w:r w:rsidRPr="00F20A26">
        <w:t xml:space="preserve"> </w:t>
      </w:r>
    </w:p>
    <w:p w:rsidR="003703F0" w:rsidRPr="00C11EB4" w:rsidRDefault="003703F0" w:rsidP="003703F0">
      <w:pPr>
        <w:spacing w:line="480" w:lineRule="auto"/>
        <w:jc w:val="both"/>
      </w:pPr>
      <w:r w:rsidRPr="00C11EB4">
        <w:t>The structure of both HSA and BSA is heart shaped with three homologous domains. Both proteins have a high-helical structure of about 67%, but contain no β-sheet secondary structure</w:t>
      </w:r>
      <w:r>
        <w:t>.</w:t>
      </w:r>
      <w:r w:rsidR="0075172E">
        <w:fldChar w:fldCharType="begin">
          <w:fldData xml:space="preserve">PEVuZE5vdGU+PENpdGU+PEF1dGhvcj5LcmFnaC1IYW5zZW48L0F1dGhvcj48UmVjTnVtPjE1NDwv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=
</w:fldData>
        </w:fldChar>
      </w:r>
      <w:r w:rsidR="006421D1">
        <w:instrText xml:space="preserve"> ADDIN EN.CITE </w:instrText>
      </w:r>
      <w:r w:rsidR="0075172E">
        <w:fldChar w:fldCharType="begin">
          <w:fldData xml:space="preserve">PEVuZE5vdGU+PENpdGU+PEF1dGhvcj5LcmFnaC1IYW5zZW48L0F1dGhvcj48UmVjTnVtPjE1NDwv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=
</w:fldData>
        </w:fldChar>
      </w:r>
      <w:r w:rsidR="006421D1">
        <w:instrText xml:space="preserve"> ADDIN EN.CITE.DATA </w:instrText>
      </w:r>
      <w:r w:rsidR="0075172E">
        <w:fldChar w:fldCharType="end"/>
      </w:r>
      <w:r w:rsidR="0075172E">
        <w:fldChar w:fldCharType="separate"/>
      </w:r>
      <w:hyperlink w:anchor="_ENREF_227" w:tooltip="Takeda, 1989 #322" w:history="1">
        <w:r w:rsidR="00512D09" w:rsidRPr="006421D1">
          <w:rPr>
            <w:noProof/>
            <w:vertAlign w:val="superscript"/>
          </w:rPr>
          <w:t>227</w:t>
        </w:r>
      </w:hyperlink>
      <w:r w:rsidR="006421D1" w:rsidRPr="006421D1">
        <w:rPr>
          <w:noProof/>
          <w:vertAlign w:val="superscript"/>
        </w:rPr>
        <w:t>,</w:t>
      </w:r>
      <w:hyperlink w:anchor="_ENREF_304" w:tooltip="Kragh-Hansen, 2013 #154" w:history="1">
        <w:r w:rsidR="00512D09" w:rsidRPr="006421D1">
          <w:rPr>
            <w:noProof/>
            <w:vertAlign w:val="superscript"/>
          </w:rPr>
          <w:t>304</w:t>
        </w:r>
      </w:hyperlink>
      <w:r w:rsidR="0075172E">
        <w:fldChar w:fldCharType="end"/>
      </w:r>
      <w:r>
        <w:t xml:space="preserve"> </w:t>
      </w:r>
      <w:r w:rsidRPr="00C11EB4">
        <w:t>A number of crystal structures have been produced of HSA with and without ligands. Despite the high level of sequence identity, crystallising BSA has proved a much more difficult task</w:t>
      </w:r>
      <w:r>
        <w:t xml:space="preserve">, with only two crystal structures produced to date. </w:t>
      </w:r>
    </w:p>
    <w:p w:rsidR="003703F0" w:rsidRPr="00C11EB4" w:rsidRDefault="003703F0" w:rsidP="003703F0">
      <w:pPr>
        <w:spacing w:line="480" w:lineRule="auto"/>
        <w:jc w:val="both"/>
        <w:rPr>
          <w:color w:val="000000" w:themeColor="text1"/>
        </w:rPr>
      </w:pPr>
      <w:r w:rsidRPr="00C11EB4">
        <w:t xml:space="preserve">There is a widely accepted notation among those whom investigate drug-HSA interactions that </w:t>
      </w:r>
      <w:r w:rsidRPr="00C11EB4">
        <w:rPr>
          <w:color w:val="000000" w:themeColor="text1"/>
        </w:rPr>
        <w:t>there are two main ligand binding sites, named Sudlow site I (warfarin binding site) and Sudlow site II (indo</w:t>
      </w:r>
      <w:r>
        <w:rPr>
          <w:color w:val="000000" w:themeColor="text1"/>
        </w:rPr>
        <w:t>le-benzodiazepine binding site).</w:t>
      </w:r>
      <w:hyperlink w:anchor="_ENREF_305" w:tooltip="Zhu, 2008 #156" w:history="1">
        <w:r w:rsidR="00512D09">
          <w:rPr>
            <w:color w:val="000000" w:themeColor="text1"/>
          </w:rPr>
          <w:fldChar w:fldCharType="begin"/>
        </w:r>
        <w:r w:rsidR="00512D09">
          <w:rPr>
            <w:color w:val="000000" w:themeColor="text1"/>
          </w:rPr>
          <w:instrText xml:space="preserve"> ADDIN EN.CITE &lt;EndNote&gt;&lt;Cite&gt;&lt;Author&gt;Zhu&lt;/Author&gt;&lt;Year&gt;2008&lt;/Year&gt;&lt;RecNum&gt;156&lt;/RecNum&gt;&lt;DisplayText&gt;&lt;style face="superscript"&gt;305&lt;/style&gt;&lt;/DisplayText&gt;&lt;record&gt;&lt;rec-number&gt;156&lt;/rec-number&gt;&lt;foreign-keys&gt;&lt;key app="EN" db-id="5trrespwzsdr07efd5tx2w96x22re9s0fsdt"&gt;156&lt;/key&gt;&lt;/foreign-keys&gt;&lt;ref-type name="Journal Article"&gt;17&lt;/ref-type&gt;&lt;contributors&gt;&lt;authors&gt;&lt;author&gt;Zhu, Lili&lt;/author&gt;&lt;author&gt;Yang, Feng&lt;/author&gt;&lt;author&gt;Chen, Liqing&lt;/author&gt;&lt;author&gt;Meehan, Edward J.&lt;/author&gt;&lt;author&gt;Huang, Mingdong&lt;/author&gt;&lt;/authors&gt;&lt;/contributors&gt;&lt;titles&gt;&lt;title&gt;A new drug binding subsite on human serum albumin and drug-drug interaction studied by X-ray crystallography&lt;/title&gt;&lt;secondary-title&gt;Journal of Structural Biology&lt;/secondary-title&gt;&lt;/titles&gt;&lt;periodical&gt;&lt;full-title&gt;Journal of Structural Biology&lt;/full-title&gt;&lt;/periodical&gt;&lt;pages&gt;40-49&lt;/pages&gt;&lt;volume&gt;162&lt;/volume&gt;&lt;number&gt;1&lt;/number&gt;&lt;dates&gt;&lt;year&gt;2008&lt;/year&gt;&lt;pub-dates&gt;&lt;date&gt;Apr&lt;/date&gt;&lt;/pub-dates&gt;&lt;/dates&gt;&lt;isbn&gt;1047-8477&lt;/isbn&gt;&lt;accession-num&gt;WOS:000255295600004&lt;/accession-num&gt;&lt;urls&gt;&lt;related-urls&gt;&lt;url&gt;&amp;lt;Go to ISI&amp;gt;://WOS:000255295600004&lt;/url&gt;&lt;/related-urls&gt;&lt;/urls&gt;&lt;electronic-resource-num&gt;10.1016/j.jsb.2007.12.004&lt;/electronic-resource-num&gt;&lt;/record&gt;&lt;/Cite&gt;&lt;/EndNote&gt;</w:instrText>
        </w:r>
        <w:r w:rsidR="00512D09">
          <w:rPr>
            <w:color w:val="000000" w:themeColor="text1"/>
          </w:rPr>
          <w:fldChar w:fldCharType="separate"/>
        </w:r>
        <w:r w:rsidR="00512D09" w:rsidRPr="0057696F">
          <w:rPr>
            <w:noProof/>
            <w:color w:val="000000" w:themeColor="text1"/>
            <w:vertAlign w:val="superscript"/>
          </w:rPr>
          <w:t>305</w:t>
        </w:r>
        <w:r w:rsidR="00512D09">
          <w:rPr>
            <w:color w:val="000000" w:themeColor="text1"/>
          </w:rPr>
          <w:fldChar w:fldCharType="end"/>
        </w:r>
      </w:hyperlink>
    </w:p>
    <w:p w:rsidR="003703F0" w:rsidRPr="00C11EB4" w:rsidRDefault="003703F0" w:rsidP="003703F0">
      <w:pPr>
        <w:spacing w:line="480" w:lineRule="auto"/>
        <w:jc w:val="both"/>
        <w:rPr>
          <w:rFonts w:cs="Arial"/>
          <w:color w:val="000000" w:themeColor="text1"/>
          <w:shd w:val="clear" w:color="auto" w:fill="FFFFFF"/>
        </w:rPr>
      </w:pPr>
      <w:r w:rsidRPr="00C11EB4">
        <w:t>Sudlow site I binds large heterocyclic and ne</w:t>
      </w:r>
      <w:r>
        <w:t xml:space="preserve">gatively charged compounds. </w:t>
      </w:r>
      <w:hyperlink w:anchor="_ENREF_306" w:tooltip="Sudlow, 1976 #157" w:history="1">
        <w:r w:rsidR="00512D09">
          <w:fldChar w:fldCharType="begin"/>
        </w:r>
        <w:r w:rsidR="00512D09">
          <w:instrText xml:space="preserve"> ADDIN EN.CITE &lt;EndNote&gt;&lt;Cite&gt;&lt;Author&gt;Sudlow&lt;/Author&gt;&lt;Year&gt;1976&lt;/Year&gt;&lt;RecNum&gt;157&lt;/RecNum&gt;&lt;DisplayText&gt;&lt;style face="superscript"&gt;306&lt;/style&gt;&lt;/DisplayText&gt;&lt;record&gt;&lt;rec-number&gt;157&lt;/rec-number&gt;&lt;foreign-keys&gt;&lt;key app="EN" db-id="5trrespwzsdr07efd5tx2w96x22re9s0fsdt"&gt;157&lt;/key&gt;&lt;/foreign-keys&gt;&lt;ref-type name="Journal Article"&gt;17&lt;/ref-type&gt;&lt;contributors&gt;&lt;authors&gt;&lt;author&gt;Sudlow, G.&lt;/author&gt;&lt;author&gt;Birkett, D. J.&lt;/author&gt;&lt;author&gt;Wade, D. N.&lt;/author&gt;&lt;/authors&gt;&lt;/contributors&gt;&lt;auth-address&gt;St Vincents Hosp,Dept Clin Pharmacol,Sydney 2010,New S Wales,Australia&lt;/auth-address&gt;&lt;titles&gt;&lt;title&gt;Further Characterization of Specific Drug Binding-Sites on Human-Serum Albumin&lt;/title&gt;&lt;secondary-title&gt;Molecular Pharmacology&lt;/secondary-title&gt;&lt;alt-title&gt;Mol Pharmacol&lt;/alt-title&gt;&lt;/titles&gt;&lt;periodical&gt;&lt;full-title&gt;Molecular Pharmacology&lt;/full-title&gt;&lt;abbr-1&gt;Molecular Pharmacology&lt;/abbr-1&gt;&lt;/periodical&gt;&lt;pages&gt;1052-1061&lt;/pages&gt;&lt;volume&gt;12&lt;/volume&gt;&lt;number&gt;6&lt;/number&gt;&lt;dates&gt;&lt;year&gt;1976&lt;/year&gt;&lt;/dates&gt;&lt;isbn&gt;0026-895X&lt;/isbn&gt;&lt;accession-num&gt;ISI:A1976CN50100018&lt;/accession-num&gt;&lt;work-type&gt;Article&lt;/work-type&gt;&lt;urls&gt;&lt;related-urls&gt;&lt;url&gt;&amp;lt;Go to ISI&amp;gt;://A1976CN50100018&lt;/url&gt;&lt;/related-urls&gt;&lt;/urls&gt;&lt;language&gt;English&lt;/language&gt;&lt;/record&gt;&lt;/Cite&gt;&lt;/EndNote&gt;</w:instrText>
        </w:r>
        <w:r w:rsidR="00512D09">
          <w:fldChar w:fldCharType="separate"/>
        </w:r>
        <w:r w:rsidR="00512D09" w:rsidRPr="0057696F">
          <w:rPr>
            <w:noProof/>
            <w:vertAlign w:val="superscript"/>
          </w:rPr>
          <w:t>306</w:t>
        </w:r>
        <w:r w:rsidR="00512D09">
          <w:fldChar w:fldCharType="end"/>
        </w:r>
      </w:hyperlink>
      <w:r w:rsidRPr="00C11EB4">
        <w:t xml:space="preserve"> Kragh-Hansen </w:t>
      </w:r>
      <w:r w:rsidRPr="00C11EB4">
        <w:rPr>
          <w:i/>
          <w:iCs/>
        </w:rPr>
        <w:t>et al</w:t>
      </w:r>
      <w:r w:rsidR="000975B7">
        <w:rPr>
          <w:i/>
          <w:iCs/>
        </w:rPr>
        <w:t>.</w:t>
      </w:r>
      <w:r w:rsidRPr="00C11EB4">
        <w:rPr>
          <w:i/>
          <w:iCs/>
        </w:rPr>
        <w:t xml:space="preserve"> </w:t>
      </w:r>
      <w:r w:rsidRPr="00C11EB4">
        <w:t>suggested that the binding site is large and flexible, as it can bind to a diverse set of molecules</w:t>
      </w:r>
      <w:r>
        <w:t xml:space="preserve"> in terms of size and structure.</w:t>
      </w:r>
      <w:hyperlink w:anchor="_ENREF_307" w:tooltip="Kragh-Hansen, 2002 #159" w:history="1">
        <w:r w:rsidR="00512D09">
          <w:fldChar w:fldCharType="begin">
            <w:fldData xml:space="preserve">PEVuZE5vdGU+PENpdGU+PEF1dGhvcj5LcmFnaC1IYW5zZW48L0F1dGhvcj48WWVhcj4yMDAyPC9Z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</w:fldData>
          </w:fldChar>
        </w:r>
        <w:r w:rsidR="00512D09">
          <w:instrText xml:space="preserve"> ADDIN EN.CITE </w:instrText>
        </w:r>
        <w:r w:rsidR="00512D09">
          <w:fldChar w:fldCharType="begin">
            <w:fldData xml:space="preserve">PEVuZE5vdGU+PENpdGU+PEF1dGhvcj5LcmFnaC1IYW5zZW48L0F1dGhvcj48WWVhcj4yMDAyPC9Z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</w:fldData>
          </w:fldChar>
        </w:r>
        <w:r w:rsidR="00512D09">
          <w:instrText xml:space="preserve"> ADDIN EN.CITE.DATA </w:instrText>
        </w:r>
        <w:r w:rsidR="00512D09">
          <w:fldChar w:fldCharType="end"/>
        </w:r>
        <w:r w:rsidR="00512D09">
          <w:fldChar w:fldCharType="separate"/>
        </w:r>
        <w:r w:rsidR="00512D09" w:rsidRPr="0057696F">
          <w:rPr>
            <w:noProof/>
            <w:vertAlign w:val="superscript"/>
          </w:rPr>
          <w:t>307</w:t>
        </w:r>
        <w:r w:rsidR="00512D09">
          <w:fldChar w:fldCharType="end"/>
        </w:r>
      </w:hyperlink>
      <w:r>
        <w:t xml:space="preserve"> </w:t>
      </w:r>
      <w:r w:rsidRPr="00C11EB4">
        <w:t xml:space="preserve">Additionally, both enantiomers of warfarin bind </w:t>
      </w:r>
      <w:r w:rsidRPr="00C11EB4">
        <w:lastRenderedPageBreak/>
        <w:t>to Sudlow site I with equal preference, which is also symptomatic of bindi</w:t>
      </w:r>
      <w:r>
        <w:t>ng sites with high flexibility</w:t>
      </w:r>
      <w:r w:rsidRPr="00C11EB4">
        <w:t>.</w:t>
      </w:r>
      <w:r w:rsidR="0075172E">
        <w:fldChar w:fldCharType="begin">
          <w:fldData xml:space="preserve">PEVuZE5vdGU+PENpdGU+PEF1dGhvcj5LcmFnaC1IYW5zZW48L0F1dGhvcj48WWVhcj4yMDAyPC9Z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=
</w:fldData>
        </w:fldChar>
      </w:r>
      <w:r w:rsidR="0057696F">
        <w:instrText xml:space="preserve"> ADDIN EN.CITE </w:instrText>
      </w:r>
      <w:r w:rsidR="0075172E">
        <w:fldChar w:fldCharType="begin">
          <w:fldData xml:space="preserve">PEVuZE5vdGU+PENpdGU+PEF1dGhvcj5LcmFnaC1IYW5zZW48L0F1dGhvcj48WWVhcj4yMDAyPC9Z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=
</w:fldData>
        </w:fldChar>
      </w:r>
      <w:r w:rsidR="0057696F">
        <w:instrText xml:space="preserve"> ADDIN EN.CITE.DATA </w:instrText>
      </w:r>
      <w:r w:rsidR="0075172E">
        <w:fldChar w:fldCharType="end"/>
      </w:r>
      <w:r w:rsidR="0075172E">
        <w:fldChar w:fldCharType="separate"/>
      </w:r>
      <w:hyperlink w:anchor="_ENREF_307" w:tooltip="Kragh-Hansen, 2002 #159" w:history="1">
        <w:r w:rsidR="00512D09" w:rsidRPr="0057696F">
          <w:rPr>
            <w:noProof/>
            <w:vertAlign w:val="superscript"/>
          </w:rPr>
          <w:t>307</w:t>
        </w:r>
      </w:hyperlink>
      <w:r w:rsidR="0057696F" w:rsidRPr="0057696F">
        <w:rPr>
          <w:noProof/>
          <w:vertAlign w:val="superscript"/>
        </w:rPr>
        <w:t>,</w:t>
      </w:r>
      <w:hyperlink w:anchor="_ENREF_308" w:tooltip="Petitpas, 2001 #164" w:history="1">
        <w:r w:rsidR="00512D09" w:rsidRPr="0057696F">
          <w:rPr>
            <w:noProof/>
            <w:vertAlign w:val="superscript"/>
          </w:rPr>
          <w:t>308</w:t>
        </w:r>
      </w:hyperlink>
      <w:r w:rsidR="0075172E">
        <w:fldChar w:fldCharType="end"/>
      </w:r>
      <w:r w:rsidRPr="00C11EB4">
        <w:t xml:space="preserve"> </w:t>
      </w:r>
      <w:r w:rsidRPr="00C11EB4">
        <w:rPr>
          <w:color w:val="000000" w:themeColor="text1"/>
        </w:rPr>
        <w:t xml:space="preserve">Drugs that bind to site I show similar association constants for both </w:t>
      </w:r>
      <w:r>
        <w:rPr>
          <w:color w:val="000000" w:themeColor="text1"/>
        </w:rPr>
        <w:t>HSA and BSA.</w:t>
      </w:r>
      <w:r w:rsidRPr="00C11EB4">
        <w:rPr>
          <w:color w:val="000000" w:themeColor="text1"/>
        </w:rPr>
        <w:t xml:space="preserve"> </w:t>
      </w:r>
      <w:r>
        <w:rPr>
          <w:color w:val="000000" w:themeColor="text1"/>
        </w:rPr>
        <w:t xml:space="preserve">For example, </w:t>
      </w:r>
      <w:r>
        <w:rPr>
          <w:rFonts w:cs="Arial"/>
          <w:color w:val="000000" w:themeColor="text1"/>
          <w:shd w:val="clear" w:color="auto" w:fill="FFFFFF"/>
        </w:rPr>
        <w:t>l</w:t>
      </w:r>
      <w:r w:rsidRPr="00C11EB4">
        <w:rPr>
          <w:rFonts w:cs="Arial"/>
          <w:color w:val="000000" w:themeColor="text1"/>
          <w:shd w:val="clear" w:color="auto" w:fill="FFFFFF"/>
        </w:rPr>
        <w:t>uteolin, a flavonoid, binds to all rat serum albumin, HSA and BSA with the same affinity</w:t>
      </w:r>
      <w:r>
        <w:rPr>
          <w:rFonts w:cs="Arial"/>
          <w:color w:val="000000" w:themeColor="text1"/>
          <w:shd w:val="clear" w:color="auto" w:fill="FFFFFF"/>
        </w:rPr>
        <w:t>.</w:t>
      </w:r>
      <w:hyperlink w:anchor="_ENREF_309" w:tooltip="Poór, 2014 #638" w:history="1">
        <w:r w:rsidR="00512D09">
          <w:rPr>
            <w:rFonts w:cs="Arial"/>
            <w:color w:val="000000" w:themeColor="text1"/>
            <w:shd w:val="clear" w:color="auto" w:fill="FFFFFF"/>
          </w:rPr>
          <w:fldChar w:fldCharType="begin"/>
        </w:r>
        <w:r w:rsidR="00512D09">
          <w:rPr>
            <w:rFonts w:cs="Arial"/>
            <w:color w:val="000000" w:themeColor="text1"/>
            <w:shd w:val="clear" w:color="auto" w:fill="FFFFFF"/>
          </w:rPr>
          <w:instrText xml:space="preserve"> ADDIN EN.CITE &lt;EndNote&gt;&lt;Cite&gt;&lt;Author&gt;Poór&lt;/Author&gt;&lt;Year&gt;2014&lt;/Year&gt;&lt;RecNum&gt;638&lt;/RecNum&gt;&lt;DisplayText&gt;&lt;style face="superscript"&gt;309&lt;/style&gt;&lt;/DisplayText&gt;&lt;record&gt;&lt;rec-number&gt;638&lt;/rec-number&gt;&lt;foreign-keys&gt;&lt;key app="EN" db-id="5trrespwzsdr07efd5tx2w96x22re9s0fsdt"&gt;638&lt;/key&gt;&lt;/foreign-keys&gt;&lt;ref-type name="Journal Article"&gt;17&lt;/ref-type&gt;&lt;contributors&gt;&lt;authors&gt;&lt;author&gt;Poór, Miklós&lt;/author&gt;&lt;author&gt;Li, Yin&lt;/author&gt;&lt;author&gt;Matisz, Gergely&lt;/author&gt;&lt;author&gt;Kiss, László&lt;/author&gt;&lt;author&gt;Kunsági-Máté, Sándor&lt;/author&gt;&lt;author&gt;Kőszegi, Tamás&lt;/author&gt;&lt;/authors&gt;&lt;/contributors&gt;&lt;titles&gt;&lt;title&gt;Quantitation of species differences in albumin–ligand interactions for bovine, human and rat serum albumins using fluorescence spectroscopy: A test case with some Sudlow&amp;apos;s site I ligands&lt;/title&gt;&lt;secondary-title&gt;Journal of Luminescence&lt;/secondary-title&gt;&lt;/titles&gt;&lt;periodical&gt;&lt;full-title&gt;Journal of Luminescence&lt;/full-title&gt;&lt;/periodical&gt;&lt;pages&gt;767-773&lt;/pages&gt;&lt;volume&gt;145&lt;/volume&gt;&lt;keywords&gt;&lt;keyword&gt;Albumin–ligand interaction&lt;/keyword&gt;&lt;keyword&gt;Sudlow&amp;apos;s site I ligands&lt;/keyword&gt;&lt;keyword&gt;Species-specific differences&lt;/keyword&gt;&lt;keyword&gt;Human serum albumin&lt;/keyword&gt;&lt;keyword&gt;Bovine serum albumin&lt;/keyword&gt;&lt;keyword&gt;Rat serum albumin&lt;/keyword&gt;&lt;/keywords&gt;&lt;dates&gt;&lt;year&gt;2014&lt;/year&gt;&lt;/dates&gt;&lt;isbn&gt;0022-2313&lt;/isbn&gt;&lt;urls&gt;&lt;related-urls&gt;&lt;url&gt;http://www.sciencedirect.com/science/article/pii/S0022231313005486&lt;/url&gt;&lt;/related-urls&gt;&lt;/urls&gt;&lt;electronic-resource-num&gt;http://dx.doi.org/10.1016/j.jlumin.2013.08.059&lt;/electronic-resource-num&gt;&lt;/record&gt;&lt;/Cite&gt;&lt;/EndNote&gt;</w:instrText>
        </w:r>
        <w:r w:rsidR="00512D09">
          <w:rPr>
            <w:rFonts w:cs="Arial"/>
            <w:color w:val="000000" w:themeColor="text1"/>
            <w:shd w:val="clear" w:color="auto" w:fill="FFFFFF"/>
          </w:rPr>
          <w:fldChar w:fldCharType="separate"/>
        </w:r>
        <w:r w:rsidR="00512D09" w:rsidRPr="0057696F">
          <w:rPr>
            <w:rFonts w:cs="Arial"/>
            <w:noProof/>
            <w:color w:val="000000" w:themeColor="text1"/>
            <w:shd w:val="clear" w:color="auto" w:fill="FFFFFF"/>
            <w:vertAlign w:val="superscript"/>
          </w:rPr>
          <w:t>309</w:t>
        </w:r>
        <w:r w:rsidR="00512D09">
          <w:rPr>
            <w:rFonts w:cs="Arial"/>
            <w:color w:val="000000" w:themeColor="text1"/>
            <w:shd w:val="clear" w:color="auto" w:fill="FFFFFF"/>
          </w:rPr>
          <w:fldChar w:fldCharType="end"/>
        </w:r>
      </w:hyperlink>
      <w:r>
        <w:rPr>
          <w:rFonts w:cs="Arial"/>
          <w:color w:val="000000" w:themeColor="text1"/>
          <w:shd w:val="clear" w:color="auto" w:fill="FFFFFF"/>
        </w:rPr>
        <w:t xml:space="preserve"> </w:t>
      </w:r>
      <w:r w:rsidRPr="00C11EB4">
        <w:rPr>
          <w:rFonts w:cs="Arial"/>
          <w:color w:val="000000" w:themeColor="text1"/>
          <w:shd w:val="clear" w:color="auto" w:fill="FFFFFF"/>
        </w:rPr>
        <w:t>However, there are some exceptions, ochratoxin A, a mycotoxin, binds to BSA with an association constant of 3.02 × 10</w:t>
      </w:r>
      <w:r w:rsidRPr="00C11EB4">
        <w:rPr>
          <w:rFonts w:cs="Arial"/>
          <w:color w:val="000000" w:themeColor="text1"/>
          <w:shd w:val="clear" w:color="auto" w:fill="FFFFFF"/>
          <w:vertAlign w:val="superscript"/>
        </w:rPr>
        <w:t>6</w:t>
      </w:r>
      <w:r w:rsidRPr="00C11EB4">
        <w:rPr>
          <w:rFonts w:cs="Arial"/>
          <w:color w:val="000000" w:themeColor="text1"/>
          <w:shd w:val="clear" w:color="auto" w:fill="FFFFFF"/>
        </w:rPr>
        <w:t xml:space="preserve"> whilst HSA binds with an association constant of 44 × 10</w:t>
      </w:r>
      <w:r w:rsidRPr="00C11EB4">
        <w:rPr>
          <w:rFonts w:cs="Arial"/>
          <w:color w:val="000000" w:themeColor="text1"/>
          <w:shd w:val="clear" w:color="auto" w:fill="FFFFFF"/>
          <w:vertAlign w:val="superscript"/>
        </w:rPr>
        <w:t>6</w:t>
      </w:r>
      <w:r w:rsidRPr="00C11EB4">
        <w:rPr>
          <w:rFonts w:cs="Arial"/>
          <w:color w:val="000000" w:themeColor="text1"/>
          <w:shd w:val="clear" w:color="auto" w:fill="FFFFFF"/>
        </w:rPr>
        <w:t>.</w:t>
      </w:r>
      <w:hyperlink w:anchor="_ENREF_309" w:tooltip="Poór, 2014 #638" w:history="1">
        <w:r w:rsidR="00512D09">
          <w:rPr>
            <w:rFonts w:cs="Arial"/>
            <w:color w:val="000000" w:themeColor="text1"/>
            <w:shd w:val="clear" w:color="auto" w:fill="FFFFFF"/>
          </w:rPr>
          <w:fldChar w:fldCharType="begin"/>
        </w:r>
        <w:r w:rsidR="00512D09">
          <w:rPr>
            <w:rFonts w:cs="Arial"/>
            <w:color w:val="000000" w:themeColor="text1"/>
            <w:shd w:val="clear" w:color="auto" w:fill="FFFFFF"/>
          </w:rPr>
          <w:instrText xml:space="preserve"> ADDIN EN.CITE &lt;EndNote&gt;&lt;Cite&gt;&lt;Author&gt;Poór&lt;/Author&gt;&lt;Year&gt;2014&lt;/Year&gt;&lt;RecNum&gt;638&lt;/RecNum&gt;&lt;DisplayText&gt;&lt;style face="superscript"&gt;309&lt;/style&gt;&lt;/DisplayText&gt;&lt;record&gt;&lt;rec-number&gt;638&lt;/rec-number&gt;&lt;foreign-keys&gt;&lt;key app="EN" db-id="5trrespwzsdr07efd5tx2w96x22re9s0fsdt"&gt;638&lt;/key&gt;&lt;/foreign-keys&gt;&lt;ref-type name="Journal Article"&gt;17&lt;/ref-type&gt;&lt;contributors&gt;&lt;authors&gt;&lt;author&gt;Poór, Miklós&lt;/author&gt;&lt;author&gt;Li, Yin&lt;/author&gt;&lt;author&gt;Matisz, Gergely&lt;/author&gt;&lt;author&gt;Kiss, László&lt;/author&gt;&lt;author&gt;Kunsági-Máté, Sándor&lt;/author&gt;&lt;author&gt;Kőszegi, Tamás&lt;/author&gt;&lt;/authors&gt;&lt;/contributors&gt;&lt;titles&gt;&lt;title&gt;Quantitation of species differences in albumin–ligand interactions for bovine, human and rat serum albumins using fluorescence spectroscopy: A test case with some Sudlow&amp;apos;s site I ligands&lt;/title&gt;&lt;secondary-title&gt;Journal of Luminescence&lt;/secondary-title&gt;&lt;/titles&gt;&lt;periodical&gt;&lt;full-title&gt;Journal of Luminescence&lt;/full-title&gt;&lt;/periodical&gt;&lt;pages&gt;767-773&lt;/pages&gt;&lt;volume&gt;145&lt;/volume&gt;&lt;keywords&gt;&lt;keyword&gt;Albumin–ligand interaction&lt;/keyword&gt;&lt;keyword&gt;Sudlow&amp;apos;s site I ligands&lt;/keyword&gt;&lt;keyword&gt;Species-specific differences&lt;/keyword&gt;&lt;keyword&gt;Human serum albumin&lt;/keyword&gt;&lt;keyword&gt;Bovine serum albumin&lt;/keyword&gt;&lt;keyword&gt;Rat serum albumin&lt;/keyword&gt;&lt;/keywords&gt;&lt;dates&gt;&lt;year&gt;2014&lt;/year&gt;&lt;/dates&gt;&lt;isbn&gt;0022-2313&lt;/isbn&gt;&lt;urls&gt;&lt;related-urls&gt;&lt;url&gt;http://www.sciencedirect.com/science/article/pii/S0022231313005486&lt;/url&gt;&lt;/related-urls&gt;&lt;/urls&gt;&lt;electronic-resource-num&gt;http://dx.doi.org/10.1016/j.jlumin.2013.08.059&lt;/electronic-resource-num&gt;&lt;/record&gt;&lt;/Cite&gt;&lt;/EndNote&gt;</w:instrText>
        </w:r>
        <w:r w:rsidR="00512D09">
          <w:rPr>
            <w:rFonts w:cs="Arial"/>
            <w:color w:val="000000" w:themeColor="text1"/>
            <w:shd w:val="clear" w:color="auto" w:fill="FFFFFF"/>
          </w:rPr>
          <w:fldChar w:fldCharType="separate"/>
        </w:r>
        <w:r w:rsidR="00512D09" w:rsidRPr="0057696F">
          <w:rPr>
            <w:rFonts w:cs="Arial"/>
            <w:noProof/>
            <w:color w:val="000000" w:themeColor="text1"/>
            <w:shd w:val="clear" w:color="auto" w:fill="FFFFFF"/>
            <w:vertAlign w:val="superscript"/>
          </w:rPr>
          <w:t>309</w:t>
        </w:r>
        <w:r w:rsidR="00512D09">
          <w:rPr>
            <w:rFonts w:cs="Arial"/>
            <w:color w:val="000000" w:themeColor="text1"/>
            <w:shd w:val="clear" w:color="auto" w:fill="FFFFFF"/>
          </w:rPr>
          <w:fldChar w:fldCharType="end"/>
        </w:r>
      </w:hyperlink>
      <w:r w:rsidRPr="00C11EB4">
        <w:rPr>
          <w:rFonts w:cs="Arial"/>
          <w:color w:val="000000" w:themeColor="text1"/>
          <w:shd w:val="clear" w:color="auto" w:fill="FFFFFF"/>
        </w:rPr>
        <w:t xml:space="preserve"> </w:t>
      </w:r>
    </w:p>
    <w:p w:rsidR="003703F0" w:rsidRPr="00C11EB4" w:rsidRDefault="003703F0" w:rsidP="003703F0">
      <w:pPr>
        <w:spacing w:line="480" w:lineRule="auto"/>
        <w:jc w:val="both"/>
      </w:pPr>
      <w:r w:rsidRPr="00C11EB4">
        <w:t>Trp214</w:t>
      </w:r>
      <w:r>
        <w:t xml:space="preserve"> is found in Sudlow Site II, </w:t>
      </w:r>
      <w:r w:rsidRPr="00C11EB4">
        <w:t>a partly hydrated residue which is important for fluorescence studies</w:t>
      </w:r>
      <w:r>
        <w:t>.</w:t>
      </w:r>
      <w:hyperlink w:anchor="_ENREF_310" w:tooltip="Abou-Zied, 2013 #173" w:history="1">
        <w:r w:rsidR="00512D09">
          <w:fldChar w:fldCharType="begin"/>
        </w:r>
        <w:r w:rsidR="00512D09">
          <w:instrText xml:space="preserve"> ADDIN EN.CITE &lt;EndNote&gt;&lt;Cite&gt;&lt;Author&gt;Abou-Zied&lt;/Author&gt;&lt;Year&gt;2013&lt;/Year&gt;&lt;RecNum&gt;173&lt;/RecNum&gt;&lt;DisplayText&gt;&lt;style face="superscript"&gt;310&lt;/style&gt;&lt;/DisplayText&gt;&lt;record&gt;&lt;rec-number&gt;173&lt;/rec-number&gt;&lt;foreign-keys&gt;&lt;key app="EN" db-id="5trrespwzsdr07efd5tx2w96x22re9s0fsdt"&gt;173&lt;/key&gt;&lt;/foreign-keys&gt;&lt;ref-type name="Journal Article"&gt;17&lt;/ref-type&gt;&lt;contributors&gt;&lt;authors&gt;&lt;author&gt;Abou-Zied, Osama K.&lt;/author&gt;&lt;author&gt;Al-Lawatia, Najla&lt;/author&gt;&lt;author&gt;Elstner, Marcus&lt;/author&gt;&lt;author&gt;Steinbrecher, Thomas B.&lt;/author&gt;&lt;/authors&gt;&lt;/contributors&gt;&lt;titles&gt;&lt;title&gt;Binding of Hydroxyquinoline Probes to Human Serum Albumin: Combining Molecular Modeling and Forster&amp;apos;s Resonance Energy Transfer Spectroscopy to Understand Flexible Ligand Binding&lt;/title&gt;&lt;secondary-title&gt;Journal of Physical Chemistry B&lt;/secondary-title&gt;&lt;/titles&gt;&lt;periodical&gt;&lt;full-title&gt;Journal of Physical Chemistry B&lt;/full-title&gt;&lt;/periodical&gt;&lt;pages&gt;1062-1074&lt;/pages&gt;&lt;volume&gt;117&lt;/volume&gt;&lt;number&gt;4&lt;/number&gt;&lt;dates&gt;&lt;year&gt;2013&lt;/year&gt;&lt;pub-dates&gt;&lt;date&gt;Jan 31&lt;/date&gt;&lt;/pub-dates&gt;&lt;/dates&gt;&lt;isbn&gt;1520-6106&lt;/isbn&gt;&lt;accession-num&gt;WOS:000314492300011&lt;/accession-num&gt;&lt;urls&gt;&lt;related-urls&gt;&lt;url&gt;&amp;lt;Go to ISI&amp;gt;://WOS:000314492300011&lt;/url&gt;&lt;/related-urls&gt;&lt;/urls&gt;&lt;electronic-resource-num&gt;10.1021/jp311238n&lt;/electronic-resource-num&gt;&lt;/record&gt;&lt;/Cite&gt;&lt;/EndNote&gt;</w:instrText>
        </w:r>
        <w:r w:rsidR="00512D09">
          <w:fldChar w:fldCharType="separate"/>
        </w:r>
        <w:r w:rsidR="00512D09" w:rsidRPr="0057696F">
          <w:rPr>
            <w:noProof/>
            <w:vertAlign w:val="superscript"/>
          </w:rPr>
          <w:t>310</w:t>
        </w:r>
        <w:r w:rsidR="00512D09">
          <w:fldChar w:fldCharType="end"/>
        </w:r>
      </w:hyperlink>
      <w:r>
        <w:t xml:space="preserve"> </w:t>
      </w:r>
      <w:r w:rsidRPr="00C11EB4">
        <w:t xml:space="preserve">It binds to smaller negatively charged ligands such as indoles and diazepam. There is more variation for drug binding constants at </w:t>
      </w:r>
      <w:r w:rsidR="00332DB0">
        <w:t>these</w:t>
      </w:r>
      <w:r w:rsidRPr="00C11EB4">
        <w:t xml:space="preserve"> site</w:t>
      </w:r>
      <w:r w:rsidR="00332DB0">
        <w:t>s</w:t>
      </w:r>
      <w:r w:rsidRPr="00C11EB4">
        <w:t xml:space="preserve"> compared to site 1 for BSA and HSA. For example, equilibrium dialysis experiments showed that BSA binds diazepam with an association constant of 0.16 </w:t>
      </w:r>
      <w:r w:rsidRPr="00C11EB4">
        <w:rPr>
          <w:rFonts w:cs="Arial"/>
          <w:color w:val="000000" w:themeColor="text1"/>
          <w:shd w:val="clear" w:color="auto" w:fill="FFFFFF"/>
        </w:rPr>
        <w:t>× 10</w:t>
      </w:r>
      <w:r w:rsidRPr="00C11EB4">
        <w:rPr>
          <w:rFonts w:cs="Arial"/>
          <w:color w:val="000000" w:themeColor="text1"/>
          <w:shd w:val="clear" w:color="auto" w:fill="FFFFFF"/>
          <w:vertAlign w:val="superscript"/>
        </w:rPr>
        <w:t>4</w:t>
      </w:r>
      <w:r w:rsidRPr="00C11EB4">
        <w:t>, whilst HSA bound diazepam at two different sites with</w:t>
      </w:r>
      <w:r>
        <w:t>in</w:t>
      </w:r>
      <w:r w:rsidRPr="00C11EB4">
        <w:t xml:space="preserve"> site 1 with association constants of 17 </w:t>
      </w:r>
      <w:r w:rsidRPr="00C11EB4">
        <w:rPr>
          <w:rFonts w:cs="Arial"/>
          <w:color w:val="000000" w:themeColor="text1"/>
          <w:shd w:val="clear" w:color="auto" w:fill="FFFFFF"/>
        </w:rPr>
        <w:t>× 10</w:t>
      </w:r>
      <w:r w:rsidRPr="00C11EB4">
        <w:rPr>
          <w:rFonts w:cs="Arial"/>
          <w:color w:val="000000" w:themeColor="text1"/>
          <w:shd w:val="clear" w:color="auto" w:fill="FFFFFF"/>
          <w:vertAlign w:val="superscript"/>
        </w:rPr>
        <w:t xml:space="preserve">5 </w:t>
      </w:r>
      <w:r w:rsidRPr="00C11EB4">
        <w:t xml:space="preserve">and 1.78 </w:t>
      </w:r>
      <w:r w:rsidRPr="00C11EB4">
        <w:rPr>
          <w:rFonts w:cs="Arial"/>
          <w:color w:val="000000" w:themeColor="text1"/>
          <w:shd w:val="clear" w:color="auto" w:fill="FFFFFF"/>
        </w:rPr>
        <w:t>× 10</w:t>
      </w:r>
      <w:r w:rsidRPr="00C11EB4">
        <w:rPr>
          <w:rFonts w:cs="Arial"/>
          <w:color w:val="000000" w:themeColor="text1"/>
          <w:shd w:val="clear" w:color="auto" w:fill="FFFFFF"/>
          <w:vertAlign w:val="superscript"/>
        </w:rPr>
        <w:t>4</w:t>
      </w:r>
      <w:r w:rsidRPr="00C11EB4">
        <w:rPr>
          <w:rFonts w:cs="Arial"/>
          <w:color w:val="000000" w:themeColor="text1"/>
          <w:shd w:val="clear" w:color="auto" w:fill="FFFFFF"/>
        </w:rPr>
        <w:t>.</w:t>
      </w:r>
      <w:hyperlink w:anchor="_ENREF_311" w:tooltip="Kosa, 1997 #648" w:history="1">
        <w:r w:rsidR="00512D09">
          <w:rPr>
            <w:rFonts w:cs="Arial"/>
            <w:color w:val="000000" w:themeColor="text1"/>
            <w:shd w:val="clear" w:color="auto" w:fill="FFFFFF"/>
          </w:rPr>
          <w:fldChar w:fldCharType="begin"/>
        </w:r>
        <w:r w:rsidR="00512D09">
          <w:rPr>
            <w:rFonts w:cs="Arial"/>
            <w:color w:val="000000" w:themeColor="text1"/>
            <w:shd w:val="clear" w:color="auto" w:fill="FFFFFF"/>
          </w:rPr>
          <w:instrText xml:space="preserve"> ADDIN EN.CITE &lt;EndNote&gt;&lt;Cite&gt;&lt;Author&gt;Kosa&lt;/Author&gt;&lt;Year&gt;1997&lt;/Year&gt;&lt;RecNum&gt;648&lt;/RecNum&gt;&lt;DisplayText&gt;&lt;style face="superscript"&gt;311&lt;/style&gt;&lt;/DisplayText&gt;&lt;record&gt;&lt;rec-number&gt;648&lt;/rec-number&gt;&lt;foreign-keys&gt;&lt;key app="EN" db-id="5trrespwzsdr07efd5tx2w96x22re9s0fsdt"&gt;648&lt;/key&gt;&lt;/foreign-keys&gt;&lt;ref-type name="Journal Article"&gt;17&lt;/ref-type&gt;&lt;contributors&gt;&lt;authors&gt;&lt;author&gt;Kosa, Takamitsu&lt;/author&gt;&lt;author&gt;Maruyama, Toru&lt;/author&gt;&lt;author&gt;Otagiri, Masaki&lt;/author&gt;&lt;/authors&gt;&lt;/contributors&gt;&lt;titles&gt;&lt;title&gt;Species differences of serum albumins: I. Drug binding sites&lt;/title&gt;&lt;secondary-title&gt;Pharmaceutical research&lt;/secondary-title&gt;&lt;/titles&gt;&lt;periodical&gt;&lt;full-title&gt;Pharmaceutical research&lt;/full-title&gt;&lt;/periodical&gt;&lt;pages&gt;1607-1612&lt;/pages&gt;&lt;volume&gt;14&lt;/volume&gt;&lt;number&gt;11&lt;/number&gt;&lt;dates&gt;&lt;year&gt;1997&lt;/year&gt;&lt;/dates&gt;&lt;isbn&gt;0724-8741&lt;/isbn&gt;&lt;urls&gt;&lt;/urls&gt;&lt;/record&gt;&lt;/Cite&gt;&lt;/EndNote&gt;</w:instrText>
        </w:r>
        <w:r w:rsidR="00512D09">
          <w:rPr>
            <w:rFonts w:cs="Arial"/>
            <w:color w:val="000000" w:themeColor="text1"/>
            <w:shd w:val="clear" w:color="auto" w:fill="FFFFFF"/>
          </w:rPr>
          <w:fldChar w:fldCharType="separate"/>
        </w:r>
        <w:r w:rsidR="00512D09" w:rsidRPr="0057696F">
          <w:rPr>
            <w:rFonts w:cs="Arial"/>
            <w:noProof/>
            <w:color w:val="000000" w:themeColor="text1"/>
            <w:shd w:val="clear" w:color="auto" w:fill="FFFFFF"/>
            <w:vertAlign w:val="superscript"/>
          </w:rPr>
          <w:t>311</w:t>
        </w:r>
        <w:r w:rsidR="00512D09">
          <w:rPr>
            <w:rFonts w:cs="Arial"/>
            <w:color w:val="000000" w:themeColor="text1"/>
            <w:shd w:val="clear" w:color="auto" w:fill="FFFFFF"/>
          </w:rPr>
          <w:fldChar w:fldCharType="end"/>
        </w:r>
      </w:hyperlink>
      <w:r w:rsidRPr="00C11EB4">
        <w:rPr>
          <w:rFonts w:cs="Arial"/>
          <w:color w:val="000000" w:themeColor="text1"/>
          <w:shd w:val="clear" w:color="auto" w:fill="FFFFFF"/>
        </w:rPr>
        <w:t xml:space="preserve"> </w:t>
      </w:r>
    </w:p>
    <w:p w:rsidR="003703F0" w:rsidRPr="00F20A26" w:rsidRDefault="003703F0" w:rsidP="00626B72">
      <w:pPr>
        <w:pStyle w:val="Heading3"/>
        <w:numPr>
          <w:ilvl w:val="2"/>
          <w:numId w:val="10"/>
        </w:numPr>
        <w:spacing w:line="480" w:lineRule="auto"/>
      </w:pPr>
      <w:bookmarkStart w:id="215" w:name="_Toc459130734"/>
      <w:r w:rsidRPr="00F20A26">
        <w:t>Phytate</w:t>
      </w:r>
      <w:bookmarkEnd w:id="215"/>
      <w:r w:rsidRPr="00F20A26">
        <w:t xml:space="preserve"> </w:t>
      </w:r>
    </w:p>
    <w:p w:rsidR="003703F0" w:rsidRPr="00C11EB4" w:rsidRDefault="003703F0" w:rsidP="003703F0">
      <w:pPr>
        <w:spacing w:line="480" w:lineRule="auto"/>
        <w:jc w:val="both"/>
      </w:pPr>
      <w:r w:rsidRPr="00C11EB4">
        <w:t>Inositol hexakisphosphate (Ins</w:t>
      </w:r>
      <w:r w:rsidRPr="00C11EB4">
        <w:rPr>
          <w:i/>
        </w:rPr>
        <w:t>P</w:t>
      </w:r>
      <w:r w:rsidRPr="00C11EB4">
        <w:rPr>
          <w:vertAlign w:val="subscript"/>
        </w:rPr>
        <w:t>6</w:t>
      </w:r>
      <w:r w:rsidRPr="00C11EB4">
        <w:t xml:space="preserve">) was originally discovered as phosphate storage molecule in plants, providing its other name, phytic acid. </w:t>
      </w:r>
      <w:r>
        <w:t>Phytic acid</w:t>
      </w:r>
      <w:r w:rsidRPr="00C11EB4">
        <w:rPr>
          <w:vertAlign w:val="subscript"/>
        </w:rPr>
        <w:t xml:space="preserve"> </w:t>
      </w:r>
      <w:r w:rsidRPr="00C11EB4">
        <w:t>is one of the most abundant intracellular inositol phosphate species in mammalian cells, ranging from 10 to 60 µ</w:t>
      </w:r>
      <w:r>
        <w:t xml:space="preserve">M, with </w:t>
      </w:r>
      <w:r w:rsidRPr="00C11EB4">
        <w:t xml:space="preserve">evidence </w:t>
      </w:r>
      <w:r>
        <w:t>suggesting</w:t>
      </w:r>
      <w:r w:rsidRPr="00C11EB4">
        <w:t xml:space="preserve"> that phytate may exist in the cytolsolic department as well as being compartmentalised within the cell, potentially bound to protein</w:t>
      </w:r>
      <w:r>
        <w:t>.</w:t>
      </w:r>
      <w:hyperlink w:anchor="_ENREF_254" w:tooltip="Irvine, 2001 #645" w:history="1">
        <w:r w:rsidR="00512D09">
          <w:fldChar w:fldCharType="begin"/>
        </w:r>
        <w:r w:rsidR="00512D09">
          <w:instrText xml:space="preserve"> ADDIN EN.CITE &lt;EndNote&gt;&lt;Cite&gt;&lt;Author&gt;Irvine&lt;/Author&gt;&lt;Year&gt;2001&lt;/Year&gt;&lt;RecNum&gt;645&lt;/RecNum&gt;&lt;DisplayText&gt;&lt;style face="superscript"&gt;254&lt;/style&gt;&lt;/DisplayText&gt;&lt;record&gt;&lt;rec-number&gt;645&lt;/rec-number&gt;&lt;foreign-keys&gt;&lt;key app="EN" db-id="5trrespwzsdr07efd5tx2w96x22re9s0fsdt"&gt;645&lt;/key&gt;&lt;/foreign-keys&gt;&lt;ref-type name="Journal Article"&gt;17&lt;/ref-type&gt;&lt;contributors&gt;&lt;authors&gt;&lt;author&gt;Irvine, Robin F.&lt;/author&gt;&lt;author&gt;Schell, Michael J.&lt;/author&gt;&lt;/authors&gt;&lt;/contributors&gt;&lt;titles&gt;&lt;title&gt;Back in the water: the return of the inositol phosphates&lt;/title&gt;&lt;secondary-title&gt;Nature Reviews Molecular Cell Biology&lt;/secondary-title&gt;&lt;/titles&gt;&lt;periodical&gt;&lt;full-title&gt;Nature Reviews Molecular Cell Biology&lt;/full-title&gt;&lt;/periodical&gt;&lt;pages&gt;327-338&lt;/pages&gt;&lt;volume&gt;2&lt;/volume&gt;&lt;number&gt;5&lt;/number&gt;&lt;dates&gt;&lt;year&gt;2001&lt;/year&gt;&lt;/dates&gt;&lt;publisher&gt;Nature Publishing Group&lt;/publisher&gt;&lt;isbn&gt;1471-0072&lt;/isbn&gt;&lt;work-type&gt;10.1038/35073015&lt;/work-type&gt;&lt;urls&gt;&lt;related-urls&gt;&lt;url&gt;http://dx.doi.org/10.1038/35073015&lt;/url&gt;&lt;/related-urls&gt;&lt;/urls&gt;&lt;/record&gt;&lt;/Cite&gt;&lt;/EndNote&gt;</w:instrText>
        </w:r>
        <w:r w:rsidR="00512D09">
          <w:fldChar w:fldCharType="separate"/>
        </w:r>
        <w:r w:rsidR="00512D09" w:rsidRPr="006421D1">
          <w:rPr>
            <w:noProof/>
            <w:vertAlign w:val="superscript"/>
          </w:rPr>
          <w:t>254</w:t>
        </w:r>
        <w:r w:rsidR="00512D09">
          <w:fldChar w:fldCharType="end"/>
        </w:r>
      </w:hyperlink>
      <w:r w:rsidRPr="00C11EB4">
        <w:t xml:space="preserve"> </w:t>
      </w:r>
    </w:p>
    <w:p w:rsidR="003703F0" w:rsidRDefault="003703F0" w:rsidP="003703F0">
      <w:pPr>
        <w:spacing w:line="480" w:lineRule="auto"/>
        <w:jc w:val="both"/>
        <w:rPr>
          <w:color w:val="000000"/>
          <w:shd w:val="clear" w:color="auto" w:fill="FFFFFF"/>
        </w:rPr>
      </w:pPr>
      <w:r w:rsidRPr="00C11EB4">
        <w:rPr>
          <w:rFonts w:eastAsia="Times New Roman" w:cs="Arial"/>
          <w:color w:val="000000" w:themeColor="text1"/>
          <w:bdr w:val="none" w:sz="0" w:space="0" w:color="auto" w:frame="1"/>
          <w:lang w:eastAsia="en-GB"/>
        </w:rPr>
        <w:t xml:space="preserve">Liquid </w:t>
      </w:r>
      <w:r w:rsidR="00B35303" w:rsidRPr="00C11EB4">
        <w:rPr>
          <w:rFonts w:eastAsia="Times New Roman" w:cs="Arial"/>
          <w:color w:val="000000" w:themeColor="text1"/>
          <w:bdr w:val="none" w:sz="0" w:space="0" w:color="auto" w:frame="1"/>
          <w:lang w:eastAsia="en-GB"/>
        </w:rPr>
        <w:t xml:space="preserve">Chromatography–Mass Spectrometry </w:t>
      </w:r>
      <w:r w:rsidRPr="00C11EB4">
        <w:rPr>
          <w:rFonts w:eastAsia="Times New Roman" w:cs="Arial"/>
          <w:color w:val="000000" w:themeColor="text1"/>
          <w:bdr w:val="none" w:sz="0" w:space="0" w:color="auto" w:frame="1"/>
          <w:lang w:eastAsia="en-GB"/>
        </w:rPr>
        <w:t xml:space="preserve">identified that phytate plasma levels in the human plasma are in the range of </w:t>
      </w:r>
      <w:r w:rsidR="00CD2CCB">
        <w:rPr>
          <w:rFonts w:eastAsia="Times New Roman" w:cs="Arial"/>
          <w:color w:val="000000" w:themeColor="text1"/>
          <w:bdr w:val="none" w:sz="0" w:space="0" w:color="auto" w:frame="1"/>
          <w:lang w:eastAsia="en-GB"/>
        </w:rPr>
        <w:t>8 nM</w:t>
      </w:r>
      <w:r>
        <w:rPr>
          <w:rFonts w:eastAsia="Times New Roman" w:cs="Arial"/>
          <w:color w:val="000000" w:themeColor="text1"/>
          <w:bdr w:val="none" w:sz="0" w:space="0" w:color="auto" w:frame="1"/>
          <w:lang w:eastAsia="en-GB"/>
        </w:rPr>
        <w:t xml:space="preserve"> to 8 µM.</w:t>
      </w:r>
      <w:hyperlink w:anchor="_ENREF_312" w:tooltip="Tur, 2013 #649" w:history="1">
        <w:r w:rsidR="00512D09">
          <w:rPr>
            <w:rFonts w:eastAsia="Times New Roman" w:cs="Arial"/>
            <w:color w:val="000000" w:themeColor="text1"/>
            <w:bdr w:val="none" w:sz="0" w:space="0" w:color="auto" w:frame="1"/>
            <w:lang w:eastAsia="en-GB"/>
          </w:rPr>
          <w:fldChar w:fldCharType="begin"/>
        </w:r>
        <w:r w:rsidR="00512D09">
          <w:rPr>
            <w:rFonts w:eastAsia="Times New Roman" w:cs="Arial"/>
            <w:color w:val="000000" w:themeColor="text1"/>
            <w:bdr w:val="none" w:sz="0" w:space="0" w:color="auto" w:frame="1"/>
            <w:lang w:eastAsia="en-GB"/>
          </w:rPr>
          <w:instrText xml:space="preserve"> ADDIN EN.CITE &lt;EndNote&gt;&lt;Cite&gt;&lt;Author&gt;Tur&lt;/Author&gt;&lt;Year&gt;2013&lt;/Year&gt;&lt;RecNum&gt;649&lt;/RecNum&gt;&lt;DisplayText&gt;&lt;style face="superscript"&gt;312&lt;/style&gt;&lt;/DisplayText&gt;&lt;record&gt;&lt;rec-number&gt;649&lt;/rec-number&gt;&lt;foreign-keys&gt;&lt;key app="EN" db-id="5trrespwzsdr07efd5tx2w96x22re9s0fsdt"&gt;649&lt;/key&gt;&lt;/foreign-keys&gt;&lt;ref-type name="Journal Article"&gt;17&lt;/ref-type&gt;&lt;contributors&gt;&lt;authors&gt;&lt;author&gt;Tur, Fernando&lt;/author&gt;&lt;author&gt;Tur, Eva&lt;/author&gt;&lt;author&gt;Lentheric, Irene&lt;/author&gt;&lt;author&gt;Mendoza, Paula&lt;/author&gt;&lt;author&gt;Encabo, Maximo&lt;/author&gt;&lt;author&gt;Isern, Bernat&lt;/author&gt;&lt;author&gt;Grases, Felix&lt;/author&gt;&lt;author&gt;Maraschiello, Ciriaco&lt;/author&gt;&lt;author&gt;Perelló, Joan&lt;/author&gt;&lt;/authors&gt;&lt;/contributors&gt;&lt;titles&gt;&lt;title&gt;Validation of an LC–MS bioanalytical method for quantification of phytate levels in rat, dog and human plasma&lt;/title&gt;&lt;secondary-title&gt;Journal of Chromatography B&lt;/secondary-title&gt;&lt;/titles&gt;&lt;periodical&gt;&lt;full-title&gt;Journal of Chromatography B&lt;/full-title&gt;&lt;/periodical&gt;&lt;pages&gt;146-154&lt;/pages&gt;&lt;volume&gt;928&lt;/volume&gt;&lt;keywords&gt;&lt;keyword&gt;Phytate&lt;/keyword&gt;&lt;keyword&gt;Myo-inositol hexaphosphate&lt;/keyword&gt;&lt;keyword&gt;Direct determination&lt;/keyword&gt;&lt;keyword&gt;LC–MS&lt;/keyword&gt;&lt;keyword&gt;Bioanalytical method&lt;/keyword&gt;&lt;keyword&gt;Biological matrices&lt;/keyword&gt;&lt;/keywords&gt;&lt;dates&gt;&lt;year&gt;2013&lt;/year&gt;&lt;/dates&gt;&lt;isbn&gt;1570-0232&lt;/isbn&gt;&lt;urls&gt;&lt;related-urls&gt;&lt;url&gt;http://www.sciencedirect.com/science/article/pii/S1570023213001815&lt;/url&gt;&lt;/related-urls&gt;&lt;/urls&gt;&lt;electronic-resource-num&gt;http://dx.doi.org/10.1016/j.jchromb.2013.03.023&lt;/electronic-resource-num&gt;&lt;/record&gt;&lt;/Cite&gt;&lt;/EndNote&gt;</w:instrText>
        </w:r>
        <w:r w:rsidR="00512D09">
          <w:rPr>
            <w:rFonts w:eastAsia="Times New Roman" w:cs="Arial"/>
            <w:color w:val="000000" w:themeColor="text1"/>
            <w:bdr w:val="none" w:sz="0" w:space="0" w:color="auto" w:frame="1"/>
            <w:lang w:eastAsia="en-GB"/>
          </w:rPr>
          <w:fldChar w:fldCharType="separate"/>
        </w:r>
        <w:r w:rsidR="00512D09" w:rsidRPr="0057696F">
          <w:rPr>
            <w:rFonts w:eastAsia="Times New Roman" w:cs="Arial"/>
            <w:noProof/>
            <w:color w:val="000000" w:themeColor="text1"/>
            <w:bdr w:val="none" w:sz="0" w:space="0" w:color="auto" w:frame="1"/>
            <w:vertAlign w:val="superscript"/>
            <w:lang w:eastAsia="en-GB"/>
          </w:rPr>
          <w:t>312</w:t>
        </w:r>
        <w:r w:rsidR="00512D09">
          <w:rPr>
            <w:rFonts w:eastAsia="Times New Roman" w:cs="Arial"/>
            <w:color w:val="000000" w:themeColor="text1"/>
            <w:bdr w:val="none" w:sz="0" w:space="0" w:color="auto" w:frame="1"/>
            <w:lang w:eastAsia="en-GB"/>
          </w:rPr>
          <w:fldChar w:fldCharType="end"/>
        </w:r>
      </w:hyperlink>
      <w:r>
        <w:rPr>
          <w:rFonts w:eastAsia="Times New Roman" w:cs="Arial"/>
          <w:color w:val="000000" w:themeColor="text1"/>
          <w:bdr w:val="none" w:sz="0" w:space="0" w:color="auto" w:frame="1"/>
          <w:lang w:eastAsia="en-GB"/>
        </w:rPr>
        <w:t xml:space="preserve"> </w:t>
      </w:r>
      <w:r>
        <w:rPr>
          <w:rFonts w:eastAsia="Times New Roman" w:cs="Arial"/>
          <w:color w:val="2E2E2E"/>
          <w:bdr w:val="none" w:sz="0" w:space="0" w:color="auto" w:frame="1"/>
          <w:lang w:eastAsia="en-GB"/>
        </w:rPr>
        <w:t>The f</w:t>
      </w:r>
      <w:r w:rsidRPr="00C11EB4">
        <w:rPr>
          <w:rFonts w:eastAsia="Times New Roman" w:cs="Arial"/>
          <w:color w:val="2E2E2E"/>
          <w:bdr w:val="none" w:sz="0" w:space="0" w:color="auto" w:frame="1"/>
          <w:lang w:eastAsia="en-GB"/>
        </w:rPr>
        <w:t xml:space="preserve">inding that </w:t>
      </w:r>
      <w:r>
        <w:t>phytate</w:t>
      </w:r>
      <w:r w:rsidRPr="00C11EB4">
        <w:rPr>
          <w:vertAlign w:val="subscript"/>
        </w:rPr>
        <w:t xml:space="preserve"> </w:t>
      </w:r>
      <w:r w:rsidRPr="00C11EB4">
        <w:t xml:space="preserve">is present in human fluids is relevant as health food companies are </w:t>
      </w:r>
      <w:r>
        <w:t xml:space="preserve">selling it as health supplement. </w:t>
      </w:r>
      <w:r>
        <w:rPr>
          <w:rFonts w:cs="Times New Roman"/>
          <w:lang w:val="en-US"/>
        </w:rPr>
        <w:t>Previous work has suggested that phytate could have an anticancer activity.</w:t>
      </w:r>
      <w:hyperlink w:anchor="_ENREF_313" w:tooltip="Vucenik, 1993 #661" w:history="1">
        <w:r w:rsidR="00512D09">
          <w:rPr>
            <w:rFonts w:cs="Times New Roman"/>
            <w:lang w:val="en-US"/>
          </w:rPr>
          <w:fldChar w:fldCharType="begin"/>
        </w:r>
        <w:r w:rsidR="00512D09">
          <w:rPr>
            <w:rFonts w:cs="Times New Roman"/>
            <w:lang w:val="en-US"/>
          </w:rPr>
          <w:instrText xml:space="preserve"> ADDIN EN.CITE &lt;EndNote&gt;&lt;Cite&gt;&lt;Author&gt;Vucenik&lt;/Author&gt;&lt;Year&gt;1993&lt;/Year&gt;&lt;RecNum&gt;661&lt;/RecNum&gt;&lt;DisplayText&gt;&lt;style face="superscript"&gt;313&lt;/style&gt;&lt;/DisplayText&gt;&lt;record&gt;&lt;rec-number&gt;661&lt;/rec-number&gt;&lt;foreign-keys&gt;&lt;key app="EN" db-id="5trrespwzsdr07efd5tx2w96x22re9s0fsdt"&gt;661&lt;/key&gt;&lt;/foreign-keys&gt;&lt;ref-type name="Journal Article"&gt;17&lt;/ref-type&gt;&lt;contributors&gt;&lt;authors&gt;&lt;author&gt;Vucenik, Ivana&lt;/author&gt;&lt;author&gt;Sakamoto, Kosaku&lt;/author&gt;&lt;author&gt;Bansal, Mini&lt;/author&gt;&lt;author&gt;Shamsuddin, Abulkalam M.&lt;/author&gt;&lt;/authors&gt;&lt;/contributors&gt;&lt;titles&gt;&lt;title&gt;Inhibition of rat mammary carcinogenesis by inositol hexaphosphate (phytic acid). A pilot study&lt;/title&gt;&lt;secondary-title&gt;Cancer Letters&lt;/secondary-title&gt;&lt;/titles&gt;&lt;periodical&gt;&lt;full-title&gt;Cancer Letters&lt;/full-title&gt;&lt;/periodical&gt;&lt;pages&gt;95-102&lt;/pages&gt;&lt;volume&gt;75&lt;/volume&gt;&lt;number&gt;2&lt;/number&gt;&lt;keywords&gt;&lt;keyword&gt;Carcinogenesis&lt;/keyword&gt;&lt;keyword&gt;Inositol hexaphosphate&lt;/keyword&gt;&lt;keyword&gt;Sprague-Dawley rats&lt;/keyword&gt;&lt;keyword&gt;Pilot study&lt;/keyword&gt;&lt;/keywords&gt;&lt;dates&gt;&lt;year&gt;1993&lt;/year&gt;&lt;/dates&gt;&lt;isbn&gt;0304-3835&lt;/isbn&gt;&lt;urls&gt;&lt;related-urls&gt;&lt;url&gt;http://www.sciencedirect.com/science/article/pii/030438359390193D&lt;/url&gt;&lt;/related-urls&gt;&lt;/urls&gt;&lt;electronic-resource-num&gt;http://dx.doi.org/10.1016/0304-3835(93)90193-D&lt;/electronic-resource-num&gt;&lt;/record&gt;&lt;/Cite&gt;&lt;/EndNote&gt;</w:instrText>
        </w:r>
        <w:r w:rsidR="00512D09">
          <w:rPr>
            <w:rFonts w:cs="Times New Roman"/>
            <w:lang w:val="en-US"/>
          </w:rPr>
          <w:fldChar w:fldCharType="separate"/>
        </w:r>
        <w:r w:rsidR="00512D09" w:rsidRPr="0057696F">
          <w:rPr>
            <w:rFonts w:cs="Times New Roman"/>
            <w:noProof/>
            <w:vertAlign w:val="superscript"/>
            <w:lang w:val="en-US"/>
          </w:rPr>
          <w:t>313</w:t>
        </w:r>
        <w:r w:rsidR="00512D09">
          <w:rPr>
            <w:rFonts w:cs="Times New Roman"/>
            <w:lang w:val="en-US"/>
          </w:rPr>
          <w:fldChar w:fldCharType="end"/>
        </w:r>
      </w:hyperlink>
      <w:r>
        <w:rPr>
          <w:rFonts w:cs="Times New Roman"/>
          <w:lang w:val="en-US"/>
        </w:rPr>
        <w:t xml:space="preserve"> UV radiation in the form of sunlight has been shown to induce skin cancer. One group of mice received UVB exposure and were fed 2% phytate in drinking water whilst the other group were exposed to solely UVB. The </w:t>
      </w:r>
      <w:r w:rsidRPr="002973BD">
        <w:rPr>
          <w:rFonts w:cs="Times New Roman"/>
          <w:lang w:val="en-US"/>
        </w:rPr>
        <w:t>p</w:t>
      </w:r>
      <w:r w:rsidR="00CD2CCB">
        <w:rPr>
          <w:rFonts w:cs="Times New Roman"/>
          <w:lang w:val="en-US"/>
        </w:rPr>
        <w:t>hytate fed mice had a lower tumour</w:t>
      </w:r>
      <w:r w:rsidRPr="002973BD">
        <w:rPr>
          <w:rFonts w:cs="Times New Roman"/>
          <w:lang w:val="en-US"/>
        </w:rPr>
        <w:t xml:space="preserve"> amount than those that </w:t>
      </w:r>
      <w:r w:rsidRPr="002973BD">
        <w:rPr>
          <w:rFonts w:cs="Times New Roman"/>
          <w:lang w:val="en-US"/>
        </w:rPr>
        <w:lastRenderedPageBreak/>
        <w:t xml:space="preserve">were just exposed to UV indicating a potential </w:t>
      </w:r>
      <w:r w:rsidRPr="002973BD">
        <w:rPr>
          <w:color w:val="000000"/>
          <w:shd w:val="clear" w:color="auto" w:fill="FFFFFF"/>
        </w:rPr>
        <w:t>antiphotocarcinogenic effect</w:t>
      </w:r>
      <w:r>
        <w:rPr>
          <w:color w:val="000000"/>
          <w:shd w:val="clear" w:color="auto" w:fill="FFFFFF"/>
        </w:rPr>
        <w:t xml:space="preserve"> of phytate in drinking water. </w:t>
      </w:r>
      <w:hyperlink w:anchor="_ENREF_314" w:tooltip="Kolappaswamy, 2009 #662" w:history="1">
        <w:r w:rsidR="00512D09">
          <w:rPr>
            <w:color w:val="000000"/>
            <w:shd w:val="clear" w:color="auto" w:fill="FFFFFF"/>
          </w:rPr>
          <w:fldChar w:fldCharType="begin"/>
        </w:r>
        <w:r w:rsidR="00512D09">
          <w:rPr>
            <w:color w:val="000000"/>
            <w:shd w:val="clear" w:color="auto" w:fill="FFFFFF"/>
          </w:rPr>
          <w:instrText xml:space="preserve"> ADDIN EN.CITE &lt;EndNote&gt;&lt;Cite&gt;&lt;Author&gt;Kolappaswamy&lt;/Author&gt;&lt;Year&gt;2009&lt;/Year&gt;&lt;RecNum&gt;662&lt;/RecNum&gt;&lt;DisplayText&gt;&lt;style face="superscript"&gt;314&lt;/style&gt;&lt;/DisplayText&gt;&lt;record&gt;&lt;rec-number&gt;662&lt;/rec-number&gt;&lt;foreign-keys&gt;&lt;key app="EN" db-id="5trrespwzsdr07efd5tx2w96x22re9s0fsdt"&gt;662&lt;/key&gt;&lt;/foreign-keys&gt;&lt;ref-type name="Journal Article"&gt;17&lt;/ref-type&gt;&lt;contributors&gt;&lt;authors&gt;&lt;author&gt;Kolappaswamy, Krishnan&lt;/author&gt;&lt;author&gt;Williams, Kendra A.&lt;/author&gt;&lt;author&gt;Benazzi, Cinzia&lt;/author&gt;&lt;author&gt;Sarli, Giuseppe&lt;/author&gt;&lt;author&gt;McLeod, Charles G.&lt;/author&gt;&lt;author&gt;Vucenik, Ivana&lt;/author&gt;&lt;author&gt;DeTolla, Louis J.&lt;/author&gt;&lt;/authors&gt;&lt;/contributors&gt;&lt;titles&gt;&lt;title&gt;Effect of Inositol Hexaphosphate on the Development of UVB-Induced Skin Tumors in SKH1 Hairless Mice&lt;/title&gt;&lt;secondary-title&gt;Comparative Medicine&lt;/secondary-title&gt;&lt;/titles&gt;&lt;periodical&gt;&lt;full-title&gt;Comparative Medicine&lt;/full-title&gt;&lt;/periodical&gt;&lt;pages&gt;147-152&lt;/pages&gt;&lt;volume&gt;59&lt;/volume&gt;&lt;number&gt;2&lt;/number&gt;&lt;dates&gt;&lt;year&gt;2009&lt;/year&gt;&lt;/dates&gt;&lt;publisher&gt;American Association for Laboratory Animal Science&lt;/publisher&gt;&lt;isbn&gt;1532-0820&lt;/isbn&gt;&lt;accession-num&gt;PMC2703150&lt;/accession-num&gt;&lt;urls&gt;&lt;related-urls&gt;&lt;url&gt;http://www.ncbi.nlm.nih.gov/pmc/articles/PMC2703150/&lt;/url&gt;&lt;/related-urls&gt;&lt;/urls&gt;&lt;remote-database-name&gt;Pmc&lt;/remote-database-name&gt;&lt;/record&gt;&lt;/Cite&gt;&lt;/EndNote&gt;</w:instrText>
        </w:r>
        <w:r w:rsidR="00512D09">
          <w:rPr>
            <w:color w:val="000000"/>
            <w:shd w:val="clear" w:color="auto" w:fill="FFFFFF"/>
          </w:rPr>
          <w:fldChar w:fldCharType="separate"/>
        </w:r>
        <w:r w:rsidR="00512D09" w:rsidRPr="0057696F">
          <w:rPr>
            <w:noProof/>
            <w:color w:val="000000"/>
            <w:shd w:val="clear" w:color="auto" w:fill="FFFFFF"/>
            <w:vertAlign w:val="superscript"/>
          </w:rPr>
          <w:t>314</w:t>
        </w:r>
        <w:r w:rsidR="00512D09">
          <w:rPr>
            <w:color w:val="000000"/>
            <w:shd w:val="clear" w:color="auto" w:fill="FFFFFF"/>
          </w:rPr>
          <w:fldChar w:fldCharType="end"/>
        </w:r>
      </w:hyperlink>
    </w:p>
    <w:p w:rsidR="003703F0" w:rsidRPr="002657F1" w:rsidRDefault="003703F0" w:rsidP="004F269C">
      <w:pPr>
        <w:tabs>
          <w:tab w:val="left" w:pos="993"/>
        </w:tabs>
        <w:spacing w:line="480" w:lineRule="auto"/>
        <w:jc w:val="both"/>
        <w:rPr>
          <w:rFonts w:cs="Helvetica"/>
          <w:iCs/>
          <w:color w:val="000000"/>
          <w:shd w:val="clear" w:color="auto" w:fill="FFFFFF"/>
        </w:rPr>
      </w:pPr>
      <w:r w:rsidRPr="00C11EB4">
        <w:t>However</w:t>
      </w:r>
      <w:r w:rsidR="000F6FBF">
        <w:t>,</w:t>
      </w:r>
      <w:r w:rsidRPr="00C11EB4">
        <w:t xml:space="preserve"> </w:t>
      </w:r>
      <w:r w:rsidR="00CD2CCB">
        <w:t xml:space="preserve">High Performance Liquid Chromatography </w:t>
      </w:r>
      <w:r w:rsidR="004F269C">
        <w:t>(</w:t>
      </w:r>
      <w:r w:rsidRPr="00C11EB4">
        <w:t>HPLC</w:t>
      </w:r>
      <w:r w:rsidR="004F269C">
        <w:t xml:space="preserve">) </w:t>
      </w:r>
      <w:r w:rsidRPr="00C11EB4">
        <w:t xml:space="preserve"> studies </w:t>
      </w:r>
      <w:r>
        <w:t xml:space="preserve">performed by Wilson </w:t>
      </w:r>
      <w:r w:rsidRPr="000975B7">
        <w:rPr>
          <w:i/>
        </w:rPr>
        <w:t>et al</w:t>
      </w:r>
      <w:r w:rsidR="000975B7">
        <w:t>.</w:t>
      </w:r>
      <w:r>
        <w:t xml:space="preserve"> </w:t>
      </w:r>
      <w:r w:rsidRPr="00C11EB4">
        <w:t>identified that the concentration of phytate in human fluids was much lower (below nanomolar concentrations) suggesting there was no extracellular phytate.</w:t>
      </w:r>
      <w:hyperlink w:anchor="_ENREF_315" w:tooltip="Wilson, 2015 #650" w:history="1">
        <w:r w:rsidR="00512D09">
          <w:fldChar w:fldCharType="begin"/>
        </w:r>
        <w:r w:rsidR="00512D09">
          <w:instrText xml:space="preserve"> ADDIN EN.CITE &lt;EndNote&gt;&lt;Cite&gt;&lt;Author&gt;Wilson&lt;/Author&gt;&lt;Year&gt;2015&lt;/Year&gt;&lt;RecNum&gt;650&lt;/RecNum&gt;&lt;DisplayText&gt;&lt;style face="superscript"&gt;315&lt;/style&gt;&lt;/DisplayText&gt;&lt;record&gt;&lt;rec-number&gt;650&lt;/rec-number&gt;&lt;foreign-keys&gt;&lt;key app="EN" db-id="5trrespwzsdr07efd5tx2w96x22re9s0fsdt"&gt;650&lt;/key&gt;&lt;/foreign-keys&gt;&lt;ref-type name="Journal Article"&gt;17&lt;/ref-type&gt;&lt;contributors&gt;&lt;authors&gt;&lt;author&gt;Wilson, Miranda SC&lt;/author&gt;&lt;author&gt;Bulley, Simon J&lt;/author&gt;&lt;author&gt;Pisani, Francesca&lt;/author&gt;&lt;author&gt;Irvine, Robin F&lt;/author&gt;&lt;author&gt;Saiardi, Adolfo&lt;/author&gt;&lt;/authors&gt;&lt;/contributors&gt;&lt;titles&gt;&lt;title&gt;A novel method for the purification of inositol phosphates from biological samples reveals that no phytate is present in human plasma or urine&lt;/title&gt;&lt;secondary-title&gt;Open biology&lt;/secondary-title&gt;&lt;/titles&gt;&lt;periodical&gt;&lt;full-title&gt;Open biology&lt;/full-title&gt;&lt;/periodical&gt;&lt;pages&gt;150014&lt;/pages&gt;&lt;volume&gt;5&lt;/volume&gt;&lt;number&gt;3&lt;/number&gt;&lt;dates&gt;&lt;year&gt;2015&lt;/year&gt;&lt;/dates&gt;&lt;isbn&gt;2046-2441&lt;/isbn&gt;&lt;urls&gt;&lt;/urls&gt;&lt;/record&gt;&lt;/Cite&gt;&lt;/EndNote&gt;</w:instrText>
        </w:r>
        <w:r w:rsidR="00512D09">
          <w:fldChar w:fldCharType="separate"/>
        </w:r>
        <w:r w:rsidR="00512D09" w:rsidRPr="0057696F">
          <w:rPr>
            <w:noProof/>
            <w:vertAlign w:val="superscript"/>
          </w:rPr>
          <w:t>315</w:t>
        </w:r>
        <w:r w:rsidR="00512D09">
          <w:fldChar w:fldCharType="end"/>
        </w:r>
      </w:hyperlink>
      <w:r w:rsidRPr="00C11EB4">
        <w:t xml:space="preserve"> Furthermore, it raises the validity of </w:t>
      </w:r>
      <w:r>
        <w:t xml:space="preserve">phytate </w:t>
      </w:r>
      <w:r w:rsidRPr="00C11EB4">
        <w:rPr>
          <w:vertAlign w:val="subscript"/>
        </w:rPr>
        <w:t xml:space="preserve"> </w:t>
      </w:r>
      <w:r w:rsidRPr="00C11EB4">
        <w:t>as a health food supplement as increasing the dietary levels of Ins</w:t>
      </w:r>
      <w:r w:rsidRPr="00C11EB4">
        <w:rPr>
          <w:i/>
        </w:rPr>
        <w:t>P</w:t>
      </w:r>
      <w:r w:rsidRPr="00C11EB4">
        <w:rPr>
          <w:vertAlign w:val="subscript"/>
        </w:rPr>
        <w:t xml:space="preserve">6 </w:t>
      </w:r>
      <w:r w:rsidRPr="00C11EB4">
        <w:t>did not increase the levels found in the blood or urine</w:t>
      </w:r>
      <w:r>
        <w:t>.</w:t>
      </w:r>
      <w:hyperlink w:anchor="_ENREF_252" w:tooltip="Letcher, 2008 #643" w:history="1">
        <w:r w:rsidR="00512D09">
          <w:fldChar w:fldCharType="begin"/>
        </w:r>
        <w:r w:rsidR="00512D09">
          <w:instrText xml:space="preserve"> ADDIN EN.CITE &lt;EndNote&gt;&lt;Cite&gt;&lt;Author&gt;Letcher&lt;/Author&gt;&lt;Year&gt;2008&lt;/Year&gt;&lt;RecNum&gt;643&lt;/RecNum&gt;&lt;DisplayText&gt;&lt;style face="superscript"&gt;252&lt;/style&gt;&lt;/DisplayText&gt;&lt;record&gt;&lt;rec-number&gt;643&lt;/rec-number&gt;&lt;foreign-keys&gt;&lt;key app="EN" db-id="5trrespwzsdr07efd5tx2w96x22re9s0fsdt"&gt;643&lt;/key&gt;&lt;/foreign-keys&gt;&lt;ref-type name="Journal Article"&gt;17&lt;/ref-type&gt;&lt;contributors&gt;&lt;authors&gt;&lt;author&gt;Letcher, Andrew J&lt;/author&gt;&lt;author&gt;Schell, Michael J&lt;/author&gt;&lt;author&gt;Irvine, Robin F&lt;/author&gt;&lt;/authors&gt;&lt;/contributors&gt;&lt;titles&gt;&lt;title&gt;Do mammals make all their own inositol hexakisphosphate?&lt;/title&gt;&lt;secondary-title&gt;Biochemical Journal&lt;/secondary-title&gt;&lt;/titles&gt;&lt;periodical&gt;&lt;full-title&gt;Biochemical Journal&lt;/full-title&gt;&lt;/periodical&gt;&lt;pages&gt;263-270&lt;/pages&gt;&lt;volume&gt;416&lt;/volume&gt;&lt;number&gt;Pt 2&lt;/number&gt;&lt;dates&gt;&lt;year&gt;2008&lt;/year&gt;&lt;/dates&gt;&lt;publisher&gt;Portland Press Ltd.&lt;/publisher&gt;&lt;isbn&gt;0264-6021&amp;#xD;1470-8728&lt;/isbn&gt;&lt;accession-num&gt;PMC2605958&lt;/accession-num&gt;&lt;urls&gt;&lt;related-urls&gt;&lt;url&gt;http://www.ncbi.nlm.nih.gov/pmc/articles/PMC2605958/&lt;/url&gt;&lt;/related-urls&gt;&lt;/urls&gt;&lt;electronic-resource-num&gt;10.1042/bj20081417&lt;/electronic-resource-num&gt;&lt;remote-database-name&gt;Pmc&lt;/remote-database-name&gt;&lt;/record&gt;&lt;/Cite&gt;&lt;/EndNote&gt;</w:instrText>
        </w:r>
        <w:r w:rsidR="00512D09">
          <w:fldChar w:fldCharType="separate"/>
        </w:r>
        <w:r w:rsidR="00512D09" w:rsidRPr="006421D1">
          <w:rPr>
            <w:noProof/>
            <w:vertAlign w:val="superscript"/>
          </w:rPr>
          <w:t>252</w:t>
        </w:r>
        <w:r w:rsidR="00512D09">
          <w:fldChar w:fldCharType="end"/>
        </w:r>
      </w:hyperlink>
      <w:r>
        <w:t xml:space="preserve"> </w:t>
      </w:r>
      <w:r>
        <w:rPr>
          <w:rFonts w:cs="Times New Roman"/>
          <w:lang w:val="en-US"/>
        </w:rPr>
        <w:t xml:space="preserve">Grases </w:t>
      </w:r>
      <w:r w:rsidRPr="002636E3">
        <w:rPr>
          <w:rFonts w:cs="Times New Roman"/>
          <w:i/>
          <w:lang w:val="en-US"/>
        </w:rPr>
        <w:t>et al</w:t>
      </w:r>
      <w:r w:rsidR="000975B7">
        <w:rPr>
          <w:rFonts w:cs="Times New Roman"/>
          <w:i/>
          <w:lang w:val="en-US"/>
        </w:rPr>
        <w:t>.</w:t>
      </w:r>
      <w:r>
        <w:rPr>
          <w:rFonts w:cs="Times New Roman"/>
          <w:lang w:val="en-US"/>
        </w:rPr>
        <w:t xml:space="preserve"> performed a study where </w:t>
      </w:r>
      <w:r>
        <w:t xml:space="preserve">seven healthy volunteers were put on a phytate poor diet and then at a later stage on a diet containing phytate. In contrast to the studies performed by Letcher </w:t>
      </w:r>
      <w:r w:rsidRPr="006E0714">
        <w:rPr>
          <w:i/>
        </w:rPr>
        <w:t>et al</w:t>
      </w:r>
      <w:r w:rsidR="000975B7">
        <w:rPr>
          <w:i/>
        </w:rPr>
        <w:t>.</w:t>
      </w:r>
      <w:r>
        <w:t xml:space="preserve"> there were increased levels of phytate found in the plasma of those fed a phytate rich diet of 0.393 µmol, a level significantly higher than those on phytate deficient diet of 0.106 µmol. In </w:t>
      </w:r>
      <w:r w:rsidR="008356DA">
        <w:t>addition to this,</w:t>
      </w:r>
      <w:r>
        <w:t xml:space="preserve"> there were increased levels of phytate found in the urine. However, a separate study </w:t>
      </w:r>
      <w:r w:rsidRPr="002636E3">
        <w:t xml:space="preserve">performed by </w:t>
      </w:r>
      <w:r w:rsidRPr="002636E3">
        <w:rPr>
          <w:rFonts w:cs="Helvetica"/>
          <w:iCs/>
          <w:color w:val="000000"/>
          <w:shd w:val="clear" w:color="auto" w:fill="FFFFFF"/>
        </w:rPr>
        <w:t>Letcher</w:t>
      </w:r>
      <w:r w:rsidRPr="002636E3">
        <w:rPr>
          <w:rFonts w:cs="Helvetica"/>
          <w:i/>
          <w:iCs/>
          <w:color w:val="000000"/>
          <w:shd w:val="clear" w:color="auto" w:fill="FFFFFF"/>
        </w:rPr>
        <w:t xml:space="preserve"> et al</w:t>
      </w:r>
      <w:r w:rsidR="000975B7">
        <w:rPr>
          <w:rFonts w:cs="Helvetica"/>
          <w:i/>
          <w:iCs/>
          <w:color w:val="000000"/>
          <w:shd w:val="clear" w:color="auto" w:fill="FFFFFF"/>
        </w:rPr>
        <w:t>.</w:t>
      </w:r>
      <w:r>
        <w:rPr>
          <w:rFonts w:ascii="Helvetica" w:hAnsi="Helvetica" w:cs="Helvetica"/>
          <w:i/>
          <w:iCs/>
          <w:color w:val="000000"/>
          <w:sz w:val="14"/>
          <w:szCs w:val="14"/>
          <w:shd w:val="clear" w:color="auto" w:fill="FFFFFF"/>
        </w:rPr>
        <w:t xml:space="preserve"> </w:t>
      </w:r>
      <w:r>
        <w:t xml:space="preserve">could not find detectable levels of phytate in the urine despite the assay having sensitivity reportedly in the nanomolar range. Even though diet could affect these results and this was not controlled for in the latter study, the reported sensitivity of the assay </w:t>
      </w:r>
      <w:r w:rsidRPr="00822DD1">
        <w:t xml:space="preserve">was </w:t>
      </w:r>
      <w:r w:rsidRPr="00822DD1">
        <w:rPr>
          <w:rFonts w:cs="Helvetica"/>
          <w:color w:val="000000"/>
          <w:shd w:val="clear" w:color="auto" w:fill="FFFFFF"/>
        </w:rPr>
        <w:t>(&lt;5 nM)</w:t>
      </w:r>
      <w:r>
        <w:rPr>
          <w:rFonts w:cs="Helvetica"/>
          <w:color w:val="000000"/>
          <w:shd w:val="clear" w:color="auto" w:fill="FFFFFF"/>
        </w:rPr>
        <w:t xml:space="preserve"> so some detectable level would have been expected given the basal level reported by Grases </w:t>
      </w:r>
      <w:r w:rsidRPr="00822DD1">
        <w:rPr>
          <w:rFonts w:cs="Helvetica"/>
          <w:i/>
          <w:color w:val="000000"/>
          <w:shd w:val="clear" w:color="auto" w:fill="FFFFFF"/>
        </w:rPr>
        <w:t>et al</w:t>
      </w:r>
      <w:r>
        <w:rPr>
          <w:rFonts w:cs="Helvetica"/>
          <w:color w:val="000000"/>
          <w:shd w:val="clear" w:color="auto" w:fill="FFFFFF"/>
        </w:rPr>
        <w:t xml:space="preserve">. It was suggested that the discrepancy was due to the techniques utilised rather than the diet of the volunteers. Grases </w:t>
      </w:r>
      <w:r w:rsidRPr="004D3F23">
        <w:rPr>
          <w:rFonts w:cs="Helvetica"/>
          <w:i/>
          <w:color w:val="000000"/>
          <w:shd w:val="clear" w:color="auto" w:fill="FFFFFF"/>
        </w:rPr>
        <w:t>et al</w:t>
      </w:r>
      <w:r w:rsidR="000975B7">
        <w:rPr>
          <w:rFonts w:cs="Helvetica"/>
          <w:i/>
          <w:color w:val="000000"/>
          <w:shd w:val="clear" w:color="auto" w:fill="FFFFFF"/>
        </w:rPr>
        <w:t>.</w:t>
      </w:r>
      <w:r>
        <w:rPr>
          <w:rFonts w:cs="Helvetica"/>
          <w:color w:val="000000"/>
          <w:shd w:val="clear" w:color="auto" w:fill="FFFFFF"/>
        </w:rPr>
        <w:t xml:space="preserve"> uses ion chromatography and </w:t>
      </w:r>
      <w:r w:rsidRPr="0065624A">
        <w:rPr>
          <w:rFonts w:cs="Helvetica"/>
          <w:color w:val="000000"/>
          <w:shd w:val="clear" w:color="auto" w:fill="FFFFFF"/>
        </w:rPr>
        <w:t xml:space="preserve">dephosphorylates </w:t>
      </w:r>
      <w:r>
        <w:rPr>
          <w:rFonts w:cs="Helvetica"/>
          <w:color w:val="000000"/>
          <w:shd w:val="clear" w:color="auto" w:fill="FFFFFF"/>
        </w:rPr>
        <w:t xml:space="preserve">the phytate into </w:t>
      </w:r>
      <w:r w:rsidRPr="0065624A">
        <w:rPr>
          <w:rFonts w:cs="Helvetica"/>
          <w:color w:val="000000"/>
          <w:shd w:val="clear" w:color="auto" w:fill="FFFFFF"/>
        </w:rPr>
        <w:t>inositol</w:t>
      </w:r>
      <w:r>
        <w:rPr>
          <w:rFonts w:cs="Helvetica"/>
          <w:color w:val="000000"/>
          <w:shd w:val="clear" w:color="auto" w:fill="FFFFFF"/>
        </w:rPr>
        <w:t xml:space="preserve"> which is then measured using mass spectrophotometry. This method relies on the ion chromatography to be able to purify phytate from other </w:t>
      </w:r>
      <w:r w:rsidRPr="0065624A">
        <w:rPr>
          <w:rFonts w:cs="Helvetica"/>
          <w:color w:val="000000"/>
          <w:shd w:val="clear" w:color="auto" w:fill="FFFFFF"/>
        </w:rPr>
        <w:t xml:space="preserve">phosphorylated </w:t>
      </w:r>
      <w:r>
        <w:rPr>
          <w:rFonts w:cs="Helvetica"/>
          <w:color w:val="000000"/>
          <w:shd w:val="clear" w:color="auto" w:fill="FFFFFF"/>
        </w:rPr>
        <w:t xml:space="preserve">inositols. If it does not, then the amount of phytate will seem higher in the sample being studied. </w:t>
      </w:r>
      <w:r w:rsidRPr="002636E3">
        <w:rPr>
          <w:rFonts w:cs="Helvetica"/>
          <w:iCs/>
          <w:color w:val="000000"/>
          <w:shd w:val="clear" w:color="auto" w:fill="FFFFFF"/>
        </w:rPr>
        <w:t>Letcher</w:t>
      </w:r>
      <w:r w:rsidRPr="002636E3">
        <w:rPr>
          <w:rFonts w:cs="Helvetica"/>
          <w:i/>
          <w:iCs/>
          <w:color w:val="000000"/>
          <w:shd w:val="clear" w:color="auto" w:fill="FFFFFF"/>
        </w:rPr>
        <w:t xml:space="preserve"> </w:t>
      </w:r>
      <w:r w:rsidRPr="006E0714">
        <w:rPr>
          <w:rFonts w:cs="Helvetica"/>
          <w:i/>
          <w:iCs/>
          <w:color w:val="000000"/>
          <w:shd w:val="clear" w:color="auto" w:fill="FFFFFF"/>
        </w:rPr>
        <w:t>et a</w:t>
      </w:r>
      <w:r w:rsidRPr="006E0714">
        <w:rPr>
          <w:i/>
        </w:rPr>
        <w:t>l</w:t>
      </w:r>
      <w:r w:rsidR="000975B7">
        <w:t xml:space="preserve">. </w:t>
      </w:r>
      <w:r w:rsidRPr="00F97917">
        <w:t xml:space="preserve">used a </w:t>
      </w:r>
      <w:r>
        <w:t>p</w:t>
      </w:r>
      <w:r w:rsidRPr="00F97917">
        <w:t xml:space="preserve">olyacrylamide gel electrophoresis </w:t>
      </w:r>
      <w:r>
        <w:rPr>
          <w:rFonts w:cs="Helvetica"/>
          <w:iCs/>
          <w:color w:val="000000"/>
          <w:shd w:val="clear" w:color="auto" w:fill="FFFFFF"/>
        </w:rPr>
        <w:t xml:space="preserve">based method that allows the visual detection of phytate. The latter method is a direct measure of phytate so it may be more accurate. They suggest the reason that why extracellular phytate is so low is that an extracellular phosphatase breaks down phytate into </w:t>
      </w:r>
      <w:r>
        <w:t>Ins(1,2,4,5,6)P</w:t>
      </w:r>
      <w:r w:rsidRPr="00010F9E">
        <w:rPr>
          <w:vertAlign w:val="subscript"/>
        </w:rPr>
        <w:t>5</w:t>
      </w:r>
      <w:r>
        <w:t xml:space="preserve"> suggesting that no extracellular </w:t>
      </w:r>
      <w:r>
        <w:lastRenderedPageBreak/>
        <w:t>phytate can exist. However, the original authors that discovered the enzyme suggested that it was a protective measure by cancer cells to protect against phytate.</w:t>
      </w:r>
      <w:hyperlink w:anchor="_ENREF_316" w:tooltip="Windhorst, 2013 #666" w:history="1">
        <w:r w:rsidR="00512D09">
          <w:fldChar w:fldCharType="begin"/>
        </w:r>
        <w:r w:rsidR="00512D09">
          <w:instrText xml:space="preserve"> ADDIN EN.CITE &lt;EndNote&gt;&lt;Cite&gt;&lt;Author&gt;Windhorst&lt;/Author&gt;&lt;Year&gt;2013&lt;/Year&gt;&lt;RecNum&gt;666&lt;/RecNum&gt;&lt;DisplayText&gt;&lt;style face="superscript"&gt;316&lt;/style&gt;&lt;/DisplayText&gt;&lt;record&gt;&lt;rec-number&gt;666&lt;/rec-number&gt;&lt;foreign-keys&gt;&lt;key app="EN" db-id="5trrespwzsdr07efd5tx2w96x22re9s0fsdt"&gt;666&lt;/key&gt;&lt;/foreign-keys&gt;&lt;ref-type name="Journal Article"&gt;17&lt;/ref-type&gt;&lt;contributors&gt;&lt;authors&gt;&lt;author&gt;Windhorst, Sabine&lt;/author&gt;&lt;author&gt;Lin, Hongying&lt;/author&gt;&lt;author&gt;Blechner, Christine&lt;/author&gt;&lt;author&gt;Fanick, Werner&lt;/author&gt;&lt;author&gt;Brandt, Laura&lt;/author&gt;&lt;author&gt;Brehm, Maria A.&lt;/author&gt;&lt;author&gt;Mayr, Georg W.&lt;/author&gt;&lt;/authors&gt;&lt;/contributors&gt;&lt;titles&gt;&lt;title&gt;Tumour cells can employ extracellular Ins(1,2,3,4,5,6)P6 and multiple inositol-polyphosphate phosphatase 1 (MINPP1) dephosphorylation to improve their proliferation&lt;/title&gt;&lt;secondary-title&gt;Biochemical Journal&lt;/secondary-title&gt;&lt;/titles&gt;&lt;periodical&gt;&lt;full-title&gt;Biochemical Journal&lt;/full-title&gt;&lt;/periodical&gt;&lt;pages&gt;115-125&lt;/pages&gt;&lt;volume&gt;450&lt;/volume&gt;&lt;number&gt;1&lt;/number&gt;&lt;dates&gt;&lt;year&gt;2013&lt;/year&gt;&lt;pub-dates&gt;&lt;date&gt;2013-02-15 00:00:00&lt;/date&gt;&lt;/pub-dates&gt;&lt;/dates&gt;&lt;urls&gt;&lt;related-urls&gt;&lt;url&gt;http://www.biochemj.org/ppbiochemj/450/1/115.full.pdf&lt;/url&gt;&lt;/related-urls&gt;&lt;/urls&gt;&lt;electronic-resource-num&gt;10.1042/bj20121524&lt;/electronic-resource-num&gt;&lt;/record&gt;&lt;/Cite&gt;&lt;/EndNote&gt;</w:instrText>
        </w:r>
        <w:r w:rsidR="00512D09">
          <w:fldChar w:fldCharType="separate"/>
        </w:r>
        <w:r w:rsidR="00512D09" w:rsidRPr="0057696F">
          <w:rPr>
            <w:noProof/>
            <w:vertAlign w:val="superscript"/>
          </w:rPr>
          <w:t>316</w:t>
        </w:r>
        <w:r w:rsidR="00512D09">
          <w:fldChar w:fldCharType="end"/>
        </w:r>
      </w:hyperlink>
      <w:r>
        <w:t xml:space="preserve"> In addition to this, cancerous cells may release phytate upon necrosis meaning the enzyme may also have a role in recycling inositol and phosphate allowing for further mitosis.</w:t>
      </w:r>
      <w:hyperlink w:anchor="_ENREF_316" w:tooltip="Windhorst, 2013 #666" w:history="1">
        <w:r w:rsidR="00512D09">
          <w:fldChar w:fldCharType="begin"/>
        </w:r>
        <w:r w:rsidR="00512D09">
          <w:instrText xml:space="preserve"> ADDIN EN.CITE &lt;EndNote&gt;&lt;Cite&gt;&lt;Author&gt;Windhorst&lt;/Author&gt;&lt;Year&gt;2013&lt;/Year&gt;&lt;RecNum&gt;666&lt;/RecNum&gt;&lt;DisplayText&gt;&lt;style face="superscript"&gt;316&lt;/style&gt;&lt;/DisplayText&gt;&lt;record&gt;&lt;rec-number&gt;666&lt;/rec-number&gt;&lt;foreign-keys&gt;&lt;key app="EN" db-id="5trrespwzsdr07efd5tx2w96x22re9s0fsdt"&gt;666&lt;/key&gt;&lt;/foreign-keys&gt;&lt;ref-type name="Journal Article"&gt;17&lt;/ref-type&gt;&lt;contributors&gt;&lt;authors&gt;&lt;author&gt;Windhorst, Sabine&lt;/author&gt;&lt;author&gt;Lin, Hongying&lt;/author&gt;&lt;author&gt;Blechner, Christine&lt;/author&gt;&lt;author&gt;Fanick, Werner&lt;/author&gt;&lt;author&gt;Brandt, Laura&lt;/author&gt;&lt;author&gt;Brehm, Maria A.&lt;/author&gt;&lt;author&gt;Mayr, Georg W.&lt;/author&gt;&lt;/authors&gt;&lt;/contributors&gt;&lt;titles&gt;&lt;title&gt;Tumour cells can employ extracellular Ins(1,2,3,4,5,6)P6 and multiple inositol-polyphosphate phosphatase 1 (MINPP1) dephosphorylation to improve their proliferation&lt;/title&gt;&lt;secondary-title&gt;Biochemical Journal&lt;/secondary-title&gt;&lt;/titles&gt;&lt;periodical&gt;&lt;full-title&gt;Biochemical Journal&lt;/full-title&gt;&lt;/periodical&gt;&lt;pages&gt;115-125&lt;/pages&gt;&lt;volume&gt;450&lt;/volume&gt;&lt;number&gt;1&lt;/number&gt;&lt;dates&gt;&lt;year&gt;2013&lt;/year&gt;&lt;pub-dates&gt;&lt;date&gt;2013-02-15 00:00:00&lt;/date&gt;&lt;/pub-dates&gt;&lt;/dates&gt;&lt;urls&gt;&lt;related-urls&gt;&lt;url&gt;http://www.biochemj.org/ppbiochemj/450/1/115.full.pdf&lt;/url&gt;&lt;/related-urls&gt;&lt;/urls&gt;&lt;electronic-resource-num&gt;10.1042/bj20121524&lt;/electronic-resource-num&gt;&lt;/record&gt;&lt;/Cite&gt;&lt;/EndNote&gt;</w:instrText>
        </w:r>
        <w:r w:rsidR="00512D09">
          <w:fldChar w:fldCharType="separate"/>
        </w:r>
        <w:r w:rsidR="00512D09" w:rsidRPr="0057696F">
          <w:rPr>
            <w:noProof/>
            <w:vertAlign w:val="superscript"/>
          </w:rPr>
          <w:t>316</w:t>
        </w:r>
        <w:r w:rsidR="00512D09">
          <w:fldChar w:fldCharType="end"/>
        </w:r>
      </w:hyperlink>
      <w:r>
        <w:t xml:space="preserve"> BSA is known to bind anionic ligands and so it could be suggested that the discrepancy between the studies may be possibly be due to albumins binding phytate either irreversibly or strongly. In addition to this if phytate does have an anticancer role, it is vital to determine how it could be transported around the blood and how strongly it binds to BSA.</w:t>
      </w:r>
    </w:p>
    <w:p w:rsidR="003703F0" w:rsidRPr="00C11EB4" w:rsidRDefault="003703F0" w:rsidP="003703F0">
      <w:pPr>
        <w:spacing w:line="480" w:lineRule="auto"/>
        <w:jc w:val="both"/>
      </w:pPr>
      <w:r>
        <w:t>Phytate</w:t>
      </w:r>
      <w:r w:rsidRPr="00C11EB4">
        <w:rPr>
          <w:vertAlign w:val="subscript"/>
        </w:rPr>
        <w:t xml:space="preserve"> </w:t>
      </w:r>
      <w:r w:rsidRPr="00C11EB4">
        <w:t>is believed to have a signalling function, notably a role in activating protein kinase c which then acts to increase insulin secretio</w:t>
      </w:r>
      <w:r>
        <w:t>n.</w:t>
      </w:r>
      <w:hyperlink w:anchor="_ENREF_317" w:tooltip="Efanov, 1997 #654" w:history="1">
        <w:r w:rsidR="00512D09">
          <w:fldChar w:fldCharType="begin">
            <w:fldData xml:space="preserve">PEVuZE5vdGU+PENpdGU+PEF1dGhvcj5FZmFub3Y8L0F1dGhvcj48WWVhcj4xOTk3PC9ZZWFyPjxS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YWw+PHBhZ2VzPjQ0MzUtOTwvcGFnZXM+PHZvbHVtZT45NDwvdm9sdW1lPjxudW1iZXI+OTwvbnVt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</w:fldData>
          </w:fldChar>
        </w:r>
        <w:r w:rsidR="00512D09">
          <w:instrText xml:space="preserve"> ADDIN EN.CITE </w:instrText>
        </w:r>
        <w:r w:rsidR="00512D09">
          <w:fldChar w:fldCharType="begin">
            <w:fldData xml:space="preserve">PEVuZE5vdGU+PENpdGU+PEF1dGhvcj5FZmFub3Y8L0F1dGhvcj48WWVhcj4xOTk3PC9ZZWFyPjxS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YWw+PHBhZ2VzPjQ0MzUtOTwvcGFnZXM+PHZvbHVtZT45NDwvdm9sdW1lPjxudW1iZXI+OTwvbnVt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</w:fldData>
          </w:fldChar>
        </w:r>
        <w:r w:rsidR="00512D09">
          <w:instrText xml:space="preserve"> ADDIN EN.CITE.DATA </w:instrText>
        </w:r>
        <w:r w:rsidR="00512D09">
          <w:fldChar w:fldCharType="end"/>
        </w:r>
        <w:r w:rsidR="00512D09">
          <w:fldChar w:fldCharType="separate"/>
        </w:r>
        <w:r w:rsidR="00512D09" w:rsidRPr="0057696F">
          <w:rPr>
            <w:noProof/>
            <w:vertAlign w:val="superscript"/>
          </w:rPr>
          <w:t>317</w:t>
        </w:r>
        <w:r w:rsidR="00512D09">
          <w:fldChar w:fldCharType="end"/>
        </w:r>
      </w:hyperlink>
      <w:r>
        <w:t xml:space="preserve"> </w:t>
      </w:r>
      <w:r w:rsidRPr="00C11EB4">
        <w:t>has also been shown to be integral in mRNA transport by increasing the catalytic efficiency of enzymes involved</w:t>
      </w:r>
      <w:r>
        <w:t>.</w:t>
      </w:r>
      <w:hyperlink w:anchor="_ENREF_318" w:tooltip="Alcazar-Roman, 2006 #655" w:history="1">
        <w:r w:rsidR="00512D09">
          <w:fldChar w:fldCharType="begin"/>
        </w:r>
        <w:r w:rsidR="00512D09">
          <w:instrText xml:space="preserve"> ADDIN EN.CITE &lt;EndNote&gt;&lt;Cite&gt;&lt;Author&gt;Alcazar-Roman&lt;/Author&gt;&lt;Year&gt;2006&lt;/Year&gt;&lt;RecNum&gt;655&lt;/RecNum&gt;&lt;DisplayText&gt;&lt;style face="superscript"&gt;318&lt;/style&gt;&lt;/DisplayText&gt;&lt;record&gt;&lt;rec-number&gt;655&lt;/rec-number&gt;&lt;foreign-keys&gt;&lt;key app="EN" db-id="5trrespwzsdr07efd5tx2w96x22re9s0fsdt"&gt;655&lt;/key&gt;&lt;/foreign-keys&gt;&lt;ref-type name="Journal Article"&gt;17&lt;/ref-type&gt;&lt;contributors&gt;&lt;authors&gt;&lt;author&gt;Alcazar-Roman, Abel R.&lt;/author&gt;&lt;author&gt;Tran, Elizabeth J.&lt;/author&gt;&lt;author&gt;Guo, Shuangli&lt;/author&gt;&lt;author&gt;Wente, Susan R.&lt;/author&gt;&lt;/authors&gt;&lt;/contributors&gt;&lt;titles&gt;&lt;title&gt;Inositol hexakisphosphate and Gle1 activate the DEAD-box protein Dbp5 for nuclear mRNA export&lt;/title&gt;&lt;secondary-title&gt;Nature Cell Biology&lt;/secondary-title&gt;&lt;/titles&gt;&lt;periodical&gt;&lt;full-title&gt;Nature Cell Biology&lt;/full-title&gt;&lt;/periodical&gt;&lt;pages&gt;711-716&lt;/pages&gt;&lt;volume&gt;8&lt;/volume&gt;&lt;number&gt;7&lt;/number&gt;&lt;dates&gt;&lt;year&gt;2006&lt;/year&gt;&lt;/dates&gt;&lt;publisher&gt;Nature Publishing Group&lt;/publisher&gt;&lt;isbn&gt;1465-7392&lt;/isbn&gt;&lt;work-type&gt;10.1038/ncb1427&lt;/work-type&gt;&lt;urls&gt;&lt;related-urls&gt;&lt;url&gt;http://dx.doi.org/10.1038/ncb1427&lt;/url&gt;&lt;/related-urls&gt;&lt;/urls&gt;&lt;electronic-resource-num&gt;http://www.nature.com/ncb/journal/v8/n7/suppinfo/ncb1427_S1.html&lt;/electronic-resource-num&gt;&lt;/record&gt;&lt;/Cite&gt;&lt;/EndNote&gt;</w:instrText>
        </w:r>
        <w:r w:rsidR="00512D09">
          <w:fldChar w:fldCharType="separate"/>
        </w:r>
        <w:r w:rsidR="00512D09" w:rsidRPr="0057696F">
          <w:rPr>
            <w:noProof/>
            <w:vertAlign w:val="superscript"/>
          </w:rPr>
          <w:t>318</w:t>
        </w:r>
        <w:r w:rsidR="00512D09">
          <w:fldChar w:fldCharType="end"/>
        </w:r>
      </w:hyperlink>
      <w:r>
        <w:t xml:space="preserve"> </w:t>
      </w:r>
      <w:r w:rsidRPr="00C11EB4">
        <w:t>Additionally, crystallography revealed ADAR2, an RNA editing en</w:t>
      </w:r>
      <w:r>
        <w:t>zyme, could be stabilised by phytate</w:t>
      </w:r>
      <w:r w:rsidRPr="00C11EB4">
        <w:t>.</w:t>
      </w:r>
      <w:r>
        <w:t xml:space="preserve"> Expressing the enzyme in an phytate</w:t>
      </w:r>
      <w:r w:rsidRPr="00C11EB4">
        <w:rPr>
          <w:vertAlign w:val="subscript"/>
        </w:rPr>
        <w:t xml:space="preserve"> </w:t>
      </w:r>
      <w:r w:rsidRPr="00C11EB4">
        <w:t>deficient mutant abolished RNA editing activity</w:t>
      </w:r>
      <w:r>
        <w:t>.</w:t>
      </w:r>
      <w:hyperlink w:anchor="_ENREF_319" w:tooltip="Macbeth, 2005 #656" w:history="1">
        <w:r w:rsidR="00512D09">
          <w:fldChar w:fldCharType="begin"/>
        </w:r>
        <w:r w:rsidR="00512D09">
          <w:instrText xml:space="preserve"> ADDIN EN.CITE &lt;EndNote&gt;&lt;Cite&gt;&lt;Author&gt;Macbeth&lt;/Author&gt;&lt;Year&gt;2005&lt;/Year&gt;&lt;RecNum&gt;656&lt;/RecNum&gt;&lt;DisplayText&gt;&lt;style face="superscript"&gt;319&lt;/style&gt;&lt;/DisplayText&gt;&lt;record&gt;&lt;rec-number&gt;656&lt;/rec-number&gt;&lt;foreign-keys&gt;&lt;key app="EN" db-id="5trrespwzsdr07efd5tx2w96x22re9s0fsdt"&gt;656&lt;/key&gt;&lt;/foreign-keys&gt;&lt;ref-type name="Journal Article"&gt;17&lt;/ref-type&gt;&lt;contributors&gt;&lt;authors&gt;&lt;author&gt;Macbeth, Mark R.&lt;/author&gt;&lt;author&gt;Schubert, Heidi L.&lt;/author&gt;&lt;author&gt;VanDemark, Andrew P.&lt;/author&gt;&lt;author&gt;Lingam, Arunth T.&lt;/author&gt;&lt;author&gt;Hill, Christopher P.&lt;/author&gt;&lt;author&gt;Bass, Brenda L.&lt;/author&gt;&lt;/authors&gt;&lt;/contributors&gt;&lt;titles&gt;&lt;title&gt;Inositol Hexakisphosphate Is Bound in the ADAR2 Core and Required for RNA Editing&lt;/title&gt;&lt;secondary-title&gt;Science&lt;/secondary-title&gt;&lt;/titles&gt;&lt;periodical&gt;&lt;full-title&gt;Science&lt;/full-title&gt;&lt;abbr-1&gt;Science&lt;/abbr-1&gt;&lt;/periodical&gt;&lt;pages&gt;1534-1539&lt;/pages&gt;&lt;volume&gt;309&lt;/volume&gt;&lt;number&gt;5740&lt;/number&gt;&lt;dates&gt;&lt;year&gt;2005&lt;/year&gt;&lt;pub-dates&gt;&lt;date&gt;September 2, 2005&lt;/date&gt;&lt;/pub-dates&gt;&lt;/dates&gt;&lt;urls&gt;&lt;related-urls&gt;&lt;url&gt;http://www.sciencemag.org/content/309/5740/1534.abstract&lt;/url&gt;&lt;/related-urls&gt;&lt;/urls&gt;&lt;electronic-resource-num&gt;10.1126/science.1113150&lt;/electronic-resource-num&gt;&lt;/record&gt;&lt;/Cite&gt;&lt;/EndNote&gt;</w:instrText>
        </w:r>
        <w:r w:rsidR="00512D09">
          <w:fldChar w:fldCharType="separate"/>
        </w:r>
        <w:r w:rsidR="00512D09" w:rsidRPr="0057696F">
          <w:rPr>
            <w:noProof/>
            <w:vertAlign w:val="superscript"/>
          </w:rPr>
          <w:t>319</w:t>
        </w:r>
        <w:r w:rsidR="00512D09">
          <w:fldChar w:fldCharType="end"/>
        </w:r>
      </w:hyperlink>
      <w:r w:rsidRPr="00C11EB4">
        <w:t xml:space="preserve"> </w:t>
      </w:r>
    </w:p>
    <w:p w:rsidR="003703F0" w:rsidRPr="00C11EB4" w:rsidRDefault="003703F0" w:rsidP="003703F0">
      <w:pPr>
        <w:spacing w:line="480" w:lineRule="auto"/>
        <w:jc w:val="both"/>
      </w:pPr>
      <w:r w:rsidRPr="00C11EB4">
        <w:t>Although there are numerous roles for endogenous, cellular phytate required for homeostasis, exogenous phytate found in animal feeds presents a nutritional problem.</w:t>
      </w:r>
      <w:hyperlink w:anchor="_ENREF_291" w:tooltip="Selle, 2000 #608" w:history="1">
        <w:r w:rsidR="00512D09">
          <w:fldChar w:fldCharType="begin"/>
        </w:r>
        <w:r w:rsidR="00512D09">
          <w:instrText xml:space="preserve"> ADDIN EN.CITE &lt;EndNote&gt;&lt;Cite&gt;&lt;Author&gt;Selle&lt;/Author&gt;&lt;Year&gt;2000&lt;/Year&gt;&lt;RecNum&gt;608&lt;/RecNum&gt;&lt;DisplayText&gt;&lt;style face="superscript"&gt;291&lt;/style&gt;&lt;/DisplayText&gt;&lt;record&gt;&lt;rec-number&gt;608&lt;/rec-number&gt;&lt;foreign-keys&gt;&lt;key app="EN" db-id="5trrespwzsdr07efd5tx2w96x22re9s0fsdt"&gt;608&lt;/key&gt;&lt;/foreign-keys&gt;&lt;ref-type name="Journal Article"&gt;17&lt;/ref-type&gt;&lt;contributors&gt;&lt;authors&gt;&lt;author&gt;Selle,P H&lt;/author&gt;&lt;author&gt;Ravindran,V&lt;/author&gt;&lt;author&gt;Caldwell,A&lt;/author&gt;&lt;author&gt;Bryden,W. L&lt;/author&gt;&lt;/authors&gt;&lt;/contributors&gt;&lt;titles&gt;&lt;title&gt;Phytate and phytase: consequences for protein utilisation&lt;/title&gt;&lt;secondary-title&gt;Nutrition Research Reviews&lt;/secondary-title&gt;&lt;/titles&gt;&lt;periodical&gt;&lt;full-title&gt;Nutrition Research Reviews&lt;/full-title&gt;&lt;/periodical&gt;&lt;pages&gt;255-278&lt;/pages&gt;&lt;volume&gt;13&lt;/volume&gt;&lt;number&gt;02&lt;/number&gt;&lt;dates&gt;&lt;year&gt;2000&lt;/year&gt;&lt;/dates&gt;&lt;isbn&gt;1475-2700&lt;/isbn&gt;&lt;urls&gt;&lt;related-urls&gt;&lt;url&gt;http://dx.doi.org/10.1079/095442200108729098&lt;/url&gt;&lt;/related-urls&gt;&lt;/urls&gt;&lt;electronic-resource-num&gt;doi:10.1079/095442200108729098&lt;/electronic-resource-num&gt;&lt;access-date&gt;2000&lt;/access-date&gt;&lt;/record&gt;&lt;/Cite&gt;&lt;/EndNote&gt;</w:instrText>
        </w:r>
        <w:r w:rsidR="00512D09">
          <w:fldChar w:fldCharType="separate"/>
        </w:r>
        <w:r w:rsidR="00512D09" w:rsidRPr="0057696F">
          <w:rPr>
            <w:noProof/>
            <w:vertAlign w:val="superscript"/>
          </w:rPr>
          <w:t>291</w:t>
        </w:r>
        <w:r w:rsidR="00512D09">
          <w:fldChar w:fldCharType="end"/>
        </w:r>
      </w:hyperlink>
      <w:r w:rsidRPr="00C11EB4">
        <w:t xml:space="preserve"> Phytate has been shown to reduce the solubility of both mineral ions and proteins in seeds impairing nutrient bioavailability, as monogastic animals such as pigs and chickens do not have the enzymes required to break down phytate.</w:t>
      </w:r>
      <w:hyperlink w:anchor="_ENREF_248" w:tooltip="Selle, 2012 #610" w:history="1">
        <w:r w:rsidR="00512D09">
          <w:fldChar w:fldCharType="begin"/>
        </w:r>
        <w:r w:rsidR="00512D09">
          <w:instrText xml:space="preserve"> ADDIN EN.CITE &lt;EndNote&gt;&lt;Cite&gt;&lt;Author&gt;Selle&lt;/Author&gt;&lt;Year&gt;2012&lt;/Year&gt;&lt;RecNum&gt;610&lt;/RecNum&gt;&lt;DisplayText&gt;&lt;style face="superscript"&gt;248&lt;/style&gt;&lt;/DisplayText&gt;&lt;record&gt;&lt;rec-number&gt;610&lt;/rec-number&gt;&lt;foreign-keys&gt;&lt;key app="EN" db-id="5trrespwzsdr07efd5tx2w96x22re9s0fsdt"&gt;610&lt;/key&gt;&lt;/foreign-keys&gt;&lt;ref-type name="Journal Article"&gt;17&lt;/ref-type&gt;&lt;contributors&gt;&lt;authors&gt;&lt;author&gt;Selle, Peter H&lt;/author&gt;&lt;author&gt;Cowieson, Aaron J&lt;/author&gt;&lt;author&gt;Cowieson, Nathan P&lt;/author&gt;&lt;author&gt;Ravindran, V&lt;/author&gt;&lt;/authors&gt;&lt;/contributors&gt;&lt;titles&gt;&lt;title&gt;Protein–phytate interactions in pig and poultry nutrition: a reappraisal&lt;/title&gt;&lt;secondary-title&gt;Nutrition Research Reviews&lt;/secondary-title&gt;&lt;/titles&gt;&lt;periodical&gt;&lt;full-title&gt;Nutrition Research Reviews&lt;/full-title&gt;&lt;/periodical&gt;&lt;pages&gt;1-17&lt;/pages&gt;&lt;volume&gt;25&lt;/volume&gt;&lt;number&gt;01&lt;/number&gt;&lt;dates&gt;&lt;year&gt;2012&lt;/year&gt;&lt;/dates&gt;&lt;isbn&gt;1475-2700&lt;/isbn&gt;&lt;urls&gt;&lt;/urls&gt;&lt;/record&gt;&lt;/Cite&gt;&lt;/EndNote&gt;</w:instrText>
        </w:r>
        <w:r w:rsidR="00512D09">
          <w:fldChar w:fldCharType="separate"/>
        </w:r>
        <w:r w:rsidR="00512D09" w:rsidRPr="006421D1">
          <w:rPr>
            <w:noProof/>
            <w:vertAlign w:val="superscript"/>
          </w:rPr>
          <w:t>248</w:t>
        </w:r>
        <w:r w:rsidR="00512D09">
          <w:fldChar w:fldCharType="end"/>
        </w:r>
      </w:hyperlink>
      <w:r w:rsidRPr="00C11EB4">
        <w:t xml:space="preserve"> Furthermore, evidence suggests that phytate-protein complexes are less susceptible to proteolysis than protein alone.</w:t>
      </w:r>
      <w:r w:rsidR="0075172E">
        <w:fldChar w:fldCharType="begin"/>
      </w:r>
      <w:r w:rsidR="006421D1">
        <w:instrText xml:space="preserve"> ADDIN EN.CITE &lt;EndNote&gt;&lt;Cite&gt;&lt;Author&gt;Selle&lt;/Author&gt;&lt;Year&gt;2012&lt;/Year&gt;&lt;RecNum&gt;610&lt;/RecNum&gt;&lt;DisplayText&gt;&lt;style face="superscript"&gt;248,292&lt;/style&gt;&lt;/DisplayText&gt;&lt;record&gt;&lt;rec-number&gt;610&lt;/rec-number&gt;&lt;foreign-keys&gt;&lt;key app="EN" db-id="5trrespwzsdr07efd5tx2w96x22re9s0fsdt"&gt;610&lt;/key&gt;&lt;/foreign-keys&gt;&lt;ref-type name="Journal Article"&gt;17&lt;/ref-type&gt;&lt;contributors&gt;&lt;authors&gt;&lt;author&gt;Selle, Peter H&lt;/author&gt;&lt;author&gt;Cowieson, Aaron J&lt;/author&gt;&lt;author&gt;Cowieson, Nathan P&lt;/author&gt;&lt;author&gt;Ravindran, V&lt;/author&gt;&lt;/authors&gt;&lt;/contributors&gt;&lt;titles&gt;&lt;title&gt;Protein–phytate interactions in pig and poultry nutrition: a reappraisal&lt;/title&gt;&lt;secondary-title&gt;Nutrition Research Reviews&lt;/secondary-title&gt;&lt;/titles&gt;&lt;periodical&gt;&lt;full-title&gt;Nutrition Research Reviews&lt;/full-title&gt;&lt;/periodical&gt;&lt;pages&gt;1-17&lt;/pages&gt;&lt;volume&gt;25&lt;/volume&gt;&lt;number&gt;01&lt;/number&gt;&lt;dates&gt;&lt;year&gt;2012&lt;/year&gt;&lt;/dates&gt;&lt;isbn&gt;1475-2700&lt;/isbn&gt;&lt;urls&gt;&lt;/urls&gt;&lt;/record&gt;&lt;/Cite&gt;&lt;Cite&gt;&lt;Author&gt;Singh&lt;/Author&gt;&lt;Year&gt;1982&lt;/Year&gt;&lt;RecNum&gt;604&lt;/RecNum&gt;&lt;record&gt;&lt;rec-number&gt;604&lt;/rec-number&gt;&lt;foreign-keys&gt;&lt;key app="EN" db-id="5trrespwzsdr07efd5tx2w96x22re9s0fsdt"&gt;604&lt;/key&gt;&lt;/foreign-keys&gt;&lt;ref-type name="Journal Article"&gt;17&lt;/ref-type&gt;&lt;contributors&gt;&lt;authors&gt;&lt;author&gt;Singh, Madhav&lt;/author&gt;&lt;author&gt;Krikorian, A. D.&lt;/author&gt;&lt;/authors&gt;&lt;/contributors&gt;&lt;titles&gt;&lt;title&gt;Inhibition of trypsin activity in vitro by phytate&lt;/title&gt;&lt;secondary-title&gt;Journal of Agricultural and Food Chemistry&lt;/secondary-title&gt;&lt;/titles&gt;&lt;periodical&gt;&lt;full-title&gt;Journal of Agricultural and Food Chemistry&lt;/full-title&gt;&lt;/periodical&gt;&lt;pages&gt;799-800&lt;/pages&gt;&lt;volume&gt;30&lt;/volume&gt;&lt;number&gt;4&lt;/number&gt;&lt;dates&gt;&lt;year&gt;1982&lt;/year&gt;&lt;pub-dates&gt;&lt;date&gt;1982/07/01&lt;/date&gt;&lt;/pub-dates&gt;&lt;/dates&gt;&lt;publisher&gt;American Chemical Society&lt;/publisher&gt;&lt;isbn&gt;0021-8561&lt;/isbn&gt;&lt;urls&gt;&lt;related-urls&gt;&lt;url&gt;http://dx.doi.org/10.1021/jf00112a049&lt;/url&gt;&lt;/related-urls&gt;&lt;/urls&gt;&lt;electronic-resource-num&gt;10.1021/jf00112a049&lt;/electronic-resource-num&gt;&lt;/record&gt;&lt;/Cite&gt;&lt;/EndNote&gt;</w:instrText>
      </w:r>
      <w:r w:rsidR="0075172E">
        <w:fldChar w:fldCharType="separate"/>
      </w:r>
      <w:hyperlink w:anchor="_ENREF_248" w:tooltip="Selle, 2012 #610" w:history="1">
        <w:r w:rsidR="00512D09" w:rsidRPr="006421D1">
          <w:rPr>
            <w:noProof/>
            <w:vertAlign w:val="superscript"/>
          </w:rPr>
          <w:t>248</w:t>
        </w:r>
      </w:hyperlink>
      <w:r w:rsidR="006421D1" w:rsidRPr="006421D1">
        <w:rPr>
          <w:noProof/>
          <w:vertAlign w:val="superscript"/>
        </w:rPr>
        <w:t>,</w:t>
      </w:r>
      <w:hyperlink w:anchor="_ENREF_292" w:tooltip="Singh, 1982 #604" w:history="1">
        <w:r w:rsidR="00512D09" w:rsidRPr="006421D1">
          <w:rPr>
            <w:noProof/>
            <w:vertAlign w:val="superscript"/>
          </w:rPr>
          <w:t>292</w:t>
        </w:r>
      </w:hyperlink>
      <w:r w:rsidR="0075172E">
        <w:fldChar w:fldCharType="end"/>
      </w:r>
      <w:r w:rsidRPr="00C11EB4">
        <w:t xml:space="preserve"> </w:t>
      </w:r>
    </w:p>
    <w:p w:rsidR="003703F0" w:rsidRPr="00C11EB4" w:rsidRDefault="003703F0" w:rsidP="003703F0">
      <w:pPr>
        <w:spacing w:line="480" w:lineRule="auto"/>
        <w:jc w:val="both"/>
      </w:pPr>
      <w:r w:rsidRPr="00C11EB4">
        <w:t xml:space="preserve">Phytate is a negatively charged molecule which </w:t>
      </w:r>
      <w:r>
        <w:t xml:space="preserve">meaning it could have a high binding propensity to </w:t>
      </w:r>
      <w:r w:rsidRPr="00C11EB4">
        <w:t>positively charged proteins. Shears has suggested that while electrostatic interactions can contribute to specificity, in other situations, they may assist in non-specificity.</w:t>
      </w:r>
      <w:hyperlink w:anchor="_ENREF_253" w:tooltip="Shears, 2001 #644" w:history="1">
        <w:r w:rsidR="00512D09">
          <w:fldChar w:fldCharType="begin"/>
        </w:r>
        <w:r w:rsidR="00512D09">
          <w:instrText xml:space="preserve"> ADDIN EN.CITE &lt;EndNote&gt;&lt;Cite&gt;&lt;Author&gt;Shears&lt;/Author&gt;&lt;Year&gt;2001&lt;/Year&gt;&lt;RecNum&gt;644&lt;/RecNum&gt;&lt;DisplayText&gt;&lt;style face="superscript"&gt;253&lt;/style&gt;&lt;/DisplayText&gt;&lt;record&gt;&lt;rec-number&gt;644&lt;/rec-number&gt;&lt;foreign-keys&gt;&lt;key app="EN" db-id="5trrespwzsdr07efd5tx2w96x22re9s0fsdt"&gt;644&lt;/key&gt;&lt;/foreign-keys&gt;&lt;ref-type name="Journal Article"&gt;17&lt;/ref-type&gt;&lt;contributors&gt;&lt;authors&gt;&lt;author&gt;Shears, Stephen B.&lt;/author&gt;&lt;/authors&gt;&lt;/contributors&gt;&lt;titles&gt;&lt;title&gt;Assessing the omnipotence of inositol hexakisphosphate&lt;/title&gt;&lt;secondary-title&gt;Cellular Signalling&lt;/secondary-title&gt;&lt;/titles&gt;&lt;periodical&gt;&lt;full-title&gt;Cellular Signalling&lt;/full-title&gt;&lt;/periodical&gt;&lt;pages&gt;151-158&lt;/pages&gt;&lt;volume&gt;13&lt;/volume&gt;&lt;number&gt;3&lt;/number&gt;&lt;keywords&gt;&lt;keyword&gt;Inositol hexakisphosphate&lt;/keyword&gt;&lt;keyword&gt;phytic acid&lt;/keyword&gt;&lt;keyword&gt;signal transduction&lt;/keyword&gt;&lt;keyword&gt;inositol phosphates&lt;/keyword&gt;&lt;keyword&gt;calcium&lt;/keyword&gt;&lt;keyword&gt;magnesium&lt;/keyword&gt;&lt;/keywords&gt;&lt;dates&gt;&lt;year&gt;2001&lt;/year&gt;&lt;/dates&gt;&lt;isbn&gt;0898-6568&lt;/isbn&gt;&lt;urls&gt;&lt;related-urls&gt;&lt;url&gt;http://www.sciencedirect.com/science/article/pii/S0898656801001292&lt;/url&gt;&lt;/related-urls&gt;&lt;/urls&gt;&lt;electronic-resource-num&gt;http://dx.doi.org/10.1016/S0898-6568(01)00129-2&lt;/electronic-resource-num&gt;&lt;/record&gt;&lt;/Cite&gt;&lt;/EndNote&gt;</w:instrText>
        </w:r>
        <w:r w:rsidR="00512D09">
          <w:fldChar w:fldCharType="separate"/>
        </w:r>
        <w:r w:rsidR="00512D09" w:rsidRPr="006421D1">
          <w:rPr>
            <w:noProof/>
            <w:vertAlign w:val="superscript"/>
          </w:rPr>
          <w:t>253</w:t>
        </w:r>
        <w:r w:rsidR="00512D09">
          <w:fldChar w:fldCharType="end"/>
        </w:r>
      </w:hyperlink>
      <w:r w:rsidRPr="00C11EB4">
        <w:t xml:space="preserve"> This degree of non-specificity has not been accounted for in a number of assays and this has led to binding constants with a measure of error. Subsequently, Shears </w:t>
      </w:r>
      <w:r w:rsidRPr="00C11EB4">
        <w:lastRenderedPageBreak/>
        <w:t xml:space="preserve">has suggested that assays that use ideal conditions (low ionic strength) may be unsuitable to gauge the interaction between phytate and macromolecules in the cellular environment. </w:t>
      </w:r>
    </w:p>
    <w:p w:rsidR="003703F0" w:rsidRPr="00C11EB4" w:rsidRDefault="003703F0" w:rsidP="003703F0">
      <w:pPr>
        <w:spacing w:line="480" w:lineRule="auto"/>
        <w:jc w:val="both"/>
        <w:rPr>
          <w:rFonts w:cs="Arial"/>
          <w:color w:val="000000" w:themeColor="text1"/>
          <w:shd w:val="clear" w:color="auto" w:fill="FFFFFF"/>
        </w:rPr>
      </w:pPr>
      <w:r w:rsidRPr="00C11EB4">
        <w:rPr>
          <w:color w:val="000000" w:themeColor="text1"/>
        </w:rPr>
        <w:t xml:space="preserve">Another way to prevent non-specific electrostatic interactions is to use a pH that is above the isoelectric point (pI) of the protein. </w:t>
      </w:r>
      <w:r w:rsidRPr="00C11EB4">
        <w:rPr>
          <w:rFonts w:cs="Arial"/>
          <w:color w:val="000000" w:themeColor="text1"/>
          <w:shd w:val="clear" w:color="auto" w:fill="FFFFFF"/>
        </w:rPr>
        <w:t>The pI of the protein is the</w:t>
      </w:r>
      <w:r w:rsidRPr="00C11EB4">
        <w:rPr>
          <w:rStyle w:val="apple-converted-space"/>
          <w:rFonts w:cs="Arial"/>
          <w:color w:val="000000" w:themeColor="text1"/>
          <w:shd w:val="clear" w:color="auto" w:fill="FFFFFF"/>
        </w:rPr>
        <w:t xml:space="preserve"> pH </w:t>
      </w:r>
      <w:r w:rsidRPr="00C11EB4">
        <w:rPr>
          <w:rFonts w:cs="Arial"/>
          <w:color w:val="000000" w:themeColor="text1"/>
          <w:shd w:val="clear" w:color="auto" w:fill="FFFFFF"/>
        </w:rPr>
        <w:t xml:space="preserve">at which a molecule carries no net charge. At a pH above the pI the protein will carry a net negative charge. Conversely, at a pH below the pI the protein will carry a net positive charge. Therefore electrostatic interactions are strengthened if the pH is below the pI. Consequently, using a buffer at the same pH as </w:t>
      </w:r>
      <w:r w:rsidRPr="00C11EB4">
        <w:rPr>
          <w:rFonts w:cs="Arial"/>
          <w:i/>
          <w:color w:val="000000" w:themeColor="text1"/>
          <w:shd w:val="clear" w:color="auto" w:fill="FFFFFF"/>
        </w:rPr>
        <w:t>in vivo</w:t>
      </w:r>
      <w:r w:rsidRPr="00C11EB4">
        <w:rPr>
          <w:rFonts w:cs="Arial"/>
          <w:color w:val="000000" w:themeColor="text1"/>
          <w:shd w:val="clear" w:color="auto" w:fill="FFFFFF"/>
        </w:rPr>
        <w:t xml:space="preserve"> conditions is necessary to a gain a better estimation of the binding interaction.   </w:t>
      </w:r>
    </w:p>
    <w:p w:rsidR="003703F0" w:rsidRPr="00C11EB4" w:rsidRDefault="003703F0" w:rsidP="003703F0">
      <w:pPr>
        <w:spacing w:line="480" w:lineRule="auto"/>
        <w:jc w:val="both"/>
      </w:pPr>
      <w:r w:rsidRPr="00C11EB4">
        <w:t>Previous work has suggested that both pI and the number of charges are important in the binding interaction between macromolecules and phytate. The binding of phytic acid to glycin, a protein found in soybean, was investigated using gel filtration chromatography and turbidity measurements with subsequent analysis using phosphorous detection and UV-vis spectrophotometry to determine the amount of protein</w:t>
      </w:r>
      <w:r>
        <w:t>.</w:t>
      </w:r>
      <w:hyperlink w:anchor="_ENREF_270" w:tooltip="Okubo, 1976 #618" w:history="1">
        <w:r w:rsidR="00512D09">
          <w:fldChar w:fldCharType="begin"/>
        </w:r>
        <w:r w:rsidR="00512D09">
          <w:instrText xml:space="preserve"> ADDIN EN.CITE &lt;EndNote&gt;&lt;Cite&gt;&lt;Author&gt;Okubo&lt;/Author&gt;&lt;Year&gt;1976&lt;/Year&gt;&lt;RecNum&gt;618&lt;/RecNum&gt;&lt;DisplayText&gt;&lt;style face="superscript"&gt;270&lt;/style&gt;&lt;/DisplayText&gt;&lt;record&gt;&lt;rec-number&gt;618&lt;/rec-number&gt;&lt;foreign-keys&gt;&lt;key app="EN" db-id="5trrespwzsdr07efd5tx2w96x22re9s0fsdt"&gt;618&lt;/key&gt;&lt;/foreign-keys&gt;&lt;ref-type name="Journal Article"&gt;17&lt;/ref-type&gt;&lt;contributors&gt;&lt;authors&gt;&lt;author&gt;Okubo, K&lt;/author&gt;&lt;author&gt;Myers, DV&lt;/author&gt;&lt;author&gt;Iacobucci, GA&lt;/author&gt;&lt;/authors&gt;&lt;/contributors&gt;&lt;titles&gt;&lt;title&gt;Binding of phytic acid to glycinin [Soybeans]&lt;/title&gt;&lt;secondary-title&gt;Cereal Chemistry&lt;/secondary-title&gt;&lt;/titles&gt;&lt;periodical&gt;&lt;full-title&gt;Cereal Chemistry&lt;/full-title&gt;&lt;/periodical&gt;&lt;dates&gt;&lt;year&gt;1976&lt;/year&gt;&lt;/dates&gt;&lt;isbn&gt;0009-0352&lt;/isbn&gt;&lt;urls&gt;&lt;/urls&gt;&lt;/record&gt;&lt;/Cite&gt;&lt;/EndNote&gt;</w:instrText>
        </w:r>
        <w:r w:rsidR="00512D09">
          <w:fldChar w:fldCharType="separate"/>
        </w:r>
        <w:r w:rsidR="00512D09" w:rsidRPr="006421D1">
          <w:rPr>
            <w:noProof/>
            <w:vertAlign w:val="superscript"/>
          </w:rPr>
          <w:t>270</w:t>
        </w:r>
        <w:r w:rsidR="00512D09">
          <w:fldChar w:fldCharType="end"/>
        </w:r>
      </w:hyperlink>
      <w:r>
        <w:t xml:space="preserve"> </w:t>
      </w:r>
      <w:r w:rsidRPr="00C11EB4">
        <w:t>At pH 4.9, no binding could be identified. Below this pH, binding that resulted in insoluble complexes occurred. This was below the pI of the protein of 5, suggesting an important factor in the phytate-macromolecule structure activity relationship</w:t>
      </w:r>
      <w:r>
        <w:t>.</w:t>
      </w:r>
      <w:hyperlink w:anchor="_ENREF_320" w:tooltip="Hartman, 1935 #657" w:history="1">
        <w:r w:rsidR="00512D09">
          <w:fldChar w:fldCharType="begin"/>
        </w:r>
        <w:r w:rsidR="00512D09">
          <w:instrText xml:space="preserve"> ADDIN EN.CITE &lt;EndNote&gt;&lt;Cite&gt;&lt;Author&gt;Hartman&lt;/Author&gt;&lt;Year&gt;1935&lt;/Year&gt;&lt;RecNum&gt;657&lt;/RecNum&gt;&lt;DisplayText&gt;&lt;style face="superscript"&gt;320&lt;/style&gt;&lt;/DisplayText&gt;&lt;record&gt;&lt;rec-number&gt;657&lt;/rec-number&gt;&lt;foreign-keys&gt;&lt;key app="EN" db-id="5trrespwzsdr07efd5tx2w96x22re9s0fsdt"&gt;657&lt;/key&gt;&lt;/foreign-keys&gt;&lt;ref-type name="Journal Article"&gt;17&lt;/ref-type&gt;&lt;contributors&gt;&lt;authors&gt;&lt;author&gt;Hartman, R. J.&lt;/author&gt;&lt;author&gt;Cheng, L. T.&lt;/author&gt;&lt;/authors&gt;&lt;/contributors&gt;&lt;titles&gt;&lt;title&gt;Isoelectric Point of Glycinin&lt;/title&gt;&lt;secondary-title&gt;The Journal of Physical Chemistry&lt;/secondary-title&gt;&lt;/titles&gt;&lt;periodical&gt;&lt;full-title&gt;The Journal of Physical Chemistry&lt;/full-title&gt;&lt;/periodical&gt;&lt;pages&gt;453-459&lt;/pages&gt;&lt;volume&gt;40&lt;/volume&gt;&lt;number&gt;4&lt;/number&gt;&lt;dates&gt;&lt;year&gt;1935&lt;/year&gt;&lt;pub-dates&gt;&lt;date&gt;1935/01/01&lt;/date&gt;&lt;/pub-dates&gt;&lt;/dates&gt;&lt;publisher&gt;American Chemical Society&lt;/publisher&gt;&lt;isbn&gt;0092-7325&amp;#xD;1541-5740&lt;/isbn&gt;&lt;urls&gt;&lt;related-urls&gt;&lt;url&gt;http://dx.doi.org/10.1021/j150373a004&lt;/url&gt;&lt;/related-urls&gt;&lt;/urls&gt;&lt;electronic-resource-num&gt;10.1021/j150373a004&lt;/electronic-resource-num&gt;&lt;/record&gt;&lt;/Cite&gt;&lt;/EndNote&gt;</w:instrText>
        </w:r>
        <w:r w:rsidR="00512D09">
          <w:fldChar w:fldCharType="separate"/>
        </w:r>
        <w:r w:rsidR="00512D09" w:rsidRPr="0057696F">
          <w:rPr>
            <w:noProof/>
            <w:vertAlign w:val="superscript"/>
          </w:rPr>
          <w:t>320</w:t>
        </w:r>
        <w:r w:rsidR="00512D09">
          <w:fldChar w:fldCharType="end"/>
        </w:r>
      </w:hyperlink>
      <w:r>
        <w:t xml:space="preserve"> </w:t>
      </w:r>
      <w:r w:rsidRPr="00C11EB4">
        <w:t xml:space="preserve"> </w:t>
      </w:r>
      <w:r>
        <w:t>T</w:t>
      </w:r>
      <w:r w:rsidRPr="00C11EB4">
        <w:t>he extent of phytate-protein interaction in corn germ, soybean flakes, and sesame meal was measured using gel filtration chromatography and electrophoresis</w:t>
      </w:r>
      <w:r>
        <w:t>.</w:t>
      </w:r>
      <w:hyperlink w:anchor="_ENREF_321" w:tooltip="O'Dell, 1976 #658" w:history="1">
        <w:r w:rsidR="00512D09">
          <w:fldChar w:fldCharType="begin"/>
        </w:r>
        <w:r w:rsidR="00512D09">
          <w:instrText xml:space="preserve"> ADDIN EN.CITE &lt;EndNote&gt;&lt;Cite&gt;&lt;Author&gt;O&amp;apos;Dell&lt;/Author&gt;&lt;Year&gt;1976&lt;/Year&gt;&lt;RecNum&gt;658&lt;/RecNum&gt;&lt;DisplayText&gt;&lt;style face="superscript"&gt;321&lt;/style&gt;&lt;/DisplayText&gt;&lt;record&gt;&lt;rec-number&gt;658&lt;/rec-number&gt;&lt;foreign-keys&gt;&lt;key app="EN" db-id="5trrespwzsdr07efd5tx2w96x22re9s0fsdt"&gt;658&lt;/key&gt;&lt;/foreign-keys&gt;&lt;ref-type name="Journal Article"&gt;17&lt;/ref-type&gt;&lt;contributors&gt;&lt;authors&gt;&lt;author&gt;O&amp;apos;Dell, Boyd L.&lt;/author&gt;&lt;author&gt;De Boland, Ana&lt;/author&gt;&lt;/authors&gt;&lt;/contributors&gt;&lt;titles&gt;&lt;title&gt;Complexation of phytate with proteins and cations in corn germ and oil seed meals&lt;/title&gt;&lt;secondary-title&gt;Journal of Agricultural and Food Chemistry&lt;/secondary-title&gt;&lt;/titles&gt;&lt;periodical&gt;&lt;full-title&gt;Journal of Agricultural and Food Chemistry&lt;/full-title&gt;&lt;/periodical&gt;&lt;pages&gt;804-808&lt;/pages&gt;&lt;volume&gt;24&lt;/volume&gt;&lt;number&gt;4&lt;/number&gt;&lt;dates&gt;&lt;year&gt;1976&lt;/year&gt;&lt;pub-dates&gt;&lt;date&gt;1976/07/01&lt;/date&gt;&lt;/pub-dates&gt;&lt;/dates&gt;&lt;publisher&gt;American Chemical Society&lt;/publisher&gt;&lt;isbn&gt;0021-8561&lt;/isbn&gt;&lt;urls&gt;&lt;related-urls&gt;&lt;url&gt;http://dx.doi.org/10.1021/jf60206a034&lt;/url&gt;&lt;/related-urls&gt;&lt;/urls&gt;&lt;electronic-resource-num&gt;10.1021/jf60206a034&lt;/electronic-resource-num&gt;&lt;/record&gt;&lt;/Cite&gt;&lt;/EndNote&gt;</w:instrText>
        </w:r>
        <w:r w:rsidR="00512D09">
          <w:fldChar w:fldCharType="separate"/>
        </w:r>
        <w:r w:rsidR="00512D09" w:rsidRPr="0057696F">
          <w:rPr>
            <w:noProof/>
            <w:vertAlign w:val="superscript"/>
          </w:rPr>
          <w:t>321</w:t>
        </w:r>
        <w:r w:rsidR="00512D09">
          <w:fldChar w:fldCharType="end"/>
        </w:r>
      </w:hyperlink>
      <w:r>
        <w:t xml:space="preserve"> </w:t>
      </w:r>
      <w:r w:rsidRPr="00C11EB4">
        <w:t xml:space="preserve">The composition of basic amino acids did not correlate with phytate binding which is surprising given the electrostatic nature of the phytate-protein interaction. </w:t>
      </w:r>
    </w:p>
    <w:p w:rsidR="003703F0" w:rsidRPr="00C11EB4" w:rsidRDefault="003703F0" w:rsidP="003703F0">
      <w:pPr>
        <w:spacing w:line="480" w:lineRule="auto"/>
        <w:jc w:val="both"/>
      </w:pPr>
      <w:r w:rsidRPr="00C11EB4">
        <w:t xml:space="preserve">It should be noted that precipitation is not synonymous with binding.   It has been suggested that highly charged anions such as phosphate and sulphate can remove water from proteins facilitating protein-protein interaction and subsequent precipitation. This does not require binding to the protein surface. More to the point, the gel filtration study </w:t>
      </w:r>
      <w:r w:rsidRPr="00C11EB4">
        <w:lastRenderedPageBreak/>
        <w:t xml:space="preserve">was only capable of showing that binding occurred rather than providing an accurate measure of the binding interaction. </w:t>
      </w:r>
    </w:p>
    <w:p w:rsidR="003703F0" w:rsidRDefault="003703F0" w:rsidP="00786D2F">
      <w:pPr>
        <w:spacing w:line="480" w:lineRule="auto"/>
        <w:jc w:val="both"/>
      </w:pPr>
      <w:r w:rsidRPr="00C11EB4">
        <w:t xml:space="preserve">The aim of this ITC study is to determine the specificity of the phytate-protein interaction by using both HSA and BSA. Similar binding thermodynamics would suggest similar binding sites on the homologous proteins. In addition to this, a titration was performed using 10 mM phosphate, 2.7 mM potassium chloride and 137 mM sodium chloride at pH 7.4 with BSA and phytate. The pI of BSA is 4.7 meaning at pH 7, the protein has large negative charge. A binding site should have a structure that makes specific interactions with the ligand and provides a degree of shape complementary. There are several pockets of positive charge on BSA at pH 7 meaning binding should still occur to some extent if there is a specific recognition motif. </w:t>
      </w:r>
      <w:r>
        <w:t xml:space="preserve">This could not be done using lysozyme as the pI of this protein is 11 meaning the experiment would have to be done at pH 12. Such high pH may negatively </w:t>
      </w:r>
      <w:r w:rsidR="00BB0CE1">
        <w:t>affect</w:t>
      </w:r>
      <w:r>
        <w:t xml:space="preserve"> the stability of lysozyme during the long periods required for the titration. </w:t>
      </w:r>
      <w:r w:rsidRPr="00C11EB4">
        <w:t>The ITC results suggest that the interaction is not specific, with binding only occurring below the pI of BSA. Furthermore binding appears to be isoenergetic (</w:t>
      </w:r>
      <w:r w:rsidR="00CD2CCB">
        <w:t>similar</w:t>
      </w:r>
      <w:r w:rsidRPr="00C11EB4">
        <w:t xml:space="preserve"> </w:t>
      </w:r>
      <w:r w:rsidR="001D171F" w:rsidRPr="001D171F">
        <w:rPr>
          <w:rFonts w:eastAsiaTheme="minorEastAsia"/>
        </w:rPr>
        <w:t>Δ</w:t>
      </w:r>
      <w:r w:rsidR="001D171F">
        <w:rPr>
          <w:rFonts w:eastAsiaTheme="minorEastAsia"/>
          <w:i/>
        </w:rPr>
        <w:t>G</w:t>
      </w:r>
      <w:r w:rsidRPr="00C11EB4">
        <w:t xml:space="preserve">) between both BSA and HSA, suggesting </w:t>
      </w:r>
      <w:r>
        <w:t>binding occurs at positive amino acids, but perhaps a different set</w:t>
      </w:r>
      <w:r w:rsidRPr="00C11EB4">
        <w:t xml:space="preserve">.  For both HSA and BSA, phytate binding was </w:t>
      </w:r>
      <w:r>
        <w:t>enthalpically</w:t>
      </w:r>
      <w:r w:rsidRPr="00C11EB4">
        <w:t xml:space="preserve"> favoured and entropically disfavoured for both proteins. </w:t>
      </w:r>
    </w:p>
    <w:p w:rsidR="004F269C" w:rsidRDefault="004F269C" w:rsidP="00786D2F">
      <w:pPr>
        <w:spacing w:line="480" w:lineRule="auto"/>
        <w:jc w:val="both"/>
      </w:pPr>
    </w:p>
    <w:p w:rsidR="004F269C" w:rsidRDefault="004F269C" w:rsidP="00786D2F">
      <w:pPr>
        <w:spacing w:line="480" w:lineRule="auto"/>
        <w:jc w:val="both"/>
      </w:pPr>
    </w:p>
    <w:p w:rsidR="004F269C" w:rsidRDefault="004F269C" w:rsidP="00786D2F">
      <w:pPr>
        <w:spacing w:line="480" w:lineRule="auto"/>
        <w:jc w:val="both"/>
      </w:pPr>
    </w:p>
    <w:p w:rsidR="005D3ED4" w:rsidRDefault="005D3ED4" w:rsidP="00786D2F">
      <w:pPr>
        <w:spacing w:line="480" w:lineRule="auto"/>
        <w:jc w:val="both"/>
      </w:pPr>
    </w:p>
    <w:p w:rsidR="005D3ED4" w:rsidRPr="00786D2F" w:rsidRDefault="005D3ED4" w:rsidP="00786D2F">
      <w:pPr>
        <w:spacing w:line="480" w:lineRule="auto"/>
        <w:jc w:val="both"/>
      </w:pPr>
    </w:p>
    <w:p w:rsidR="003703F0" w:rsidRDefault="003703F0" w:rsidP="00626B72">
      <w:pPr>
        <w:pStyle w:val="Heading2"/>
        <w:numPr>
          <w:ilvl w:val="1"/>
          <w:numId w:val="10"/>
        </w:numPr>
      </w:pPr>
      <w:bookmarkStart w:id="216" w:name="_Toc459130735"/>
      <w:r w:rsidRPr="00F20A26">
        <w:lastRenderedPageBreak/>
        <w:t>Materials and Methods</w:t>
      </w:r>
      <w:bookmarkEnd w:id="216"/>
    </w:p>
    <w:p w:rsidR="005D3ED4" w:rsidRDefault="005D3ED4" w:rsidP="005D3ED4"/>
    <w:p w:rsidR="005D3ED4" w:rsidRDefault="005D3ED4" w:rsidP="00626B72">
      <w:pPr>
        <w:pStyle w:val="Heading3"/>
        <w:numPr>
          <w:ilvl w:val="2"/>
          <w:numId w:val="10"/>
        </w:numPr>
        <w:spacing w:line="720" w:lineRule="auto"/>
      </w:pPr>
      <w:bookmarkStart w:id="217" w:name="_Toc459130736"/>
      <w:r>
        <w:t>Chemicals and Materials</w:t>
      </w:r>
      <w:bookmarkEnd w:id="217"/>
    </w:p>
    <w:p w:rsidR="005D3ED4" w:rsidRPr="005D3ED4" w:rsidRDefault="005D3ED4" w:rsidP="005D3ED4">
      <w:pPr>
        <w:spacing w:line="480" w:lineRule="auto"/>
        <w:jc w:val="both"/>
        <w:rPr>
          <w:bCs/>
        </w:rPr>
      </w:pPr>
      <w:r>
        <w:rPr>
          <w:bCs/>
          <w:lang w:val="en-US"/>
        </w:rPr>
        <w:t xml:space="preserve">Bovine </w:t>
      </w:r>
      <w:r w:rsidR="00DF5E54">
        <w:rPr>
          <w:bCs/>
          <w:lang w:val="en-US"/>
        </w:rPr>
        <w:t xml:space="preserve">serum albumin </w:t>
      </w:r>
      <w:r>
        <w:rPr>
          <w:bCs/>
          <w:lang w:val="en-US"/>
        </w:rPr>
        <w:t xml:space="preserve">and </w:t>
      </w:r>
      <w:r w:rsidR="00DF5E54">
        <w:rPr>
          <w:bCs/>
          <w:lang w:val="en-US"/>
        </w:rPr>
        <w:t xml:space="preserve">human serum albumin </w:t>
      </w:r>
      <w:r>
        <w:rPr>
          <w:bCs/>
          <w:lang w:val="en-US"/>
        </w:rPr>
        <w:t>(</w:t>
      </w:r>
      <w:r w:rsidRPr="005D3ED4">
        <w:rPr>
          <w:rFonts w:cs="Arial"/>
          <w:bCs/>
          <w:shd w:val="clear" w:color="auto" w:fill="FDFDFD"/>
        </w:rPr>
        <w:t>essentially fatty acid free and essentially globulin free, ≥99%)</w:t>
      </w:r>
      <w:r w:rsidR="00110991">
        <w:rPr>
          <w:rFonts w:cs="Arial"/>
          <w:bCs/>
          <w:shd w:val="clear" w:color="auto" w:fill="FDFDFD"/>
        </w:rPr>
        <w:t>,</w:t>
      </w:r>
      <w:r>
        <w:rPr>
          <w:rFonts w:ascii="Arial" w:hAnsi="Arial" w:cs="Arial"/>
          <w:b/>
          <w:bCs/>
          <w:color w:val="403C36"/>
          <w:sz w:val="21"/>
          <w:szCs w:val="21"/>
          <w:shd w:val="clear" w:color="auto" w:fill="FDFDFD"/>
        </w:rPr>
        <w:t xml:space="preserve"> (</w:t>
      </w:r>
      <w:r w:rsidRPr="00B0259C">
        <w:rPr>
          <w:bCs/>
          <w:lang w:val="en-US"/>
        </w:rPr>
        <w:t>potassium phytate (≥95% purity), acetic acid (</w:t>
      </w:r>
      <w:r w:rsidRPr="00B0259C">
        <w:rPr>
          <w:bCs/>
        </w:rPr>
        <w:t>99.8%)</w:t>
      </w:r>
      <w:r w:rsidRPr="00B0259C">
        <w:rPr>
          <w:bCs/>
          <w:lang w:val="en-US"/>
        </w:rPr>
        <w:t xml:space="preserve"> ammonium acetate</w:t>
      </w:r>
      <w:r w:rsidR="008F1328">
        <w:rPr>
          <w:bCs/>
          <w:lang w:val="en-US"/>
        </w:rPr>
        <w:t>, phosphate buffered saline (PBS)</w:t>
      </w:r>
      <w:r w:rsidRPr="00B0259C">
        <w:rPr>
          <w:bCs/>
          <w:lang w:val="en-US"/>
        </w:rPr>
        <w:t xml:space="preserve"> were all sourced from Sigma-Aldrich, Gillingham, U.K. </w:t>
      </w:r>
      <w:r w:rsidRPr="00B0259C">
        <w:rPr>
          <w:bCs/>
        </w:rPr>
        <w:t>Milli-Q water from a Merk-MILLIPORE (Darmstadt, Germany) fountain was used to prepare the reagents. A FiveEasy pH meter (Mettler-Toledo International, Ohio, US) was used to measure the pH of the solutions.</w:t>
      </w:r>
    </w:p>
    <w:p w:rsidR="00786D2F" w:rsidRDefault="0076524B" w:rsidP="00626B72">
      <w:pPr>
        <w:pStyle w:val="Heading3"/>
        <w:numPr>
          <w:ilvl w:val="2"/>
          <w:numId w:val="10"/>
        </w:numPr>
        <w:spacing w:line="480" w:lineRule="auto"/>
      </w:pPr>
      <w:bookmarkStart w:id="218" w:name="_Toc459130737"/>
      <w:r>
        <w:t xml:space="preserve">Isothermal Titration </w:t>
      </w:r>
      <w:r w:rsidR="009D3D48">
        <w:t>C</w:t>
      </w:r>
      <w:r w:rsidR="003703F0" w:rsidRPr="00DD507F">
        <w:t>alorimetry</w:t>
      </w:r>
      <w:bookmarkEnd w:id="218"/>
    </w:p>
    <w:p w:rsidR="003703F0" w:rsidRDefault="003703F0" w:rsidP="003703F0">
      <w:pPr>
        <w:spacing w:line="480" w:lineRule="auto"/>
        <w:jc w:val="both"/>
        <w:rPr>
          <w:bCs/>
        </w:rPr>
      </w:pPr>
      <w:r>
        <w:rPr>
          <w:b/>
          <w:bCs/>
        </w:rPr>
        <w:t xml:space="preserve"> </w:t>
      </w:r>
      <w:r w:rsidRPr="00DD507F">
        <w:rPr>
          <w:bCs/>
        </w:rPr>
        <w:t xml:space="preserve">A Nano-ITC instrument </w:t>
      </w:r>
      <w:r>
        <w:rPr>
          <w:bCs/>
        </w:rPr>
        <w:t>(</w:t>
      </w:r>
      <w:r w:rsidRPr="006447FA">
        <w:rPr>
          <w:bCs/>
          <w:lang w:val="en-US"/>
        </w:rPr>
        <w:t>TA instruments, Utah, US</w:t>
      </w:r>
      <w:r>
        <w:rPr>
          <w:bCs/>
        </w:rPr>
        <w:t>)</w:t>
      </w:r>
      <w:r w:rsidRPr="00495E7F">
        <w:rPr>
          <w:bCs/>
        </w:rPr>
        <w:t xml:space="preserve"> </w:t>
      </w:r>
      <w:r w:rsidRPr="00DD507F">
        <w:rPr>
          <w:bCs/>
        </w:rPr>
        <w:t xml:space="preserve">was used to measure the binding thermodynamics between </w:t>
      </w:r>
      <w:r>
        <w:rPr>
          <w:bCs/>
        </w:rPr>
        <w:t>phytate</w:t>
      </w:r>
      <w:r w:rsidRPr="00DD507F">
        <w:rPr>
          <w:bCs/>
        </w:rPr>
        <w:t xml:space="preserve"> and </w:t>
      </w:r>
      <w:r>
        <w:rPr>
          <w:bCs/>
        </w:rPr>
        <w:t>BSA or HSA at 25</w:t>
      </w:r>
      <w:r w:rsidR="006F2757">
        <w:rPr>
          <w:bCs/>
        </w:rPr>
        <w:t xml:space="preserve"> </w:t>
      </w:r>
      <w:r>
        <w:rPr>
          <w:bCs/>
        </w:rPr>
        <w:t>°C</w:t>
      </w:r>
      <w:r w:rsidRPr="00DD507F">
        <w:rPr>
          <w:bCs/>
        </w:rPr>
        <w:t xml:space="preserve">. </w:t>
      </w:r>
      <w:r>
        <w:rPr>
          <w:bCs/>
        </w:rPr>
        <w:t>Phytate and the protein</w:t>
      </w:r>
      <w:r w:rsidRPr="00DD507F">
        <w:rPr>
          <w:bCs/>
        </w:rPr>
        <w:t xml:space="preserve"> were dissolved in 10 mM </w:t>
      </w:r>
      <w:r>
        <w:rPr>
          <w:bCs/>
        </w:rPr>
        <w:t xml:space="preserve">ammonium acetate buffer at pH 4 or PBS buffer at pH 7.4. The proteins were then dialysed in that buffer overnight.  </w:t>
      </w:r>
      <w:r w:rsidRPr="00DD507F">
        <w:rPr>
          <w:bCs/>
        </w:rPr>
        <w:t>All solutions were degassed</w:t>
      </w:r>
      <w:r>
        <w:rPr>
          <w:bCs/>
        </w:rPr>
        <w:t xml:space="preserve"> for 20 minutes</w:t>
      </w:r>
      <w:r w:rsidRPr="00DD507F">
        <w:rPr>
          <w:bCs/>
        </w:rPr>
        <w:t xml:space="preserve"> prior </w:t>
      </w:r>
      <w:r>
        <w:rPr>
          <w:bCs/>
        </w:rPr>
        <w:t>to the titration</w:t>
      </w:r>
      <w:r w:rsidRPr="00DD507F">
        <w:rPr>
          <w:bCs/>
        </w:rPr>
        <w:t>.</w:t>
      </w:r>
      <w:r>
        <w:rPr>
          <w:bCs/>
        </w:rPr>
        <w:t xml:space="preserve"> BSA was made up to either 0.346 mM or 0.149 mM and loaded into the sample cell, whilst the syringe contained either 2.6 mM or 2 mM phytate respectively. For the HSA experiments, 2 mM phytate was loaded into the syringe and the sample cell contained 0.149 mM HSA. For the HSA experiments at least 34</w:t>
      </w:r>
      <m:oMath>
        <m:r>
          <w:rPr>
            <w:rFonts w:ascii="Cambria Math" w:hAnsi="Cambria Math"/>
          </w:rPr>
          <m:t xml:space="preserve"> ×</m:t>
        </m:r>
      </m:oMath>
      <w:r>
        <w:rPr>
          <w:bCs/>
        </w:rPr>
        <w:t xml:space="preserve">0.89 µL 2 </w:t>
      </w:r>
      <w:r w:rsidRPr="00DD507F">
        <w:rPr>
          <w:bCs/>
        </w:rPr>
        <w:t xml:space="preserve">mM </w:t>
      </w:r>
      <w:r>
        <w:rPr>
          <w:bCs/>
        </w:rPr>
        <w:t>phytate</w:t>
      </w:r>
      <w:r w:rsidRPr="00DD507F">
        <w:rPr>
          <w:bCs/>
        </w:rPr>
        <w:t xml:space="preserve"> injections into </w:t>
      </w:r>
      <w:r>
        <w:rPr>
          <w:bCs/>
        </w:rPr>
        <w:t xml:space="preserve">0.149 </w:t>
      </w:r>
      <w:r w:rsidRPr="00DD507F">
        <w:rPr>
          <w:bCs/>
        </w:rPr>
        <w:t xml:space="preserve">µM </w:t>
      </w:r>
      <w:r>
        <w:rPr>
          <w:bCs/>
        </w:rPr>
        <w:t>HSA</w:t>
      </w:r>
      <w:r w:rsidRPr="00DD507F">
        <w:rPr>
          <w:bCs/>
        </w:rPr>
        <w:t xml:space="preserve"> were made over the course of the titration. </w:t>
      </w:r>
      <w:r>
        <w:rPr>
          <w:bCs/>
        </w:rPr>
        <w:t>For the BSA experiments at lower concentrations, 45</w:t>
      </w:r>
      <m:oMath>
        <m:r>
          <w:rPr>
            <w:rFonts w:ascii="Cambria Math" w:hAnsi="Cambria Math"/>
          </w:rPr>
          <m:t xml:space="preserve"> × </m:t>
        </m:r>
      </m:oMath>
      <w:r>
        <w:rPr>
          <w:bCs/>
        </w:rPr>
        <w:t xml:space="preserve">0.89 µL 2 </w:t>
      </w:r>
      <w:r w:rsidRPr="00DD507F">
        <w:rPr>
          <w:bCs/>
        </w:rPr>
        <w:t xml:space="preserve">mM </w:t>
      </w:r>
      <w:r>
        <w:rPr>
          <w:bCs/>
        </w:rPr>
        <w:t>phytate</w:t>
      </w:r>
      <w:r w:rsidRPr="00DD507F">
        <w:rPr>
          <w:bCs/>
        </w:rPr>
        <w:t xml:space="preserve"> injections into </w:t>
      </w:r>
      <w:r>
        <w:rPr>
          <w:bCs/>
        </w:rPr>
        <w:t xml:space="preserve">0.149 </w:t>
      </w:r>
      <w:r w:rsidRPr="00DD507F">
        <w:rPr>
          <w:bCs/>
        </w:rPr>
        <w:t xml:space="preserve">µM </w:t>
      </w:r>
      <w:r>
        <w:rPr>
          <w:bCs/>
        </w:rPr>
        <w:t>BSA</w:t>
      </w:r>
      <w:r w:rsidRPr="00DD507F">
        <w:rPr>
          <w:bCs/>
        </w:rPr>
        <w:t xml:space="preserve"> were made over the course of the titration.</w:t>
      </w:r>
      <w:r>
        <w:rPr>
          <w:bCs/>
        </w:rPr>
        <w:t xml:space="preserve"> For the BSA experiments at higher concentrations, at least 35</w:t>
      </w:r>
      <m:oMath>
        <m:r>
          <w:rPr>
            <w:rFonts w:ascii="Cambria Math" w:hAnsi="Cambria Math"/>
          </w:rPr>
          <m:t xml:space="preserve"> × </m:t>
        </m:r>
      </m:oMath>
      <w:r>
        <w:rPr>
          <w:bCs/>
        </w:rPr>
        <w:t xml:space="preserve">0.89 µL 2.6 mM  phytate injections into 0.346 mM BSA were made over the course of the titration. </w:t>
      </w:r>
      <w:r w:rsidRPr="00DD507F">
        <w:rPr>
          <w:bCs/>
        </w:rPr>
        <w:t xml:space="preserve">In each titration, the reference cell contained water. The time delay between each injection was </w:t>
      </w:r>
      <w:r>
        <w:rPr>
          <w:bCs/>
        </w:rPr>
        <w:t>variable to ensure equilibration</w:t>
      </w:r>
      <w:r w:rsidRPr="00DD507F">
        <w:rPr>
          <w:bCs/>
        </w:rPr>
        <w:t xml:space="preserve"> and the RPM was set to </w:t>
      </w:r>
      <w:r>
        <w:rPr>
          <w:bCs/>
        </w:rPr>
        <w:t>285</w:t>
      </w:r>
      <w:r w:rsidRPr="00DD507F">
        <w:rPr>
          <w:bCs/>
        </w:rPr>
        <w:t xml:space="preserve"> to ensure thorough mixing of the cell. Data analysis was performed using the NanoAnalyse software</w:t>
      </w:r>
      <w:r w:rsidRPr="00621908">
        <w:rPr>
          <w:bCs/>
          <w:lang w:val="en-US"/>
        </w:rPr>
        <w:t xml:space="preserve"> </w:t>
      </w:r>
      <w:r>
        <w:rPr>
          <w:bCs/>
          <w:lang w:val="en-US"/>
        </w:rPr>
        <w:t>(</w:t>
      </w:r>
      <w:r w:rsidRPr="00621908">
        <w:rPr>
          <w:bCs/>
          <w:lang w:val="en-US"/>
        </w:rPr>
        <w:t>TA instruments, Utah, US</w:t>
      </w:r>
      <w:r>
        <w:rPr>
          <w:bCs/>
        </w:rPr>
        <w:t>)</w:t>
      </w:r>
      <w:r w:rsidRPr="00DD507F">
        <w:rPr>
          <w:bCs/>
        </w:rPr>
        <w:t xml:space="preserve">. The enthalpy of dilution of </w:t>
      </w:r>
      <w:r>
        <w:rPr>
          <w:bCs/>
        </w:rPr>
        <w:t>phytate</w:t>
      </w:r>
      <w:r w:rsidRPr="00DD507F">
        <w:rPr>
          <w:bCs/>
        </w:rPr>
        <w:t xml:space="preserve"> </w:t>
      </w:r>
      <w:r w:rsidRPr="00DD507F">
        <w:rPr>
          <w:bCs/>
        </w:rPr>
        <w:lastRenderedPageBreak/>
        <w:t xml:space="preserve">was subtracted from the raw data. By using NanoAnalyse, raw heat data was integrated peak by peak and normalised per mole of injectant to get a plot of observed enthalpy change per mole of </w:t>
      </w:r>
      <w:r>
        <w:rPr>
          <w:bCs/>
        </w:rPr>
        <w:t>phytate</w:t>
      </w:r>
      <w:r w:rsidRPr="00DD507F">
        <w:rPr>
          <w:bCs/>
        </w:rPr>
        <w:t xml:space="preserve"> against </w:t>
      </w:r>
      <w:r>
        <w:rPr>
          <w:bCs/>
        </w:rPr>
        <w:t>phytate</w:t>
      </w:r>
      <w:r w:rsidRPr="00DD507F">
        <w:rPr>
          <w:bCs/>
        </w:rPr>
        <w:t xml:space="preserve">/protein molar ratio. The first </w:t>
      </w:r>
      <w:r>
        <w:rPr>
          <w:bCs/>
        </w:rPr>
        <w:t>injection</w:t>
      </w:r>
      <w:r w:rsidRPr="00DD507F">
        <w:rPr>
          <w:bCs/>
        </w:rPr>
        <w:t xml:space="preserve"> </w:t>
      </w:r>
      <w:r>
        <w:rPr>
          <w:bCs/>
        </w:rPr>
        <w:t>was</w:t>
      </w:r>
      <w:r w:rsidRPr="00DD507F">
        <w:rPr>
          <w:bCs/>
        </w:rPr>
        <w:t xml:space="preserve"> erroneous due to diffusion effects and was subsequently discarded from analysis</w:t>
      </w:r>
      <w:r>
        <w:rPr>
          <w:bCs/>
        </w:rPr>
        <w:t xml:space="preserve"> for the one site binding model</w:t>
      </w:r>
      <w:r w:rsidRPr="00DD507F">
        <w:rPr>
          <w:bCs/>
        </w:rPr>
        <w:t xml:space="preserve">. </w:t>
      </w:r>
      <w:r>
        <w:rPr>
          <w:bCs/>
        </w:rPr>
        <w:t>To help with the fitting procedure a constant was applied to the data that subtracts the area data above 0</w:t>
      </w:r>
      <w:r w:rsidR="00332DB0">
        <w:rPr>
          <w:bCs/>
        </w:rPr>
        <w:t xml:space="preserve"> µJ</w:t>
      </w:r>
      <w:r>
        <w:rPr>
          <w:bCs/>
        </w:rPr>
        <w:t xml:space="preserve">.   </w:t>
      </w:r>
      <w:r w:rsidR="00CD2568">
        <w:rPr>
          <w:bCs/>
        </w:rPr>
        <w:t>Both the standard mean error and the confidence intervals are provided.</w:t>
      </w:r>
      <w:r w:rsidR="005B2B3C" w:rsidRPr="005B2B3C">
        <w:rPr>
          <w:bCs/>
        </w:rPr>
        <w:t xml:space="preserve"> </w:t>
      </w:r>
      <w:r w:rsidR="005B2B3C">
        <w:rPr>
          <w:bCs/>
        </w:rPr>
        <w:t xml:space="preserve">Nano ITC users tend to use confidence intervals as the NanoAnalyse software readily provides this. A confidence interval provides a range </w:t>
      </w:r>
      <w:r w:rsidR="009D420F">
        <w:rPr>
          <w:bCs/>
        </w:rPr>
        <w:t>that</w:t>
      </w:r>
      <w:r w:rsidR="005B2B3C">
        <w:rPr>
          <w:bCs/>
        </w:rPr>
        <w:t xml:space="preserve"> contains the population parameter of interest.  </w:t>
      </w: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Default="005D3ED4" w:rsidP="003703F0">
      <w:pPr>
        <w:spacing w:line="480" w:lineRule="auto"/>
        <w:jc w:val="both"/>
        <w:rPr>
          <w:bCs/>
        </w:rPr>
      </w:pPr>
    </w:p>
    <w:p w:rsidR="005D3ED4" w:rsidRPr="00006987" w:rsidRDefault="005D3ED4" w:rsidP="003703F0">
      <w:pPr>
        <w:spacing w:line="480" w:lineRule="auto"/>
        <w:jc w:val="both"/>
        <w:rPr>
          <w:bCs/>
        </w:rPr>
      </w:pPr>
    </w:p>
    <w:p w:rsidR="003703F0" w:rsidRPr="00F20A26" w:rsidRDefault="003703F0" w:rsidP="00626B72">
      <w:pPr>
        <w:pStyle w:val="Heading2"/>
        <w:numPr>
          <w:ilvl w:val="1"/>
          <w:numId w:val="10"/>
        </w:numPr>
        <w:spacing w:line="480" w:lineRule="auto"/>
      </w:pPr>
      <w:bookmarkStart w:id="219" w:name="_Toc459130738"/>
      <w:r w:rsidRPr="00F20A26">
        <w:t>Results and Discussion</w:t>
      </w:r>
      <w:bookmarkEnd w:id="219"/>
    </w:p>
    <w:p w:rsidR="003703F0" w:rsidRDefault="00040F10" w:rsidP="003703F0">
      <w:pPr>
        <w:spacing w:line="480" w:lineRule="auto"/>
        <w:jc w:val="both"/>
        <w:rPr>
          <w:rFonts w:cs="Times New Roman"/>
        </w:rPr>
      </w:pPr>
      <w:r>
        <w:rPr>
          <w:noProof/>
          <w:lang w:eastAsia="en-GB"/>
        </w:rPr>
        <w:pict>
          <v:shape id="_x0000_s1149" type="#_x0000_t202" style="position:absolute;left:0;text-align:left;margin-left:165.75pt;margin-top:221.45pt;width:87.05pt;height:17.6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9">
              <w:txbxContent>
                <w:p w:rsidR="003A5686" w:rsidRPr="00B141B9" w:rsidRDefault="003A5686" w:rsidP="00BF55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3703F0" w:rsidRPr="00C11EB4">
        <w:t xml:space="preserve">In this investigation, the interaction of phytate with both BSA and HSA was investigated by ITC in both PBS and 10 mM ammonium acetate buffer. </w:t>
      </w:r>
      <w:r w:rsidR="003703F0" w:rsidRPr="00C11EB4">
        <w:rPr>
          <w:rFonts w:cs="Times New Roman"/>
        </w:rPr>
        <w:t>Titration of phytate into both 10 mM ammonium acetate buffer and PBS buffer showed a negligible Δ</w:t>
      </w:r>
      <w:r w:rsidR="003703F0" w:rsidRPr="00C11EB4">
        <w:rPr>
          <w:rFonts w:cs="Times New Roman"/>
          <w:i/>
        </w:rPr>
        <w:t xml:space="preserve">H </w:t>
      </w:r>
      <w:r w:rsidR="003703F0" w:rsidRPr="00C11EB4">
        <w:rPr>
          <w:rFonts w:cs="Times New Roman"/>
        </w:rPr>
        <w:t xml:space="preserve">as did titration of these buffers into the proteins. For each protein-phytate interaction studied in 10 mM ammonium acetate pH 4, an exothermic interaction was observed. </w:t>
      </w:r>
      <w:r w:rsidR="0075172E">
        <w:rPr>
          <w:rFonts w:cs="Times New Roman"/>
        </w:rPr>
        <w:fldChar w:fldCharType="begin"/>
      </w:r>
      <w:r w:rsidR="004F269C">
        <w:rPr>
          <w:rFonts w:cs="Times New Roman"/>
        </w:rPr>
        <w:instrText xml:space="preserve"> REF _Ref442885349 \h </w:instrText>
      </w:r>
      <w:r w:rsidR="0075172E">
        <w:rPr>
          <w:rFonts w:cs="Times New Roman"/>
        </w:rPr>
      </w:r>
      <w:r w:rsidR="0075172E">
        <w:rPr>
          <w:rFonts w:cs="Times New Roman"/>
        </w:rPr>
        <w:fldChar w:fldCharType="separate"/>
      </w:r>
      <w:r w:rsidR="00CB4EDC" w:rsidRPr="004F269C">
        <w:t xml:space="preserve">Figure </w:t>
      </w:r>
      <w:r w:rsidR="00CB4EDC">
        <w:rPr>
          <w:noProof/>
        </w:rPr>
        <w:t>6</w:t>
      </w:r>
      <w:r w:rsidR="00CB4EDC">
        <w:t>.</w:t>
      </w:r>
      <w:r w:rsidR="00CB4EDC">
        <w:rPr>
          <w:noProof/>
        </w:rPr>
        <w:t>2</w:t>
      </w:r>
      <w:r w:rsidR="0075172E">
        <w:rPr>
          <w:rFonts w:cs="Times New Roman"/>
        </w:rPr>
        <w:fldChar w:fldCharType="end"/>
      </w:r>
      <w:r w:rsidR="004F269C">
        <w:rPr>
          <w:rFonts w:cs="Times New Roman"/>
        </w:rPr>
        <w:t xml:space="preserve"> </w:t>
      </w:r>
      <w:r w:rsidR="003703F0">
        <w:rPr>
          <w:rFonts w:cs="Times New Roman"/>
        </w:rPr>
        <w:t xml:space="preserve">and </w:t>
      </w:r>
      <w:r w:rsidR="0075172E">
        <w:rPr>
          <w:rFonts w:cs="Times New Roman"/>
        </w:rPr>
        <w:fldChar w:fldCharType="begin"/>
      </w:r>
      <w:r w:rsidR="004F269C">
        <w:rPr>
          <w:rFonts w:cs="Times New Roman"/>
        </w:rPr>
        <w:instrText xml:space="preserve"> REF _Ref442885367 \h </w:instrText>
      </w:r>
      <w:r w:rsidR="0075172E">
        <w:rPr>
          <w:rFonts w:cs="Times New Roman"/>
        </w:rPr>
      </w:r>
      <w:r w:rsidR="0075172E">
        <w:rPr>
          <w:rFonts w:cs="Times New Roman"/>
        </w:rPr>
        <w:fldChar w:fldCharType="separate"/>
      </w:r>
      <w:r w:rsidR="00CB4EDC">
        <w:t xml:space="preserve">Figure </w:t>
      </w:r>
      <w:r w:rsidR="00CB4EDC">
        <w:rPr>
          <w:noProof/>
        </w:rPr>
        <w:t>6</w:t>
      </w:r>
      <w:r w:rsidR="00CB4EDC">
        <w:t>.</w:t>
      </w:r>
      <w:r w:rsidR="00CB4EDC">
        <w:rPr>
          <w:noProof/>
        </w:rPr>
        <w:t>3</w:t>
      </w:r>
      <w:r w:rsidR="0075172E">
        <w:rPr>
          <w:rFonts w:cs="Times New Roman"/>
        </w:rPr>
        <w:fldChar w:fldCharType="end"/>
      </w:r>
      <w:r w:rsidR="004F269C">
        <w:rPr>
          <w:rFonts w:cs="Times New Roman"/>
        </w:rPr>
        <w:t xml:space="preserve"> </w:t>
      </w:r>
      <w:r w:rsidR="003703F0" w:rsidRPr="00C11EB4">
        <w:rPr>
          <w:rFonts w:cs="Times New Roman"/>
        </w:rPr>
        <w:t xml:space="preserve">show ITC binding isotherms for both phytate binding to HSA and BSA respectively. The plots are sigmoidal but show evidence of a main primary event and a weak secondary event after two molar ratios. </w:t>
      </w:r>
    </w:p>
    <w:p w:rsidR="003703F0" w:rsidRDefault="00040F10" w:rsidP="00E11779">
      <w:pPr>
        <w:keepNext/>
        <w:spacing w:line="480" w:lineRule="auto"/>
        <w:jc w:val="center"/>
      </w:pPr>
      <w:r>
        <w:rPr>
          <w:noProof/>
          <w:lang w:eastAsia="en-GB"/>
        </w:rPr>
        <w:pict>
          <v:shape id="_x0000_s1154" type="#_x0000_t202" style="position:absolute;left:0;text-align:left;margin-left:-2.25pt;margin-top:7.8pt;width:26.15pt;height:231.45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BF55B9">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Pr>
          <w:noProof/>
          <w:lang w:eastAsia="en-GB"/>
        </w:rPr>
        <w:pict>
          <v:shape id="_x0000_s1141" type="#_x0000_t202" style="position:absolute;left:0;text-align:left;margin-left:171.6pt;margin-top:243.6pt;width:87.05pt;height:17.6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1">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sidR="00E11779">
        <w:rPr>
          <w:noProof/>
          <w:lang w:eastAsia="en-GB"/>
        </w:rPr>
        <w:drawing>
          <wp:inline distT="0" distB="0" distL="0" distR="0" wp14:anchorId="7EA873DA" wp14:editId="1F717433">
            <wp:extent cx="5205730" cy="3341836"/>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srcRect/>
                    <a:stretch>
                      <a:fillRect/>
                    </a:stretch>
                  </pic:blipFill>
                  <pic:spPr bwMode="auto">
                    <a:xfrm>
                      <a:off x="0" y="0"/>
                      <a:ext cx="5205730" cy="3341836"/>
                    </a:xfrm>
                    <a:prstGeom prst="rect">
                      <a:avLst/>
                    </a:prstGeom>
                    <a:noFill/>
                    <a:ln w="9525">
                      <a:noFill/>
                      <a:miter lim="800000"/>
                      <a:headEnd/>
                      <a:tailEnd/>
                    </a:ln>
                  </pic:spPr>
                </pic:pic>
              </a:graphicData>
            </a:graphic>
          </wp:inline>
        </w:drawing>
      </w:r>
    </w:p>
    <w:p w:rsidR="003703F0" w:rsidRPr="004F269C" w:rsidRDefault="004F269C" w:rsidP="004F269C">
      <w:pPr>
        <w:pStyle w:val="Caption"/>
        <w:spacing w:line="480" w:lineRule="auto"/>
        <w:jc w:val="center"/>
      </w:pPr>
      <w:bookmarkStart w:id="220" w:name="_Ref442885349"/>
      <w:r w:rsidRPr="004F269C">
        <w:t xml:space="preserve">Figure </w:t>
      </w:r>
      <w:r w:rsidR="0075172E">
        <w:fldChar w:fldCharType="begin"/>
      </w:r>
      <w:r w:rsidR="00AC2227">
        <w:instrText xml:space="preserve"> STYLEREF 1 \s </w:instrText>
      </w:r>
      <w:r w:rsidR="0075172E">
        <w:fldChar w:fldCharType="separate"/>
      </w:r>
      <w:r w:rsidR="00CB4EDC">
        <w:rPr>
          <w:noProof/>
        </w:rPr>
        <w:t>6</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2</w:t>
      </w:r>
      <w:r w:rsidR="0075172E">
        <w:fldChar w:fldCharType="end"/>
      </w:r>
      <w:bookmarkEnd w:id="220"/>
      <w:r w:rsidR="003703F0" w:rsidRPr="004F269C">
        <w:t>: ITC binding isotherm for the interaction of 2 mM potassium phytate and 0.149 mM HSA in 10 mM ammonium acetate at 25</w:t>
      </w:r>
      <w:r w:rsidR="006F2757">
        <w:t xml:space="preserve"> </w:t>
      </w:r>
      <w:r w:rsidR="003703F0" w:rsidRPr="004F269C">
        <w:t>°C pH 4 (closed circles). Acetate titrated into HSA (Crosses). Phytate titrated into acetate (Open triangles).</w:t>
      </w:r>
      <w:r w:rsidR="00B55C59">
        <w:t xml:space="preserve"> Solid line represents single site independent binding model fit.</w:t>
      </w:r>
    </w:p>
    <w:p w:rsidR="003703F0" w:rsidRDefault="003703F0" w:rsidP="003703F0"/>
    <w:p w:rsidR="003703F0" w:rsidRDefault="00040F10" w:rsidP="003703F0">
      <w:pPr>
        <w:keepNext/>
      </w:pPr>
      <w:r>
        <w:rPr>
          <w:noProof/>
          <w:lang w:eastAsia="en-GB"/>
        </w:rPr>
        <w:lastRenderedPageBreak/>
        <w:pict>
          <v:shape id="_x0000_s1155" type="#_x0000_t202" style="position:absolute;margin-left:-1.4pt;margin-top:19.25pt;width:26.15pt;height:231.45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BF55B9">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Pr>
          <w:noProof/>
          <w:lang w:eastAsia="en-GB"/>
        </w:rPr>
        <w:pict>
          <v:shape id="_x0000_s1150" type="#_x0000_t202" style="position:absolute;margin-left:176.9pt;margin-top:1.65pt;width:87.05pt;height:17.6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50">
              <w:txbxContent>
                <w:p w:rsidR="003A5686" w:rsidRPr="00B141B9" w:rsidRDefault="003A5686" w:rsidP="00BF55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rFonts w:cs="Times New Roman"/>
          <w:noProof/>
          <w:lang w:eastAsia="en-GB"/>
        </w:rPr>
        <w:pict>
          <v:shape id="_x0000_s1142" type="#_x0000_t202" style="position:absolute;margin-left:182.45pt;margin-top:259.5pt;width:87.05pt;height:17.6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2">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sidR="00E11779">
        <w:rPr>
          <w:noProof/>
          <w:lang w:eastAsia="en-GB"/>
        </w:rPr>
        <w:drawing>
          <wp:inline distT="0" distB="0" distL="0" distR="0" wp14:anchorId="5E8381B2" wp14:editId="76137A34">
            <wp:extent cx="5205730" cy="3472522"/>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cstate="print"/>
                    <a:srcRect/>
                    <a:stretch>
                      <a:fillRect/>
                    </a:stretch>
                  </pic:blipFill>
                  <pic:spPr bwMode="auto">
                    <a:xfrm>
                      <a:off x="0" y="0"/>
                      <a:ext cx="5205730" cy="3472522"/>
                    </a:xfrm>
                    <a:prstGeom prst="rect">
                      <a:avLst/>
                    </a:prstGeom>
                    <a:noFill/>
                    <a:ln w="9525">
                      <a:noFill/>
                      <a:miter lim="800000"/>
                      <a:headEnd/>
                      <a:tailEnd/>
                    </a:ln>
                  </pic:spPr>
                </pic:pic>
              </a:graphicData>
            </a:graphic>
          </wp:inline>
        </w:drawing>
      </w:r>
    </w:p>
    <w:p w:rsidR="003703F0" w:rsidRPr="00080798" w:rsidRDefault="003703F0" w:rsidP="003703F0">
      <w:pPr>
        <w:pStyle w:val="Caption"/>
        <w:spacing w:line="480" w:lineRule="auto"/>
        <w:jc w:val="center"/>
      </w:pPr>
      <w:bookmarkStart w:id="221" w:name="_Ref442885367"/>
      <w:r>
        <w:t xml:space="preserve">Figure </w:t>
      </w:r>
      <w:r w:rsidR="0075172E">
        <w:fldChar w:fldCharType="begin"/>
      </w:r>
      <w:r w:rsidR="00AC2227">
        <w:instrText xml:space="preserve"> STYLEREF 1 \s </w:instrText>
      </w:r>
      <w:r w:rsidR="0075172E">
        <w:fldChar w:fldCharType="separate"/>
      </w:r>
      <w:r w:rsidR="00CB4EDC">
        <w:rPr>
          <w:noProof/>
        </w:rPr>
        <w:t>6</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3</w:t>
      </w:r>
      <w:r w:rsidR="0075172E">
        <w:fldChar w:fldCharType="end"/>
      </w:r>
      <w:bookmarkEnd w:id="221"/>
      <w:r>
        <w:t xml:space="preserve">: </w:t>
      </w:r>
      <w:r w:rsidRPr="00940180">
        <w:t xml:space="preserve">ITC binding isotherm for the interaction of </w:t>
      </w:r>
      <w:r>
        <w:t>2</w:t>
      </w:r>
      <w:r w:rsidRPr="00940180">
        <w:t xml:space="preserve"> mM potassium phytate and 0.</w:t>
      </w:r>
      <w:r>
        <w:t>149</w:t>
      </w:r>
      <w:r w:rsidRPr="00940180">
        <w:t xml:space="preserve"> mM </w:t>
      </w:r>
      <w:r>
        <w:t>BSA in 10 mM ammonium acetate at 25</w:t>
      </w:r>
      <w:r w:rsidR="006F2757">
        <w:t xml:space="preserve"> </w:t>
      </w:r>
      <w:r>
        <w:t>°C pH 4 (closed circles)</w:t>
      </w:r>
      <w:r w:rsidRPr="00940180">
        <w:t xml:space="preserve">. </w:t>
      </w:r>
      <w:r>
        <w:t>A</w:t>
      </w:r>
      <w:r w:rsidRPr="00940180">
        <w:t xml:space="preserve">cetate titrated into </w:t>
      </w:r>
      <w:r>
        <w:t>BSA</w:t>
      </w:r>
      <w:r w:rsidRPr="00940180">
        <w:t xml:space="preserve"> (Crosses). </w:t>
      </w:r>
      <w:r>
        <w:t>P</w:t>
      </w:r>
      <w:r w:rsidRPr="00940180">
        <w:t>hytate titrated into 10 mM acetate</w:t>
      </w:r>
      <w:r>
        <w:t xml:space="preserve"> </w:t>
      </w:r>
      <w:r w:rsidRPr="00940180">
        <w:t xml:space="preserve">(Open </w:t>
      </w:r>
      <w:r>
        <w:t>triangles)</w:t>
      </w:r>
      <w:r w:rsidRPr="00940180">
        <w:t>.</w:t>
      </w:r>
      <w:r w:rsidR="00B55C59">
        <w:t xml:space="preserve"> Solid line represents single site independent binding model fit.</w:t>
      </w:r>
    </w:p>
    <w:p w:rsidR="003703F0" w:rsidRPr="00C11EB4" w:rsidRDefault="003703F0" w:rsidP="003703F0">
      <w:pPr>
        <w:spacing w:line="480" w:lineRule="auto"/>
        <w:jc w:val="both"/>
        <w:rPr>
          <w:rFonts w:cs="Times New Roman"/>
        </w:rPr>
      </w:pPr>
      <w:r w:rsidRPr="00C11EB4">
        <w:rPr>
          <w:rFonts w:cs="Times New Roman"/>
        </w:rPr>
        <w:t xml:space="preserve">At low molar ratios, the binding interaction led to an exothermic response, which decreased in size with successive injections indicative of saturation of binding sites on the protein and favouring equilibrium formation of protein-phytate complexes. </w:t>
      </w:r>
      <w:r>
        <w:rPr>
          <w:rFonts w:cs="Times New Roman"/>
        </w:rPr>
        <w:t xml:space="preserve">The return to baseline was slow, approximately 300 seconds between 0.07 and 0.9 molar ratios, indicating a slow dissociation step of phytate from the albumins. Increasing the molar ratio of phytate increased the time taken to reach equilibrium. At approximately, 1.5 molar ratios, the time taken for phytate to dissociate from the albumins was approximately 500 seconds.  </w:t>
      </w:r>
      <w:r w:rsidRPr="00C11EB4">
        <w:rPr>
          <w:rFonts w:cs="Times New Roman"/>
        </w:rPr>
        <w:t>At high</w:t>
      </w:r>
      <w:r>
        <w:rPr>
          <w:rFonts w:cs="Times New Roman"/>
        </w:rPr>
        <w:t>er phytate-protein molar ratio of 2 and above,</w:t>
      </w:r>
      <w:r w:rsidRPr="00C11EB4">
        <w:rPr>
          <w:rFonts w:cs="Times New Roman"/>
        </w:rPr>
        <w:t xml:space="preserve"> small but notable exothermic peaks were observed beyond binding saturation even though heat effects from phytate dilution were corrected for.  </w:t>
      </w:r>
    </w:p>
    <w:p w:rsidR="003703F0" w:rsidRPr="00C11EB4" w:rsidRDefault="003703F0" w:rsidP="003703F0">
      <w:pPr>
        <w:spacing w:line="480" w:lineRule="auto"/>
        <w:jc w:val="both"/>
        <w:rPr>
          <w:rFonts w:cs="Times New Roman"/>
          <w:color w:val="000000" w:themeColor="text1"/>
        </w:rPr>
      </w:pPr>
      <w:r w:rsidRPr="00C11EB4">
        <w:rPr>
          <w:rFonts w:cs="Times New Roman"/>
        </w:rPr>
        <w:t xml:space="preserve"> This is a familiar feature of many tannin-macromolecule interactions. Titration of tara-gallotannins into gelatin produced small exothermic peaks at tannin-macromolecule molar </w:t>
      </w:r>
      <w:r w:rsidRPr="00C11EB4">
        <w:rPr>
          <w:rFonts w:cs="Times New Roman"/>
        </w:rPr>
        <w:lastRenderedPageBreak/>
        <w:t>ratios beyond 200:</w:t>
      </w:r>
      <w:r>
        <w:rPr>
          <w:rFonts w:cs="Times New Roman"/>
        </w:rPr>
        <w:t>1</w:t>
      </w:r>
      <w:r w:rsidRPr="00C11EB4">
        <w:rPr>
          <w:rFonts w:cs="Times New Roman"/>
          <w:color w:val="000000" w:themeColor="text1"/>
        </w:rPr>
        <w:t xml:space="preserve"> </w:t>
      </w:r>
      <w:r>
        <w:rPr>
          <w:rFonts w:cs="Times New Roman"/>
          <w:color w:val="000000" w:themeColor="text1"/>
        </w:rPr>
        <w:t>w</w:t>
      </w:r>
      <w:r w:rsidRPr="00C11EB4">
        <w:rPr>
          <w:rFonts w:cs="Times New Roman"/>
          <w:color w:val="000000" w:themeColor="text1"/>
        </w:rPr>
        <w:t>hich was attributed to non-specific interactions with gelatin.</w:t>
      </w:r>
      <w:hyperlink w:anchor="_ENREF_226" w:tooltip="Deaville, 2007 #435" w:history="1">
        <w:r w:rsidR="00512D09">
          <w:rPr>
            <w:rFonts w:cs="Times New Roman"/>
            <w:color w:val="000000" w:themeColor="text1"/>
          </w:rPr>
          <w:fldChar w:fldCharType="begin"/>
        </w:r>
        <w:r w:rsidR="00512D09">
          <w:rPr>
            <w:rFonts w:cs="Times New Roman"/>
            <w:color w:val="000000" w:themeColor="text1"/>
          </w:rPr>
          <w:instrText xml:space="preserve"> ADDIN EN.CITE &lt;EndNote&gt;&lt;Cite&gt;&lt;Author&gt;Deaville&lt;/Author&gt;&lt;Year&gt;2007&lt;/Year&gt;&lt;RecNum&gt;435&lt;/RecNum&gt;&lt;DisplayText&gt;&lt;style face="superscript"&gt;226&lt;/style&gt;&lt;/DisplayText&gt;&lt;record&gt;&lt;rec-number&gt;435&lt;/rec-number&gt;&lt;foreign-keys&gt;&lt;key app="EN" db-id="5trrespwzsdr07efd5tx2w96x22re9s0fsdt"&gt;435&lt;/key&gt;&lt;/foreign-keys&gt;&lt;ref-type name="Journal Article"&gt;17&lt;/ref-type&gt;&lt;contributors&gt;&lt;authors&gt;&lt;author&gt;Deaville, Eddie R.&lt;/author&gt;&lt;author&gt;Green, Rebecca J.&lt;/author&gt;&lt;author&gt;Mueller-Harvey, Irene&lt;/author&gt;&lt;author&gt;Willoughby, Ian&lt;/author&gt;&lt;author&gt;Frazier, Richard A.&lt;/author&gt;&lt;/authors&gt;&lt;/contributors&gt;&lt;titles&gt;&lt;title&gt;Hydrolyzable Tannin Structures Influence Relative Globular and Random Coil Protein Binding Strengths&lt;/title&gt;&lt;secondary-title&gt;Journal of Agricultural and Food Chemistry&lt;/secondary-title&gt;&lt;/titles&gt;&lt;periodical&gt;&lt;full-title&gt;Journal of Agricultural and Food Chemistry&lt;/full-title&gt;&lt;/periodical&gt;&lt;pages&gt;4554-4561&lt;/pages&gt;&lt;volume&gt;55&lt;/volume&gt;&lt;number&gt;11&lt;/number&gt;&lt;dates&gt;&lt;year&gt;2007&lt;/year&gt;&lt;pub-dates&gt;&lt;date&gt;2007/05/01&lt;/date&gt;&lt;/pub-dates&gt;&lt;/dates&gt;&lt;publisher&gt;American Chemical Society&lt;/publisher&gt;&lt;isbn&gt;0021-8561&lt;/isbn&gt;&lt;urls&gt;&lt;related-urls&gt;&lt;url&gt;http://dx.doi.org/10.1021/jf063770o&lt;/url&gt;&lt;/related-urls&gt;&lt;/urls&gt;&lt;electronic-resource-num&gt;10.1021/jf063770o&lt;/electronic-resource-num&gt;&lt;access-date&gt;2014/10/20&lt;/access-date&gt;&lt;/record&gt;&lt;/Cite&gt;&lt;/EndNote&gt;</w:instrText>
        </w:r>
        <w:r w:rsidR="00512D09">
          <w:rPr>
            <w:rFonts w:cs="Times New Roman"/>
            <w:color w:val="000000" w:themeColor="text1"/>
          </w:rPr>
          <w:fldChar w:fldCharType="separate"/>
        </w:r>
        <w:r w:rsidR="00512D09" w:rsidRPr="006421D1">
          <w:rPr>
            <w:rFonts w:cs="Times New Roman"/>
            <w:noProof/>
            <w:color w:val="000000" w:themeColor="text1"/>
            <w:vertAlign w:val="superscript"/>
          </w:rPr>
          <w:t>226</w:t>
        </w:r>
        <w:r w:rsidR="00512D09">
          <w:rPr>
            <w:rFonts w:cs="Times New Roman"/>
            <w:color w:val="000000" w:themeColor="text1"/>
          </w:rPr>
          <w:fldChar w:fldCharType="end"/>
        </w:r>
      </w:hyperlink>
      <w:r w:rsidRPr="00C11EB4">
        <w:rPr>
          <w:rFonts w:cs="Times New Roman"/>
          <w:color w:val="000000" w:themeColor="text1"/>
        </w:rPr>
        <w:t xml:space="preserve"> Titration of pentagalloyl glucose into </w:t>
      </w:r>
      <w:r w:rsidRPr="00C11EB4">
        <w:rPr>
          <w:rFonts w:cs="Helvetica"/>
          <w:color w:val="000000" w:themeColor="text1"/>
          <w:shd w:val="clear" w:color="auto" w:fill="FFFFFF"/>
        </w:rPr>
        <w:t>ribulose-1,5-bisphosphate carboxylase/oxygenase (Rubisco) also produced small exothermic peaks at molar ratios beyond 800 tannin-macr</w:t>
      </w:r>
      <w:r>
        <w:rPr>
          <w:rFonts w:cs="Helvetica"/>
          <w:color w:val="000000" w:themeColor="text1"/>
          <w:shd w:val="clear" w:color="auto" w:fill="FFFFFF"/>
        </w:rPr>
        <w:t>o</w:t>
      </w:r>
      <w:r w:rsidRPr="00C11EB4">
        <w:rPr>
          <w:rFonts w:cs="Helvetica"/>
          <w:color w:val="000000" w:themeColor="text1"/>
          <w:shd w:val="clear" w:color="auto" w:fill="FFFFFF"/>
        </w:rPr>
        <w:t xml:space="preserve">molecule molar ratios which is much more than the protein could accommodate on the surface given a simple surface absorption model. The authors suggested two possible reasons. The first could be due to </w:t>
      </w:r>
      <w:r w:rsidRPr="00C11EB4">
        <w:rPr>
          <w:rFonts w:cs="Times New Roman"/>
          <w:color w:val="000000" w:themeColor="text1"/>
        </w:rPr>
        <w:t>pentagalloyl glucose binding to pentagalloyl glucose already bound forming a tannin-multilayer. The second could be due a change in oligomerisation state for Rubisco allowing further tannin binding to the exposed regions of the subunits</w:t>
      </w:r>
      <w:r>
        <w:rPr>
          <w:rFonts w:cs="Times New Roman"/>
          <w:color w:val="000000" w:themeColor="text1"/>
        </w:rPr>
        <w:t>.</w:t>
      </w:r>
      <w:hyperlink w:anchor="_ENREF_287" w:tooltip="Dobreva, 2011 #526" w:history="1">
        <w:r w:rsidR="00512D09">
          <w:rPr>
            <w:rFonts w:cs="Times New Roman"/>
            <w:color w:val="000000" w:themeColor="text1"/>
          </w:rPr>
          <w:fldChar w:fldCharType="begin"/>
        </w:r>
        <w:r w:rsidR="00512D09">
          <w:rPr>
            <w:rFonts w:cs="Times New Roman"/>
            <w:color w:val="000000" w:themeColor="text1"/>
          </w:rPr>
          <w:instrText xml:space="preserve"> ADDIN EN.CITE &lt;EndNote&gt;&lt;Cite&gt;&lt;Author&gt;Dobreva&lt;/Author&gt;&lt;Year&gt;2011&lt;/Year&gt;&lt;RecNum&gt;514&lt;/RecNum&gt;&lt;DisplayText&gt;&lt;style face="superscript"&gt;287&lt;/style&gt;&lt;/DisplayText&gt;&lt;record&gt;&lt;rec-number&gt;514&lt;/rec-number&gt;&lt;foreign-keys&gt;&lt;key app="EN" db-id="5trrespwzsdr07efd5tx2w96x22re9s0fsdt"&gt;514&lt;/key&gt;&lt;/foreign-keys&gt;&lt;ref-type name="Journal Article"&gt;17&lt;/ref-type&gt;&lt;contributors&gt;&lt;authors&gt;&lt;author&gt;Dobreva, Marina A.&lt;/author&gt;&lt;author&gt;Frazier, Richard A.&lt;/author&gt;&lt;author&gt;Mueller-Harvey, Irene&lt;/author&gt;&lt;author&gt;Clifton, Luke A.&lt;/author&gt;&lt;author&gt;Gea, An&lt;/author&gt;&lt;author&gt;Green, Rebecca J.&lt;/author&gt;&lt;/authors&gt;&lt;/contributors&gt;&lt;titles&gt;&lt;title&gt;Binding of Pentagalloyl Glucose to Two Globular Proteins Occurs via Multiple Surface Sites&lt;/title&gt;&lt;secondary-title&gt;Biomacromolecules&lt;/secondary-title&gt;&lt;/titles&gt;&lt;periodical&gt;&lt;full-title&gt;Biomacromolecules&lt;/full-title&gt;&lt;/periodical&gt;&lt;pages&gt;710-715&lt;/pages&gt;&lt;volume&gt;12&lt;/volume&gt;&lt;number&gt;3&lt;/number&gt;&lt;dates&gt;&lt;year&gt;2011&lt;/year&gt;&lt;pub-dates&gt;&lt;date&gt;2011/03/14&lt;/date&gt;&lt;/pub-dates&gt;&lt;/dates&gt;&lt;publisher&gt;American Chemical Society&lt;/publisher&gt;&lt;isbn&gt;1525-7797&lt;/isbn&gt;&lt;urls&gt;&lt;related-urls&gt;&lt;url&gt;http://dx.doi.org/10.1021/bm101341s&lt;/url&gt;&lt;/related-urls&gt;&lt;/urls&gt;&lt;electronic-resource-num&gt;10.1021/bm101341s&lt;/electronic-resource-num&gt;&lt;access-date&gt;2015/02/09&lt;/access-date&gt;&lt;/record&gt;&lt;/Cite&gt;&lt;/EndNote&gt;</w:instrText>
        </w:r>
        <w:r w:rsidR="00512D09">
          <w:rPr>
            <w:rFonts w:cs="Times New Roman"/>
            <w:color w:val="000000" w:themeColor="text1"/>
          </w:rPr>
          <w:fldChar w:fldCharType="separate"/>
        </w:r>
        <w:r w:rsidR="00512D09" w:rsidRPr="006421D1">
          <w:rPr>
            <w:rFonts w:cs="Times New Roman"/>
            <w:noProof/>
            <w:color w:val="000000" w:themeColor="text1"/>
            <w:vertAlign w:val="superscript"/>
          </w:rPr>
          <w:t>287</w:t>
        </w:r>
        <w:r w:rsidR="00512D09">
          <w:rPr>
            <w:rFonts w:cs="Times New Roman"/>
            <w:color w:val="000000" w:themeColor="text1"/>
          </w:rPr>
          <w:fldChar w:fldCharType="end"/>
        </w:r>
      </w:hyperlink>
      <w:r>
        <w:rPr>
          <w:rFonts w:cs="Times New Roman"/>
          <w:color w:val="000000" w:themeColor="text1"/>
        </w:rPr>
        <w:t xml:space="preserve"> For </w:t>
      </w:r>
      <w:r w:rsidRPr="00C11EB4">
        <w:rPr>
          <w:rFonts w:cs="Times New Roman"/>
          <w:color w:val="000000" w:themeColor="text1"/>
        </w:rPr>
        <w:t xml:space="preserve">the interaction presented here, for both HSA and BSA, it is unlikely that a multilayer of phytate bound to already bound phytate on the protein is occurring. Phytate is negatively charged and so given the nature of electrostatics, it would be expected that phytate would repel bound phytate. It is possible that phytate is interacting with other smaller positively charged regions on the protein. </w:t>
      </w:r>
      <w:r>
        <w:rPr>
          <w:rFonts w:cs="Times New Roman"/>
          <w:color w:val="000000" w:themeColor="text1"/>
        </w:rPr>
        <w:t xml:space="preserve">However, it would be expected that the interaction would be exothermic rather than endothermic given that phytate binding to the albumins is exothermic. Ionic strength is known to be crucial in electrostatic interactions. It is possible when the cell concentration of phytate reaches 0.264 mM it begins to screen, thus promoting dissociation of phytate from the protein. </w:t>
      </w:r>
    </w:p>
    <w:p w:rsidR="003703F0" w:rsidRDefault="003703F0" w:rsidP="003703F0">
      <w:pPr>
        <w:spacing w:line="480" w:lineRule="auto"/>
        <w:jc w:val="both"/>
        <w:rPr>
          <w:rFonts w:cs="Times New Roman"/>
          <w:color w:val="000000" w:themeColor="text1"/>
        </w:rPr>
      </w:pPr>
      <w:r w:rsidRPr="00C11EB4">
        <w:rPr>
          <w:rFonts w:cs="Times New Roman"/>
          <w:color w:val="000000" w:themeColor="text1"/>
        </w:rPr>
        <w:t xml:space="preserve">The favourable change in enthalpy is most likely due to </w:t>
      </w:r>
      <w:r>
        <w:rPr>
          <w:rFonts w:cs="Times New Roman"/>
          <w:color w:val="000000" w:themeColor="text1"/>
        </w:rPr>
        <w:t xml:space="preserve">an </w:t>
      </w:r>
      <w:r w:rsidRPr="00C11EB4">
        <w:rPr>
          <w:rFonts w:cs="Times New Roman"/>
          <w:color w:val="000000" w:themeColor="text1"/>
        </w:rPr>
        <w:t>electrostatic interaction between the negatively charged phosphate groups on the phytate and the positively charged amino acids on the albumin surface. However, care must be taken when interpreting enthalpy values for both proteins, as this represents global heat changes such as precipitation in addition to binding. Another issue is trying to calculate accurate enthalpy values from the binding isotherms. The second stage of the interaction does not allow a good fit to the data as heat production never reaches 0</w:t>
      </w:r>
      <w:r w:rsidR="00332DB0">
        <w:rPr>
          <w:rFonts w:cs="Times New Roman"/>
          <w:color w:val="000000" w:themeColor="text1"/>
        </w:rPr>
        <w:t xml:space="preserve"> µJ</w:t>
      </w:r>
      <w:r w:rsidRPr="00C11EB4">
        <w:rPr>
          <w:rFonts w:cs="Times New Roman"/>
          <w:color w:val="000000" w:themeColor="text1"/>
        </w:rPr>
        <w:t>. A similar problem has been encountered with those who study tannin-macromolecule interactions. A number of biochemists using ITC to investigate tannin-macromolecule interactions</w:t>
      </w:r>
      <w:r w:rsidR="000F6FBF">
        <w:rPr>
          <w:rFonts w:cs="Times New Roman"/>
          <w:color w:val="000000" w:themeColor="text1"/>
        </w:rPr>
        <w:t xml:space="preserve"> present both the </w:t>
      </w:r>
      <w:r w:rsidR="000F6FBF">
        <w:rPr>
          <w:rFonts w:cs="Times New Roman"/>
          <w:color w:val="000000" w:themeColor="text1"/>
        </w:rPr>
        <w:lastRenderedPageBreak/>
        <w:t>one and two site models</w:t>
      </w:r>
      <w:r>
        <w:rPr>
          <w:rFonts w:cs="Times New Roman"/>
          <w:color w:val="000000" w:themeColor="text1"/>
        </w:rPr>
        <w:t>.</w:t>
      </w:r>
      <w:r w:rsidR="0075172E">
        <w:rPr>
          <w:rFonts w:cs="Times New Roman"/>
          <w:color w:val="000000" w:themeColor="text1"/>
        </w:rPr>
        <w:fldChar w:fldCharType="begin">
          <w:fldData xml:space="preserve">PEVuZE5vdGU+PENpdGU+PEF1dGhvcj5LYXJvbmVuPC9BdXRob3I+PFllYXI+MjAxNTwvWWVhcj48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</w:fldData>
        </w:fldChar>
      </w:r>
      <w:r w:rsidR="006421D1">
        <w:rPr>
          <w:rFonts w:cs="Times New Roman"/>
          <w:color w:val="000000" w:themeColor="text1"/>
        </w:rPr>
        <w:instrText xml:space="preserve"> ADDIN EN.CITE </w:instrText>
      </w:r>
      <w:r w:rsidR="0075172E">
        <w:rPr>
          <w:rFonts w:cs="Times New Roman"/>
          <w:color w:val="000000" w:themeColor="text1"/>
        </w:rPr>
        <w:fldChar w:fldCharType="begin">
          <w:fldData xml:space="preserve">PEVuZE5vdGU+PENpdGU+PEF1dGhvcj5LYXJvbmVuPC9BdXRob3I+PFllYXI+MjAxNTwvWWVhcj48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</w:fldData>
        </w:fldChar>
      </w:r>
      <w:r w:rsidR="006421D1">
        <w:rPr>
          <w:rFonts w:cs="Times New Roman"/>
          <w:color w:val="000000" w:themeColor="text1"/>
        </w:rPr>
        <w:instrText xml:space="preserve"> ADDIN EN.CITE.DATA </w:instrText>
      </w:r>
      <w:r w:rsidR="0075172E">
        <w:rPr>
          <w:rFonts w:cs="Times New Roman"/>
          <w:color w:val="000000" w:themeColor="text1"/>
        </w:rPr>
      </w:r>
      <w:r w:rsidR="0075172E">
        <w:rPr>
          <w:rFonts w:cs="Times New Roman"/>
          <w:color w:val="000000" w:themeColor="text1"/>
        </w:rPr>
        <w:fldChar w:fldCharType="end"/>
      </w:r>
      <w:r w:rsidR="0075172E">
        <w:rPr>
          <w:rFonts w:cs="Times New Roman"/>
          <w:color w:val="000000" w:themeColor="text1"/>
        </w:rPr>
      </w:r>
      <w:r w:rsidR="0075172E">
        <w:rPr>
          <w:rFonts w:cs="Times New Roman"/>
          <w:color w:val="000000" w:themeColor="text1"/>
        </w:rPr>
        <w:fldChar w:fldCharType="separate"/>
      </w:r>
      <w:hyperlink w:anchor="_ENREF_163" w:tooltip="Dobreva, 2014 #440" w:history="1">
        <w:r w:rsidR="00512D09" w:rsidRPr="006421D1">
          <w:rPr>
            <w:rFonts w:cs="Times New Roman"/>
            <w:noProof/>
            <w:color w:val="000000" w:themeColor="text1"/>
            <w:vertAlign w:val="superscript"/>
          </w:rPr>
          <w:t>163</w:t>
        </w:r>
      </w:hyperlink>
      <w:r w:rsidR="006421D1" w:rsidRPr="006421D1">
        <w:rPr>
          <w:rFonts w:cs="Times New Roman"/>
          <w:noProof/>
          <w:color w:val="000000" w:themeColor="text1"/>
          <w:vertAlign w:val="superscript"/>
        </w:rPr>
        <w:t>,</w:t>
      </w:r>
      <w:hyperlink w:anchor="_ENREF_204" w:tooltip="Karonen, 2015 #659" w:history="1">
        <w:r w:rsidR="00512D09" w:rsidRPr="006421D1">
          <w:rPr>
            <w:rFonts w:cs="Times New Roman"/>
            <w:noProof/>
            <w:color w:val="000000" w:themeColor="text1"/>
            <w:vertAlign w:val="superscript"/>
          </w:rPr>
          <w:t>204</w:t>
        </w:r>
      </w:hyperlink>
      <w:r w:rsidR="0075172E">
        <w:rPr>
          <w:rFonts w:cs="Times New Roman"/>
          <w:color w:val="000000" w:themeColor="text1"/>
        </w:rPr>
        <w:fldChar w:fldCharType="end"/>
      </w:r>
      <w:r w:rsidRPr="00C11EB4">
        <w:rPr>
          <w:rFonts w:cs="Times New Roman"/>
          <w:color w:val="000000" w:themeColor="text1"/>
        </w:rPr>
        <w:t xml:space="preserve">. Using </w:t>
      </w:r>
      <w:r w:rsidR="000F6FBF">
        <w:rPr>
          <w:rFonts w:cs="Times New Roman"/>
          <w:color w:val="000000" w:themeColor="text1"/>
        </w:rPr>
        <w:t xml:space="preserve">the two site </w:t>
      </w:r>
      <w:r w:rsidRPr="00C11EB4">
        <w:rPr>
          <w:rFonts w:cs="Times New Roman"/>
          <w:color w:val="000000" w:themeColor="text1"/>
        </w:rPr>
        <w:t>model to calculate energetics of the binding isotherm provided worse confidence intervals and unrealistic values.</w:t>
      </w:r>
      <w:r>
        <w:rPr>
          <w:rFonts w:cs="Times New Roman"/>
          <w:color w:val="000000" w:themeColor="text1"/>
        </w:rPr>
        <w:t xml:space="preserve"> To determine the thermodynamics using the independent site model, two approaches could be utilised. The data points for the second stage could be removed prior to analysis to help the fit. Fitting the data in this manner produced a large error in the enthalpy value as the model effectively estimates the upper (less favourable) limit of the enthalpy value.</w:t>
      </w:r>
      <w:r w:rsidRPr="00C11EB4">
        <w:rPr>
          <w:rFonts w:cs="Times New Roman"/>
          <w:color w:val="000000" w:themeColor="text1"/>
        </w:rPr>
        <w:t xml:space="preserve">  </w:t>
      </w:r>
      <w:r>
        <w:rPr>
          <w:rFonts w:cs="Times New Roman"/>
          <w:color w:val="000000" w:themeColor="text1"/>
        </w:rPr>
        <w:t xml:space="preserve">An alternative approach is to use a constant that reduces the heat for the second stage to zero. This provides a more accurate value for the </w:t>
      </w:r>
      <w:r w:rsidR="001D171F" w:rsidRPr="001D171F">
        <w:rPr>
          <w:rFonts w:eastAsiaTheme="minorEastAsia"/>
        </w:rPr>
        <w:t>Δ</w:t>
      </w:r>
      <w:r w:rsidR="001D171F">
        <w:rPr>
          <w:rFonts w:eastAsiaTheme="minorEastAsia"/>
          <w:i/>
        </w:rPr>
        <w:t xml:space="preserve">G </w:t>
      </w:r>
      <w:r>
        <w:rPr>
          <w:rFonts w:cs="Times New Roman"/>
          <w:color w:val="000000" w:themeColor="text1"/>
        </w:rPr>
        <w:t xml:space="preserve">of binding for the initial event. However, the </w:t>
      </w:r>
      <w:r w:rsidR="001D171F" w:rsidRPr="001D171F">
        <w:rPr>
          <w:rFonts w:eastAsiaTheme="minorEastAsia"/>
        </w:rPr>
        <w:t>Δ</w:t>
      </w:r>
      <w:r w:rsidR="001D171F">
        <w:rPr>
          <w:rFonts w:eastAsiaTheme="minorEastAsia"/>
          <w:i/>
        </w:rPr>
        <w:t>H</w:t>
      </w:r>
      <w:r>
        <w:rPr>
          <w:rFonts w:cs="Times New Roman"/>
          <w:color w:val="000000" w:themeColor="text1"/>
        </w:rPr>
        <w:t xml:space="preserve"> value must be treated with caution as it is the summation of two opposing </w:t>
      </w:r>
      <w:r w:rsidR="001D171F" w:rsidRPr="001D171F">
        <w:rPr>
          <w:rFonts w:eastAsiaTheme="minorEastAsia"/>
        </w:rPr>
        <w:t>Δ</w:t>
      </w:r>
      <w:r w:rsidR="001D171F">
        <w:rPr>
          <w:rFonts w:eastAsiaTheme="minorEastAsia"/>
          <w:i/>
        </w:rPr>
        <w:t>H</w:t>
      </w:r>
      <w:r>
        <w:rPr>
          <w:rFonts w:cs="Times New Roman"/>
          <w:color w:val="000000" w:themeColor="text1"/>
        </w:rPr>
        <w:t xml:space="preserve">. </w:t>
      </w:r>
    </w:p>
    <w:p w:rsidR="003703F0" w:rsidRDefault="003703F0" w:rsidP="003703F0">
      <w:pPr>
        <w:spacing w:line="480" w:lineRule="auto"/>
        <w:jc w:val="both"/>
        <w:rPr>
          <w:rFonts w:cs="Times New Roman"/>
          <w:color w:val="000000" w:themeColor="text1"/>
        </w:rPr>
      </w:pPr>
      <w:r>
        <w:rPr>
          <w:rFonts w:cs="Times New Roman"/>
          <w:color w:val="000000" w:themeColor="text1"/>
        </w:rPr>
        <w:t xml:space="preserve">Although the enthalpy values must be treated with caution, a simple inspection of </w:t>
      </w:r>
      <w:r w:rsidR="0075172E">
        <w:rPr>
          <w:rFonts w:cs="Times New Roman"/>
          <w:color w:val="000000" w:themeColor="text1"/>
        </w:rPr>
        <w:fldChar w:fldCharType="begin"/>
      </w:r>
      <w:r w:rsidR="004F269C">
        <w:rPr>
          <w:rFonts w:cs="Times New Roman"/>
          <w:color w:val="000000" w:themeColor="text1"/>
        </w:rPr>
        <w:instrText xml:space="preserve"> REF _Ref442885564 \h </w:instrText>
      </w:r>
      <w:r w:rsidR="0075172E">
        <w:rPr>
          <w:rFonts w:cs="Times New Roman"/>
          <w:color w:val="000000" w:themeColor="text1"/>
        </w:rPr>
      </w:r>
      <w:r w:rsidR="0075172E">
        <w:rPr>
          <w:rFonts w:cs="Times New Roman"/>
          <w:color w:val="000000" w:themeColor="text1"/>
        </w:rPr>
        <w:fldChar w:fldCharType="separate"/>
      </w:r>
      <w:r w:rsidR="00CB4EDC">
        <w:t xml:space="preserve">Figure </w:t>
      </w:r>
      <w:r w:rsidR="00CB4EDC">
        <w:rPr>
          <w:noProof/>
        </w:rPr>
        <w:t>6</w:t>
      </w:r>
      <w:r w:rsidR="00CB4EDC">
        <w:t>.</w:t>
      </w:r>
      <w:r w:rsidR="00CB4EDC">
        <w:rPr>
          <w:noProof/>
        </w:rPr>
        <w:t>4</w:t>
      </w:r>
      <w:r w:rsidR="0075172E">
        <w:rPr>
          <w:rFonts w:cs="Times New Roman"/>
          <w:color w:val="000000" w:themeColor="text1"/>
        </w:rPr>
        <w:fldChar w:fldCharType="end"/>
      </w:r>
      <w:r w:rsidR="004F269C">
        <w:rPr>
          <w:rFonts w:cs="Times New Roman"/>
          <w:color w:val="000000" w:themeColor="text1"/>
        </w:rPr>
        <w:t xml:space="preserve"> </w:t>
      </w:r>
      <w:r>
        <w:rPr>
          <w:rFonts w:cs="Times New Roman"/>
          <w:color w:val="000000" w:themeColor="text1"/>
        </w:rPr>
        <w:t xml:space="preserve">demonstrates that the </w:t>
      </w:r>
      <w:r w:rsidRPr="00C11EB4">
        <w:rPr>
          <w:rFonts w:cs="Times New Roman"/>
          <w:color w:val="000000" w:themeColor="text1"/>
        </w:rPr>
        <w:t>interaction between HSA and phytate is far more exothermic than that of BSA and phytate. BSA and HSA exhibit 75%</w:t>
      </w:r>
      <w:r>
        <w:rPr>
          <w:rFonts w:cs="Times New Roman"/>
          <w:color w:val="000000" w:themeColor="text1"/>
        </w:rPr>
        <w:t xml:space="preserve"> sequence identity, this means 2</w:t>
      </w:r>
      <w:r w:rsidRPr="00C11EB4">
        <w:rPr>
          <w:rFonts w:cs="Times New Roman"/>
          <w:color w:val="000000" w:themeColor="text1"/>
        </w:rPr>
        <w:t xml:space="preserve">5% are not identical. BSA has 99 acidic amino acids, whilst HSA has 98, both proteins have the same number of basic amino acids. </w:t>
      </w:r>
      <w:r w:rsidR="003C2A9A" w:rsidRPr="00C11EB4">
        <w:rPr>
          <w:rFonts w:cs="Times New Roman"/>
          <w:color w:val="000000" w:themeColor="text1"/>
        </w:rPr>
        <w:t>However,</w:t>
      </w:r>
      <w:r w:rsidRPr="00C11EB4">
        <w:rPr>
          <w:rFonts w:cs="Times New Roman"/>
          <w:color w:val="000000" w:themeColor="text1"/>
        </w:rPr>
        <w:t xml:space="preserve"> the amino acid composition is different meaning although the pI of the protein is the same, the number of particular amino acids is different. This variation in composition could be responsible for the differing enthalpies of binding between HSA and BSA. </w:t>
      </w:r>
      <w:r>
        <w:rPr>
          <w:rFonts w:cs="Times New Roman"/>
          <w:color w:val="000000" w:themeColor="text1"/>
        </w:rPr>
        <w:t>The thermogram for the binding isotherm between BSA and phytate is slightly noisy. Increasing the amount of phytate increases the amount of heat effectively increasing the signal to noise ratio. This means the amount of protein also has to be increased to achieve a molar ratio that allows a good fit to the data. To improve the quality of the thermodynamic data, the BSA concentration was increased to 0.346 mM from 0.149 and the concentration of phytate was increased to 2.6 mM (</w:t>
      </w:r>
      <w:r w:rsidR="0075172E">
        <w:rPr>
          <w:rFonts w:cs="Times New Roman"/>
          <w:color w:val="000000" w:themeColor="text1"/>
        </w:rPr>
        <w:fldChar w:fldCharType="begin"/>
      </w:r>
      <w:r w:rsidR="00CD5BF6">
        <w:rPr>
          <w:rFonts w:cs="Times New Roman"/>
          <w:color w:val="000000" w:themeColor="text1"/>
        </w:rPr>
        <w:instrText xml:space="preserve"> REF _Ref442885541 \h </w:instrText>
      </w:r>
      <w:r w:rsidR="0075172E">
        <w:rPr>
          <w:rFonts w:cs="Times New Roman"/>
          <w:color w:val="000000" w:themeColor="text1"/>
        </w:rPr>
      </w:r>
      <w:r w:rsidR="0075172E">
        <w:rPr>
          <w:rFonts w:cs="Times New Roman"/>
          <w:color w:val="000000" w:themeColor="text1"/>
        </w:rPr>
        <w:fldChar w:fldCharType="separate"/>
      </w:r>
      <w:r w:rsidR="00CB4EDC">
        <w:t xml:space="preserve">Figure </w:t>
      </w:r>
      <w:r w:rsidR="00CB4EDC">
        <w:rPr>
          <w:noProof/>
        </w:rPr>
        <w:t>6</w:t>
      </w:r>
      <w:r w:rsidR="00CB4EDC">
        <w:t>.</w:t>
      </w:r>
      <w:r w:rsidR="00CB4EDC">
        <w:rPr>
          <w:noProof/>
        </w:rPr>
        <w:t>6</w:t>
      </w:r>
      <w:r w:rsidR="0075172E">
        <w:rPr>
          <w:rFonts w:cs="Times New Roman"/>
          <w:color w:val="000000" w:themeColor="text1"/>
        </w:rPr>
        <w:fldChar w:fldCharType="end"/>
      </w:r>
      <w:r>
        <w:rPr>
          <w:rFonts w:cs="Times New Roman"/>
          <w:color w:val="000000" w:themeColor="text1"/>
        </w:rPr>
        <w:t xml:space="preserve">). </w:t>
      </w:r>
    </w:p>
    <w:p w:rsidR="003703F0" w:rsidRDefault="00040F10" w:rsidP="00AD7AD3">
      <w:pPr>
        <w:keepNext/>
        <w:spacing w:line="480" w:lineRule="auto"/>
        <w:jc w:val="center"/>
      </w:pPr>
      <w:r>
        <w:rPr>
          <w:rFonts w:cs="Times New Roman"/>
          <w:noProof/>
          <w:lang w:eastAsia="en-GB"/>
        </w:rPr>
        <w:lastRenderedPageBreak/>
        <w:pict>
          <v:shape id="_x0000_s1143" type="#_x0000_t202" style="position:absolute;left:0;text-align:left;margin-left:177.4pt;margin-top:250.3pt;width:87.05pt;height:17.6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3">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sidR="00C6447D">
        <w:rPr>
          <w:noProof/>
          <w:lang w:eastAsia="en-GB"/>
        </w:rPr>
        <w:drawing>
          <wp:inline distT="0" distB="0" distL="0" distR="0" wp14:anchorId="64441659" wp14:editId="231A3F1B">
            <wp:extent cx="5205730" cy="3407267"/>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9" cstate="print"/>
                    <a:srcRect/>
                    <a:stretch>
                      <a:fillRect/>
                    </a:stretch>
                  </pic:blipFill>
                  <pic:spPr bwMode="auto">
                    <a:xfrm>
                      <a:off x="0" y="0"/>
                      <a:ext cx="5205730" cy="3407267"/>
                    </a:xfrm>
                    <a:prstGeom prst="rect">
                      <a:avLst/>
                    </a:prstGeom>
                    <a:noFill/>
                    <a:ln w="9525">
                      <a:noFill/>
                      <a:miter lim="800000"/>
                      <a:headEnd/>
                      <a:tailEnd/>
                    </a:ln>
                  </pic:spPr>
                </pic:pic>
              </a:graphicData>
            </a:graphic>
          </wp:inline>
        </w:drawing>
      </w:r>
    </w:p>
    <w:p w:rsidR="003703F0" w:rsidRDefault="00040F10" w:rsidP="00DD54DD">
      <w:pPr>
        <w:pStyle w:val="Caption"/>
        <w:spacing w:line="480" w:lineRule="auto"/>
        <w:jc w:val="center"/>
      </w:pPr>
      <w:bookmarkStart w:id="222" w:name="_Ref442885564"/>
      <w:r>
        <w:rPr>
          <w:noProof/>
          <w:lang w:eastAsia="en-GB"/>
        </w:rPr>
        <w:pict>
          <v:shape id="_x0000_s1148" type="#_x0000_t202" style="position:absolute;left:0;text-align:left;margin-left:177.4pt;margin-top:49.05pt;width:87.05pt;height:17.6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8">
              <w:txbxContent>
                <w:p w:rsidR="003A5686" w:rsidRPr="00B141B9" w:rsidRDefault="003A5686" w:rsidP="00BF55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sidR="003703F0">
        <w:t xml:space="preserve">Figure </w:t>
      </w:r>
      <w:r w:rsidR="0075172E">
        <w:fldChar w:fldCharType="begin"/>
      </w:r>
      <w:r w:rsidR="00AC2227">
        <w:instrText xml:space="preserve"> STYLEREF 1 \s </w:instrText>
      </w:r>
      <w:r w:rsidR="0075172E">
        <w:fldChar w:fldCharType="separate"/>
      </w:r>
      <w:r w:rsidR="00CB4EDC">
        <w:rPr>
          <w:noProof/>
        </w:rPr>
        <w:t>6</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4</w:t>
      </w:r>
      <w:r w:rsidR="0075172E">
        <w:fldChar w:fldCharType="end"/>
      </w:r>
      <w:bookmarkEnd w:id="222"/>
      <w:r w:rsidR="003703F0">
        <w:t>: Binding isotherms for 2</w:t>
      </w:r>
      <w:r w:rsidR="004F269C">
        <w:t xml:space="preserve"> </w:t>
      </w:r>
      <w:r w:rsidR="003703F0">
        <w:t>mM potassium phytate titrated into HSA (open squares) and BSA (closed circles) both at 149 µM in 10 mM ammonium acetate pH 4 25</w:t>
      </w:r>
      <w:r w:rsidR="006F2757">
        <w:t xml:space="preserve"> </w:t>
      </w:r>
      <w:r w:rsidR="003703F0">
        <w:t xml:space="preserve">°C. </w:t>
      </w:r>
    </w:p>
    <w:p w:rsidR="003703F0" w:rsidRDefault="00040F10" w:rsidP="003703F0">
      <w:r>
        <w:rPr>
          <w:noProof/>
          <w:lang w:eastAsia="en-GB"/>
        </w:rPr>
        <w:pict>
          <v:shape id="_x0000_s1156" type="#_x0000_t202" style="position:absolute;margin-left:3.5pt;margin-top:20.65pt;width:26.15pt;height:231.4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BF55B9">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Pr>
          <w:noProof/>
          <w:lang w:eastAsia="en-GB"/>
        </w:rPr>
        <w:pict>
          <v:shape id="_x0000_s1144" type="#_x0000_t202" style="position:absolute;margin-left:182.2pt;margin-top:252.1pt;width:87.05pt;height:17.6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4">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sidR="00E11779">
        <w:rPr>
          <w:noProof/>
          <w:lang w:eastAsia="en-GB"/>
        </w:rPr>
        <w:drawing>
          <wp:inline distT="0" distB="0" distL="0" distR="0" wp14:anchorId="40F3C26E" wp14:editId="6276C4B5">
            <wp:extent cx="5205730" cy="3375516"/>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0" cstate="print"/>
                    <a:srcRect/>
                    <a:stretch>
                      <a:fillRect/>
                    </a:stretch>
                  </pic:blipFill>
                  <pic:spPr bwMode="auto">
                    <a:xfrm>
                      <a:off x="0" y="0"/>
                      <a:ext cx="5205730" cy="3375516"/>
                    </a:xfrm>
                    <a:prstGeom prst="rect">
                      <a:avLst/>
                    </a:prstGeom>
                    <a:noFill/>
                    <a:ln w="9525">
                      <a:noFill/>
                      <a:miter lim="800000"/>
                      <a:headEnd/>
                      <a:tailEnd/>
                    </a:ln>
                  </pic:spPr>
                </pic:pic>
              </a:graphicData>
            </a:graphic>
          </wp:inline>
        </w:drawing>
      </w:r>
    </w:p>
    <w:p w:rsidR="003703F0" w:rsidRDefault="003703F0" w:rsidP="003703F0">
      <w:pPr>
        <w:pStyle w:val="Caption"/>
        <w:spacing w:line="480" w:lineRule="auto"/>
        <w:jc w:val="center"/>
      </w:pPr>
      <w:r>
        <w:t xml:space="preserve">Figure </w:t>
      </w:r>
      <w:r w:rsidR="0075172E">
        <w:fldChar w:fldCharType="begin"/>
      </w:r>
      <w:r w:rsidR="00AC2227">
        <w:instrText xml:space="preserve"> STYLEREF 1 \s </w:instrText>
      </w:r>
      <w:r w:rsidR="0075172E">
        <w:fldChar w:fldCharType="separate"/>
      </w:r>
      <w:r w:rsidR="00CB4EDC">
        <w:rPr>
          <w:noProof/>
        </w:rPr>
        <w:t>6</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5</w:t>
      </w:r>
      <w:r w:rsidR="0075172E">
        <w:fldChar w:fldCharType="end"/>
      </w:r>
      <w:r>
        <w:t xml:space="preserve">: </w:t>
      </w:r>
      <w:r w:rsidRPr="00940180">
        <w:t xml:space="preserve">ITC binding isotherm for the interaction of </w:t>
      </w:r>
      <w:r>
        <w:t>2.6</w:t>
      </w:r>
      <w:r w:rsidRPr="00940180">
        <w:t xml:space="preserve"> mM potassium phytate and 0.</w:t>
      </w:r>
      <w:r>
        <w:t xml:space="preserve">346 </w:t>
      </w:r>
      <w:r w:rsidRPr="00940180">
        <w:t xml:space="preserve">mM </w:t>
      </w:r>
      <w:r>
        <w:t>BSA in 10 mM ammonium acetate at 25</w:t>
      </w:r>
      <w:r w:rsidR="006F2757">
        <w:t xml:space="preserve"> </w:t>
      </w:r>
      <w:r>
        <w:t>°C pH 4 (closed circles)</w:t>
      </w:r>
      <w:r w:rsidRPr="00940180">
        <w:t xml:space="preserve">. </w:t>
      </w:r>
      <w:r>
        <w:t>A</w:t>
      </w:r>
      <w:r w:rsidRPr="00940180">
        <w:t xml:space="preserve">cetate titrated into </w:t>
      </w:r>
      <w:r>
        <w:t xml:space="preserve">BSA </w:t>
      </w:r>
      <w:r w:rsidRPr="00940180">
        <w:t xml:space="preserve">(Crosses). </w:t>
      </w:r>
      <w:r>
        <w:t>P</w:t>
      </w:r>
      <w:r w:rsidRPr="00940180">
        <w:t>hytate titrated into acetate</w:t>
      </w:r>
      <w:r>
        <w:t xml:space="preserve"> </w:t>
      </w:r>
      <w:r w:rsidRPr="00940180">
        <w:t xml:space="preserve">(Open </w:t>
      </w:r>
      <w:r>
        <w:t>triangles)</w:t>
      </w:r>
      <w:r w:rsidRPr="00940180">
        <w:t>.</w:t>
      </w:r>
      <w:r w:rsidR="00B55C59">
        <w:t xml:space="preserve"> Solid line represents single site independent binding model fit.</w:t>
      </w:r>
    </w:p>
    <w:p w:rsidR="003703F0" w:rsidRDefault="003703F0" w:rsidP="003703F0">
      <w:r w:rsidRPr="005821DF">
        <w:lastRenderedPageBreak/>
        <w:t xml:space="preserve"> </w:t>
      </w:r>
    </w:p>
    <w:p w:rsidR="003703F0" w:rsidRDefault="003703F0" w:rsidP="003703F0">
      <w:pPr>
        <w:pStyle w:val="Caption"/>
        <w:keepNext/>
        <w:spacing w:line="480" w:lineRule="auto"/>
        <w:jc w:val="center"/>
      </w:pPr>
      <w:r>
        <w:t xml:space="preserve">Table </w:t>
      </w:r>
      <w:r w:rsidR="0075172E">
        <w:fldChar w:fldCharType="begin"/>
      </w:r>
      <w:r w:rsidR="00AC2227">
        <w:instrText xml:space="preserve"> STYLEREF 1 \s </w:instrText>
      </w:r>
      <w:r w:rsidR="0075172E">
        <w:fldChar w:fldCharType="separate"/>
      </w:r>
      <w:r w:rsidR="00E71593">
        <w:rPr>
          <w:noProof/>
        </w:rPr>
        <w:t>6</w:t>
      </w:r>
      <w:r w:rsidR="0075172E">
        <w:rPr>
          <w:noProof/>
        </w:rPr>
        <w:fldChar w:fldCharType="end"/>
      </w:r>
      <w:r w:rsidR="00E71593">
        <w:t>.</w:t>
      </w:r>
      <w:r w:rsidR="0075172E">
        <w:fldChar w:fldCharType="begin"/>
      </w:r>
      <w:r w:rsidR="00E71593">
        <w:instrText xml:space="preserve"> SEQ Table \* ARABIC \s 1 </w:instrText>
      </w:r>
      <w:r w:rsidR="0075172E">
        <w:fldChar w:fldCharType="separate"/>
      </w:r>
      <w:r w:rsidR="00E71593">
        <w:rPr>
          <w:noProof/>
        </w:rPr>
        <w:t>1</w:t>
      </w:r>
      <w:r w:rsidR="0075172E">
        <w:fldChar w:fldCharType="end"/>
      </w:r>
      <w:r>
        <w:t>: Thermodynamic data for the interaction of phytate with BSA and HSA</w:t>
      </w:r>
      <w:r w:rsidR="00C15C07">
        <w:t xml:space="preserve"> at 25°C</w:t>
      </w:r>
      <w:r>
        <w:t xml:space="preserve">. </w:t>
      </w:r>
      <w:r w:rsidR="00066430">
        <w:rPr>
          <w:iCs/>
        </w:rPr>
        <w:t>The standard error (bold) and the confidence intervals (italics) are in brackets.</w:t>
      </w:r>
      <w:r>
        <w:t>*The concentration of BSA was increased from 0.149 to 0.346 mM.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770"/>
        <w:gridCol w:w="770"/>
        <w:gridCol w:w="770"/>
        <w:gridCol w:w="1150"/>
      </w:tblGrid>
      <w:tr w:rsidR="003703F0" w:rsidRPr="00DA63BD" w:rsidTr="00A05C3A">
        <w:trPr>
          <w:trHeight w:val="1360"/>
          <w:jc w:val="center"/>
        </w:trPr>
        <w:tc>
          <w:tcPr>
            <w:tcW w:w="0" w:type="auto"/>
            <w:tcBorders>
              <w:top w:val="single" w:sz="4" w:space="0" w:color="auto"/>
              <w:bottom w:val="single" w:sz="4" w:space="0" w:color="auto"/>
            </w:tcBorders>
            <w:hideMark/>
          </w:tcPr>
          <w:p w:rsidR="003703F0" w:rsidRPr="00E52A9E" w:rsidRDefault="003703F0" w:rsidP="00137F62">
            <w:pPr>
              <w:spacing w:line="480" w:lineRule="auto"/>
              <w:jc w:val="center"/>
              <w:rPr>
                <w:b/>
                <w:bCs/>
                <w:iCs/>
                <w:sz w:val="16"/>
                <w:szCs w:val="16"/>
              </w:rPr>
            </w:pPr>
            <w:r w:rsidRPr="00E52A9E">
              <w:rPr>
                <w:b/>
                <w:bCs/>
                <w:iCs/>
                <w:sz w:val="16"/>
                <w:szCs w:val="16"/>
              </w:rPr>
              <w:t>Protein</w:t>
            </w:r>
          </w:p>
        </w:tc>
        <w:tc>
          <w:tcPr>
            <w:tcW w:w="0" w:type="auto"/>
            <w:tcBorders>
              <w:top w:val="single" w:sz="4" w:space="0" w:color="auto"/>
              <w:bottom w:val="single" w:sz="4" w:space="0" w:color="auto"/>
            </w:tcBorders>
            <w:hideMark/>
          </w:tcPr>
          <w:p w:rsidR="003703F0" w:rsidRPr="00E52A9E" w:rsidRDefault="00137F62" w:rsidP="00137F62">
            <w:pPr>
              <w:spacing w:line="480" w:lineRule="auto"/>
              <w:jc w:val="center"/>
              <w:rPr>
                <w:b/>
                <w:bCs/>
                <w:iCs/>
                <w:sz w:val="16"/>
                <w:szCs w:val="16"/>
              </w:rPr>
            </w:pPr>
            <w:r>
              <w:rPr>
                <w:b/>
                <w:bCs/>
                <w:iCs/>
                <w:sz w:val="16"/>
                <w:szCs w:val="16"/>
              </w:rPr>
              <w:t>-</w:t>
            </w:r>
            <w:r w:rsidR="003703F0" w:rsidRPr="00E52A9E">
              <w:rPr>
                <w:b/>
                <w:bCs/>
                <w:iCs/>
                <w:sz w:val="16"/>
                <w:szCs w:val="16"/>
              </w:rPr>
              <w:t>Δ</w:t>
            </w:r>
            <w:r w:rsidR="003703F0" w:rsidRPr="00E52A9E">
              <w:rPr>
                <w:b/>
                <w:bCs/>
                <w:i/>
                <w:iCs/>
                <w:sz w:val="16"/>
                <w:szCs w:val="16"/>
              </w:rPr>
              <w:t>H</w:t>
            </w:r>
            <w:r w:rsidR="003703F0" w:rsidRPr="00E52A9E">
              <w:rPr>
                <w:b/>
                <w:bCs/>
                <w:iCs/>
                <w:sz w:val="16"/>
                <w:szCs w:val="16"/>
              </w:rPr>
              <w:t> </w:t>
            </w:r>
          </w:p>
          <w:p w:rsidR="003703F0" w:rsidRPr="00E52A9E" w:rsidRDefault="003703F0" w:rsidP="00137F62">
            <w:pPr>
              <w:spacing w:line="480" w:lineRule="auto"/>
              <w:jc w:val="center"/>
              <w:rPr>
                <w:b/>
                <w:bCs/>
                <w:iCs/>
                <w:sz w:val="16"/>
                <w:szCs w:val="16"/>
              </w:rPr>
            </w:pPr>
            <w:r w:rsidRPr="00E52A9E">
              <w:rPr>
                <w:b/>
                <w:bCs/>
                <w:iCs/>
                <w:sz w:val="16"/>
                <w:szCs w:val="16"/>
              </w:rPr>
              <w:t>(kJ/mol)</w:t>
            </w:r>
          </w:p>
          <w:p w:rsidR="003703F0" w:rsidRPr="00E52A9E" w:rsidRDefault="003703F0" w:rsidP="00137F62">
            <w:pPr>
              <w:spacing w:line="480" w:lineRule="auto"/>
              <w:jc w:val="center"/>
              <w:rPr>
                <w:b/>
                <w:bCs/>
                <w:iCs/>
                <w:sz w:val="16"/>
                <w:szCs w:val="16"/>
              </w:rPr>
            </w:pPr>
          </w:p>
        </w:tc>
        <w:tc>
          <w:tcPr>
            <w:tcW w:w="0" w:type="auto"/>
            <w:tcBorders>
              <w:top w:val="single" w:sz="4" w:space="0" w:color="auto"/>
              <w:bottom w:val="single" w:sz="4" w:space="0" w:color="auto"/>
            </w:tcBorders>
            <w:hideMark/>
          </w:tcPr>
          <w:p w:rsidR="003703F0" w:rsidRPr="00E52A9E" w:rsidRDefault="003703F0" w:rsidP="00137F62">
            <w:pPr>
              <w:spacing w:line="480" w:lineRule="auto"/>
              <w:jc w:val="center"/>
              <w:rPr>
                <w:b/>
                <w:bCs/>
                <w:iCs/>
                <w:sz w:val="16"/>
                <w:szCs w:val="16"/>
              </w:rPr>
            </w:pPr>
            <w:r w:rsidRPr="00E52A9E">
              <w:rPr>
                <w:b/>
                <w:bCs/>
                <w:i/>
                <w:iCs/>
                <w:sz w:val="16"/>
                <w:szCs w:val="16"/>
              </w:rPr>
              <w:t>-T</w:t>
            </w:r>
            <w:r w:rsidRPr="00E52A9E">
              <w:rPr>
                <w:b/>
                <w:bCs/>
                <w:iCs/>
                <w:sz w:val="16"/>
                <w:szCs w:val="16"/>
              </w:rPr>
              <w:t>Δ</w:t>
            </w:r>
            <w:r w:rsidRPr="00E52A9E">
              <w:rPr>
                <w:b/>
                <w:bCs/>
                <w:i/>
                <w:iCs/>
                <w:sz w:val="16"/>
                <w:szCs w:val="16"/>
              </w:rPr>
              <w:t>S</w:t>
            </w:r>
            <w:r w:rsidRPr="00E52A9E">
              <w:rPr>
                <w:b/>
                <w:bCs/>
                <w:iCs/>
                <w:sz w:val="16"/>
                <w:szCs w:val="16"/>
              </w:rPr>
              <w:t> </w:t>
            </w:r>
          </w:p>
          <w:p w:rsidR="003703F0" w:rsidRPr="00E52A9E" w:rsidRDefault="003703F0" w:rsidP="00137F62">
            <w:pPr>
              <w:spacing w:line="480" w:lineRule="auto"/>
              <w:jc w:val="center"/>
              <w:rPr>
                <w:b/>
                <w:bCs/>
                <w:iCs/>
                <w:sz w:val="16"/>
                <w:szCs w:val="16"/>
              </w:rPr>
            </w:pPr>
            <w:r w:rsidRPr="00E52A9E">
              <w:rPr>
                <w:b/>
                <w:bCs/>
                <w:iCs/>
                <w:sz w:val="16"/>
                <w:szCs w:val="16"/>
              </w:rPr>
              <w:t>(kJ/mol)</w:t>
            </w:r>
          </w:p>
        </w:tc>
        <w:tc>
          <w:tcPr>
            <w:tcW w:w="0" w:type="auto"/>
            <w:tcBorders>
              <w:top w:val="single" w:sz="4" w:space="0" w:color="auto"/>
              <w:bottom w:val="single" w:sz="4" w:space="0" w:color="auto"/>
            </w:tcBorders>
            <w:hideMark/>
          </w:tcPr>
          <w:p w:rsidR="003703F0" w:rsidRPr="00E52A9E" w:rsidRDefault="003703F0" w:rsidP="00137F62">
            <w:pPr>
              <w:spacing w:line="480" w:lineRule="auto"/>
              <w:jc w:val="center"/>
              <w:rPr>
                <w:b/>
                <w:bCs/>
                <w:iCs/>
                <w:sz w:val="16"/>
                <w:szCs w:val="16"/>
              </w:rPr>
            </w:pPr>
            <w:r w:rsidRPr="00E52A9E">
              <w:rPr>
                <w:b/>
                <w:bCs/>
                <w:iCs/>
                <w:sz w:val="16"/>
                <w:szCs w:val="16"/>
              </w:rPr>
              <w:t>-Δ</w:t>
            </w:r>
            <w:r w:rsidRPr="00E52A9E">
              <w:rPr>
                <w:b/>
                <w:bCs/>
                <w:i/>
                <w:iCs/>
                <w:sz w:val="16"/>
                <w:szCs w:val="16"/>
              </w:rPr>
              <w:t>G</w:t>
            </w:r>
          </w:p>
          <w:p w:rsidR="003703F0" w:rsidRPr="00E52A9E" w:rsidRDefault="003703F0" w:rsidP="00137F62">
            <w:pPr>
              <w:spacing w:line="480" w:lineRule="auto"/>
              <w:jc w:val="center"/>
              <w:rPr>
                <w:b/>
                <w:bCs/>
                <w:iCs/>
                <w:sz w:val="16"/>
                <w:szCs w:val="16"/>
              </w:rPr>
            </w:pPr>
            <w:r w:rsidRPr="00E52A9E">
              <w:rPr>
                <w:b/>
                <w:bCs/>
                <w:iCs/>
                <w:sz w:val="16"/>
                <w:szCs w:val="16"/>
              </w:rPr>
              <w:t>(kJ/mol)</w:t>
            </w:r>
          </w:p>
          <w:p w:rsidR="003703F0" w:rsidRPr="00E52A9E" w:rsidRDefault="003703F0" w:rsidP="00137F62">
            <w:pPr>
              <w:spacing w:line="480" w:lineRule="auto"/>
              <w:jc w:val="center"/>
              <w:rPr>
                <w:b/>
                <w:bCs/>
                <w:iCs/>
                <w:sz w:val="16"/>
                <w:szCs w:val="16"/>
              </w:rPr>
            </w:pPr>
          </w:p>
        </w:tc>
        <w:tc>
          <w:tcPr>
            <w:tcW w:w="0" w:type="auto"/>
            <w:tcBorders>
              <w:top w:val="single" w:sz="4" w:space="0" w:color="auto"/>
              <w:bottom w:val="single" w:sz="4" w:space="0" w:color="auto"/>
            </w:tcBorders>
            <w:hideMark/>
          </w:tcPr>
          <w:p w:rsidR="003703F0" w:rsidRPr="00E52A9E" w:rsidRDefault="003703F0" w:rsidP="00137F62">
            <w:pPr>
              <w:spacing w:line="480" w:lineRule="auto"/>
              <w:jc w:val="center"/>
              <w:rPr>
                <w:b/>
                <w:bCs/>
                <w:iCs/>
                <w:sz w:val="16"/>
                <w:szCs w:val="16"/>
              </w:rPr>
            </w:pPr>
            <w:r w:rsidRPr="00E52A9E">
              <w:rPr>
                <w:b/>
                <w:bCs/>
                <w:iCs/>
                <w:sz w:val="16"/>
                <w:szCs w:val="16"/>
              </w:rPr>
              <w:t>Stoichiometry</w:t>
            </w:r>
          </w:p>
        </w:tc>
      </w:tr>
      <w:tr w:rsidR="003703F0" w:rsidRPr="00A910C2" w:rsidTr="00A05C3A">
        <w:trPr>
          <w:trHeight w:val="833"/>
          <w:jc w:val="center"/>
        </w:trPr>
        <w:tc>
          <w:tcPr>
            <w:tcW w:w="0" w:type="auto"/>
            <w:tcBorders>
              <w:top w:val="single" w:sz="4" w:space="0" w:color="auto"/>
            </w:tcBorders>
            <w:vAlign w:val="center"/>
          </w:tcPr>
          <w:p w:rsidR="003703F0" w:rsidRPr="00E52A9E" w:rsidRDefault="003703F0" w:rsidP="00137F62">
            <w:pPr>
              <w:spacing w:line="480" w:lineRule="auto"/>
              <w:jc w:val="center"/>
              <w:rPr>
                <w:bCs/>
                <w:iCs/>
                <w:sz w:val="16"/>
                <w:szCs w:val="16"/>
              </w:rPr>
            </w:pPr>
            <w:r w:rsidRPr="00E52A9E">
              <w:rPr>
                <w:bCs/>
                <w:iCs/>
                <w:sz w:val="16"/>
                <w:szCs w:val="16"/>
              </w:rPr>
              <w:t>BSA</w:t>
            </w:r>
          </w:p>
        </w:tc>
        <w:tc>
          <w:tcPr>
            <w:tcW w:w="0" w:type="auto"/>
            <w:tcBorders>
              <w:top w:val="single" w:sz="4" w:space="0" w:color="auto"/>
            </w:tcBorders>
            <w:vAlign w:val="center"/>
          </w:tcPr>
          <w:p w:rsidR="00831CBF" w:rsidRPr="00F84146" w:rsidRDefault="00831CBF" w:rsidP="00F84146">
            <w:pPr>
              <w:spacing w:line="480" w:lineRule="auto"/>
              <w:jc w:val="center"/>
              <w:rPr>
                <w:sz w:val="16"/>
                <w:szCs w:val="16"/>
              </w:rPr>
            </w:pPr>
          </w:p>
          <w:p w:rsidR="003703F0" w:rsidRPr="00F84146" w:rsidRDefault="003703F0" w:rsidP="00F84146">
            <w:pPr>
              <w:spacing w:line="480" w:lineRule="auto"/>
              <w:jc w:val="center"/>
              <w:rPr>
                <w:sz w:val="16"/>
                <w:szCs w:val="16"/>
              </w:rPr>
            </w:pPr>
            <w:r w:rsidRPr="00F84146">
              <w:rPr>
                <w:sz w:val="16"/>
                <w:szCs w:val="16"/>
              </w:rPr>
              <w:t>71.</w:t>
            </w:r>
            <w:r w:rsidR="00A86E96">
              <w:rPr>
                <w:sz w:val="16"/>
                <w:szCs w:val="16"/>
              </w:rPr>
              <w:t>4</w:t>
            </w:r>
          </w:p>
          <w:p w:rsidR="003703F0" w:rsidRPr="00F84146" w:rsidRDefault="003703F0" w:rsidP="00F84146">
            <w:pPr>
              <w:spacing w:line="480" w:lineRule="auto"/>
              <w:jc w:val="center"/>
              <w:rPr>
                <w:rFonts w:cs="Segoe UI"/>
                <w:b/>
                <w:sz w:val="16"/>
                <w:szCs w:val="16"/>
              </w:rPr>
            </w:pPr>
            <w:r w:rsidRPr="00F84146">
              <w:rPr>
                <w:rFonts w:cs="Arial"/>
                <w:b/>
                <w:color w:val="252525"/>
                <w:sz w:val="16"/>
                <w:szCs w:val="16"/>
                <w:shd w:val="clear" w:color="auto" w:fill="FFFFFF"/>
              </w:rPr>
              <w:t>(±</w:t>
            </w:r>
            <w:r w:rsidRPr="00F84146">
              <w:rPr>
                <w:rFonts w:cs="Segoe UI"/>
                <w:b/>
                <w:sz w:val="16"/>
                <w:szCs w:val="16"/>
              </w:rPr>
              <w:t>5)</w:t>
            </w:r>
          </w:p>
          <w:p w:rsidR="00831CBF" w:rsidRPr="00F84146" w:rsidRDefault="00831CBF" w:rsidP="00F84146">
            <w:pPr>
              <w:spacing w:line="480" w:lineRule="auto"/>
              <w:jc w:val="center"/>
              <w:rPr>
                <w:b/>
                <w:bCs/>
                <w:iCs/>
                <w:sz w:val="16"/>
                <w:szCs w:val="16"/>
              </w:rPr>
            </w:pPr>
            <w:r w:rsidRPr="00F84146">
              <w:rPr>
                <w:rFonts w:cs="Arial"/>
                <w:i/>
                <w:color w:val="252525"/>
                <w:sz w:val="16"/>
                <w:szCs w:val="16"/>
                <w:shd w:val="clear" w:color="auto" w:fill="FFFFFF"/>
              </w:rPr>
              <w:t>(±</w:t>
            </w:r>
            <w:r w:rsidRPr="00F84146">
              <w:rPr>
                <w:rFonts w:cs="Segoe UI"/>
                <w:i/>
                <w:sz w:val="16"/>
                <w:szCs w:val="16"/>
              </w:rPr>
              <w:t>4)</w:t>
            </w:r>
          </w:p>
        </w:tc>
        <w:tc>
          <w:tcPr>
            <w:tcW w:w="0" w:type="auto"/>
            <w:tcBorders>
              <w:top w:val="single" w:sz="4" w:space="0" w:color="auto"/>
            </w:tcBorders>
            <w:vAlign w:val="center"/>
          </w:tcPr>
          <w:p w:rsidR="00831CBF" w:rsidRPr="00F84146" w:rsidRDefault="00831CBF" w:rsidP="00F84146">
            <w:pPr>
              <w:spacing w:line="480" w:lineRule="auto"/>
              <w:jc w:val="center"/>
              <w:rPr>
                <w:sz w:val="16"/>
                <w:szCs w:val="16"/>
              </w:rPr>
            </w:pPr>
          </w:p>
          <w:p w:rsidR="003703F0" w:rsidRPr="00F84146" w:rsidRDefault="003703F0" w:rsidP="00F84146">
            <w:pPr>
              <w:spacing w:line="480" w:lineRule="auto"/>
              <w:jc w:val="center"/>
              <w:rPr>
                <w:sz w:val="16"/>
                <w:szCs w:val="16"/>
              </w:rPr>
            </w:pPr>
            <w:r w:rsidRPr="00F84146">
              <w:rPr>
                <w:sz w:val="16"/>
                <w:szCs w:val="16"/>
              </w:rPr>
              <w:t>44.1</w:t>
            </w:r>
          </w:p>
          <w:p w:rsidR="00831CBF" w:rsidRPr="00F84146" w:rsidRDefault="003703F0" w:rsidP="00F84146">
            <w:pPr>
              <w:spacing w:line="480" w:lineRule="auto"/>
              <w:jc w:val="center"/>
              <w:rPr>
                <w:rFonts w:cs="Segoe UI"/>
                <w:b/>
                <w:sz w:val="16"/>
                <w:szCs w:val="16"/>
              </w:rPr>
            </w:pPr>
            <w:r w:rsidRPr="00F84146">
              <w:rPr>
                <w:rFonts w:cs="Arial"/>
                <w:b/>
                <w:color w:val="252525"/>
                <w:sz w:val="16"/>
                <w:szCs w:val="16"/>
                <w:shd w:val="clear" w:color="auto" w:fill="FFFFFF"/>
              </w:rPr>
              <w:t>(±</w:t>
            </w:r>
            <w:r w:rsidR="00172E6C">
              <w:rPr>
                <w:rFonts w:cs="Segoe UI"/>
                <w:b/>
                <w:sz w:val="16"/>
                <w:szCs w:val="16"/>
              </w:rPr>
              <w:t>6</w:t>
            </w:r>
            <w:r w:rsidR="00831CBF" w:rsidRPr="00F84146">
              <w:rPr>
                <w:rFonts w:cs="Segoe UI"/>
                <w:b/>
                <w:sz w:val="16"/>
                <w:szCs w:val="16"/>
              </w:rPr>
              <w:t>)</w:t>
            </w:r>
          </w:p>
          <w:p w:rsidR="003703F0" w:rsidRPr="00F84146" w:rsidRDefault="003703F0" w:rsidP="00F84146">
            <w:pPr>
              <w:spacing w:line="480" w:lineRule="auto"/>
              <w:jc w:val="center"/>
              <w:rPr>
                <w:b/>
                <w:bCs/>
                <w:iCs/>
                <w:sz w:val="16"/>
                <w:szCs w:val="16"/>
              </w:rPr>
            </w:pPr>
          </w:p>
        </w:tc>
        <w:tc>
          <w:tcPr>
            <w:tcW w:w="0" w:type="auto"/>
            <w:tcBorders>
              <w:top w:val="single" w:sz="4" w:space="0" w:color="auto"/>
            </w:tcBorders>
            <w:vAlign w:val="center"/>
          </w:tcPr>
          <w:p w:rsidR="00F84146" w:rsidRPr="00F84146" w:rsidRDefault="00F84146" w:rsidP="00F84146">
            <w:pPr>
              <w:spacing w:line="480" w:lineRule="auto"/>
              <w:jc w:val="center"/>
              <w:rPr>
                <w:sz w:val="16"/>
                <w:szCs w:val="16"/>
              </w:rPr>
            </w:pPr>
          </w:p>
          <w:p w:rsidR="003703F0" w:rsidRPr="00F84146" w:rsidRDefault="00A86E96" w:rsidP="00F84146">
            <w:pPr>
              <w:spacing w:line="480" w:lineRule="auto"/>
              <w:jc w:val="center"/>
              <w:rPr>
                <w:sz w:val="16"/>
                <w:szCs w:val="16"/>
              </w:rPr>
            </w:pPr>
            <w:r>
              <w:rPr>
                <w:sz w:val="16"/>
                <w:szCs w:val="16"/>
              </w:rPr>
              <w:t>27.5</w:t>
            </w:r>
          </w:p>
          <w:p w:rsidR="003703F0" w:rsidRPr="00F84146" w:rsidRDefault="003703F0" w:rsidP="00F84146">
            <w:pPr>
              <w:spacing w:line="480" w:lineRule="auto"/>
              <w:jc w:val="center"/>
              <w:rPr>
                <w:rFonts w:cs="Segoe UI"/>
                <w:b/>
                <w:sz w:val="16"/>
                <w:szCs w:val="16"/>
              </w:rPr>
            </w:pPr>
            <w:r w:rsidRPr="00F84146">
              <w:rPr>
                <w:rFonts w:cs="Arial"/>
                <w:b/>
                <w:color w:val="252525"/>
                <w:sz w:val="16"/>
                <w:szCs w:val="16"/>
                <w:shd w:val="clear" w:color="auto" w:fill="FFFFFF"/>
              </w:rPr>
              <w:t>(±</w:t>
            </w:r>
            <w:r w:rsidRPr="00F84146">
              <w:rPr>
                <w:rFonts w:cs="Segoe UI"/>
                <w:b/>
                <w:sz w:val="16"/>
                <w:szCs w:val="16"/>
              </w:rPr>
              <w:t>0.</w:t>
            </w:r>
            <w:r w:rsidR="00172E6C">
              <w:rPr>
                <w:rFonts w:cs="Segoe UI"/>
                <w:b/>
                <w:sz w:val="16"/>
                <w:szCs w:val="16"/>
              </w:rPr>
              <w:t>6</w:t>
            </w:r>
            <w:r w:rsidRPr="00F84146">
              <w:rPr>
                <w:rFonts w:cs="Segoe UI"/>
                <w:b/>
                <w:sz w:val="16"/>
                <w:szCs w:val="16"/>
              </w:rPr>
              <w:t>)</w:t>
            </w:r>
          </w:p>
          <w:p w:rsidR="00831CBF" w:rsidRPr="00F84146" w:rsidRDefault="00831CBF" w:rsidP="00F84146">
            <w:pPr>
              <w:spacing w:line="480" w:lineRule="auto"/>
              <w:jc w:val="center"/>
              <w:rPr>
                <w:b/>
                <w:bCs/>
                <w:iCs/>
                <w:sz w:val="16"/>
                <w:szCs w:val="16"/>
              </w:rPr>
            </w:pPr>
            <w:r w:rsidRPr="00F84146">
              <w:rPr>
                <w:rFonts w:cs="Arial"/>
                <w:i/>
                <w:color w:val="252525"/>
                <w:sz w:val="16"/>
                <w:szCs w:val="16"/>
                <w:shd w:val="clear" w:color="auto" w:fill="FFFFFF"/>
              </w:rPr>
              <w:t>(±</w:t>
            </w:r>
            <w:r w:rsidRPr="00F84146">
              <w:rPr>
                <w:rFonts w:cs="Segoe UI"/>
                <w:i/>
                <w:sz w:val="16"/>
                <w:szCs w:val="16"/>
              </w:rPr>
              <w:t>2)</w:t>
            </w:r>
          </w:p>
        </w:tc>
        <w:tc>
          <w:tcPr>
            <w:tcW w:w="0" w:type="auto"/>
            <w:tcBorders>
              <w:top w:val="single" w:sz="4" w:space="0" w:color="auto"/>
            </w:tcBorders>
            <w:vAlign w:val="center"/>
          </w:tcPr>
          <w:p w:rsidR="00F84146" w:rsidRPr="00F84146" w:rsidRDefault="00F84146" w:rsidP="00F84146">
            <w:pPr>
              <w:spacing w:line="480" w:lineRule="auto"/>
              <w:jc w:val="center"/>
              <w:rPr>
                <w:sz w:val="16"/>
                <w:szCs w:val="16"/>
              </w:rPr>
            </w:pPr>
          </w:p>
          <w:p w:rsidR="003703F0" w:rsidRPr="00F84146" w:rsidRDefault="003703F0" w:rsidP="00F84146">
            <w:pPr>
              <w:spacing w:line="480" w:lineRule="auto"/>
              <w:jc w:val="center"/>
              <w:rPr>
                <w:sz w:val="16"/>
                <w:szCs w:val="16"/>
              </w:rPr>
            </w:pPr>
            <w:r w:rsidRPr="00F84146">
              <w:rPr>
                <w:sz w:val="16"/>
                <w:szCs w:val="16"/>
              </w:rPr>
              <w:t>1.17</w:t>
            </w:r>
          </w:p>
          <w:p w:rsidR="003703F0" w:rsidRPr="00F84146" w:rsidRDefault="003703F0" w:rsidP="00F84146">
            <w:pPr>
              <w:spacing w:line="480" w:lineRule="auto"/>
              <w:jc w:val="center"/>
              <w:rPr>
                <w:rFonts w:cs="Segoe UI"/>
                <w:b/>
                <w:sz w:val="16"/>
                <w:szCs w:val="16"/>
              </w:rPr>
            </w:pPr>
            <w:r w:rsidRPr="00F84146">
              <w:rPr>
                <w:rFonts w:cs="Arial"/>
                <w:b/>
                <w:color w:val="252525"/>
                <w:sz w:val="16"/>
                <w:szCs w:val="16"/>
                <w:shd w:val="clear" w:color="auto" w:fill="FFFFFF"/>
              </w:rPr>
              <w:t>(±</w:t>
            </w:r>
            <w:r w:rsidR="00172E6C">
              <w:rPr>
                <w:rFonts w:cs="Segoe UI"/>
                <w:b/>
                <w:sz w:val="16"/>
                <w:szCs w:val="16"/>
              </w:rPr>
              <w:t>0.02</w:t>
            </w:r>
            <w:r w:rsidRPr="00F84146">
              <w:rPr>
                <w:rFonts w:cs="Segoe UI"/>
                <w:b/>
                <w:sz w:val="16"/>
                <w:szCs w:val="16"/>
              </w:rPr>
              <w:t>)</w:t>
            </w:r>
          </w:p>
          <w:p w:rsidR="00831CBF" w:rsidRPr="00F84146" w:rsidRDefault="00831CBF" w:rsidP="00F84146">
            <w:pPr>
              <w:spacing w:line="480" w:lineRule="auto"/>
              <w:jc w:val="center"/>
              <w:rPr>
                <w:b/>
                <w:bCs/>
                <w:iCs/>
                <w:sz w:val="16"/>
                <w:szCs w:val="16"/>
              </w:rPr>
            </w:pPr>
            <w:r w:rsidRPr="00F84146">
              <w:rPr>
                <w:rFonts w:cs="Arial"/>
                <w:i/>
                <w:color w:val="252525"/>
                <w:sz w:val="16"/>
                <w:szCs w:val="16"/>
                <w:shd w:val="clear" w:color="auto" w:fill="FFFFFF"/>
              </w:rPr>
              <w:t>(±</w:t>
            </w:r>
            <w:r w:rsidRPr="00F84146">
              <w:rPr>
                <w:rFonts w:cs="Segoe UI"/>
                <w:i/>
                <w:sz w:val="16"/>
                <w:szCs w:val="16"/>
              </w:rPr>
              <w:t>0.04)</w:t>
            </w:r>
          </w:p>
        </w:tc>
      </w:tr>
      <w:tr w:rsidR="003703F0" w:rsidRPr="00A910C2" w:rsidTr="00A05C3A">
        <w:trPr>
          <w:trHeight w:val="213"/>
          <w:jc w:val="center"/>
        </w:trPr>
        <w:tc>
          <w:tcPr>
            <w:tcW w:w="0" w:type="auto"/>
            <w:vAlign w:val="center"/>
          </w:tcPr>
          <w:p w:rsidR="003703F0" w:rsidRPr="00E52A9E" w:rsidRDefault="003703F0" w:rsidP="00137F62">
            <w:pPr>
              <w:spacing w:line="480" w:lineRule="auto"/>
              <w:jc w:val="center"/>
              <w:rPr>
                <w:bCs/>
                <w:iCs/>
                <w:sz w:val="16"/>
                <w:szCs w:val="16"/>
              </w:rPr>
            </w:pPr>
            <w:r w:rsidRPr="00E52A9E">
              <w:rPr>
                <w:bCs/>
                <w:iCs/>
                <w:sz w:val="16"/>
                <w:szCs w:val="16"/>
              </w:rPr>
              <w:t>HSA</w:t>
            </w:r>
          </w:p>
        </w:tc>
        <w:tc>
          <w:tcPr>
            <w:tcW w:w="0" w:type="auto"/>
            <w:vAlign w:val="center"/>
          </w:tcPr>
          <w:p w:rsidR="003703F0" w:rsidRPr="00F84146" w:rsidRDefault="004A5EA2" w:rsidP="00F84146">
            <w:pPr>
              <w:spacing w:line="480" w:lineRule="auto"/>
              <w:jc w:val="center"/>
              <w:rPr>
                <w:sz w:val="16"/>
                <w:szCs w:val="16"/>
              </w:rPr>
            </w:pPr>
            <w:r w:rsidRPr="00F84146">
              <w:rPr>
                <w:sz w:val="16"/>
                <w:szCs w:val="16"/>
              </w:rPr>
              <w:t>105</w:t>
            </w:r>
          </w:p>
          <w:p w:rsidR="00A05C3A" w:rsidRPr="00F84146" w:rsidRDefault="00A05C3A" w:rsidP="00F84146">
            <w:pPr>
              <w:spacing w:line="480" w:lineRule="auto"/>
              <w:jc w:val="center"/>
              <w:rPr>
                <w:rFonts w:cs="Arial"/>
                <w:i/>
                <w:color w:val="252525"/>
                <w:sz w:val="16"/>
                <w:szCs w:val="16"/>
                <w:shd w:val="clear" w:color="auto" w:fill="FFFFFF"/>
              </w:rPr>
            </w:pPr>
            <w:r w:rsidRPr="00F84146">
              <w:rPr>
                <w:rFonts w:cs="Arial"/>
                <w:b/>
                <w:color w:val="252525"/>
                <w:sz w:val="16"/>
                <w:szCs w:val="16"/>
                <w:shd w:val="clear" w:color="auto" w:fill="FFFFFF"/>
              </w:rPr>
              <w:t>(±</w:t>
            </w:r>
            <w:r w:rsidR="00172E6C">
              <w:rPr>
                <w:rFonts w:cs="Segoe UI"/>
                <w:b/>
                <w:sz w:val="16"/>
                <w:szCs w:val="16"/>
              </w:rPr>
              <w:t>13</w:t>
            </w:r>
            <w:r w:rsidRPr="00F84146">
              <w:rPr>
                <w:rFonts w:cs="Segoe UI"/>
                <w:b/>
                <w:sz w:val="16"/>
                <w:szCs w:val="16"/>
              </w:rPr>
              <w:t>)</w:t>
            </w:r>
          </w:p>
          <w:p w:rsidR="003703F0" w:rsidRPr="00F84146" w:rsidRDefault="00A05C3A" w:rsidP="00F84146">
            <w:pPr>
              <w:spacing w:line="480" w:lineRule="auto"/>
              <w:jc w:val="center"/>
              <w:rPr>
                <w:i/>
                <w:sz w:val="16"/>
                <w:szCs w:val="16"/>
              </w:rPr>
            </w:pPr>
            <w:r w:rsidRPr="00F84146">
              <w:rPr>
                <w:rFonts w:cs="Arial"/>
                <w:i/>
                <w:color w:val="252525"/>
                <w:sz w:val="16"/>
                <w:szCs w:val="16"/>
                <w:shd w:val="clear" w:color="auto" w:fill="FFFFFF"/>
              </w:rPr>
              <w:t>(±</w:t>
            </w:r>
            <w:r w:rsidRPr="00F84146">
              <w:rPr>
                <w:rFonts w:cs="Segoe UI"/>
                <w:i/>
                <w:sz w:val="16"/>
                <w:szCs w:val="16"/>
              </w:rPr>
              <w:t>7)</w:t>
            </w:r>
          </w:p>
        </w:tc>
        <w:tc>
          <w:tcPr>
            <w:tcW w:w="0" w:type="auto"/>
            <w:vAlign w:val="center"/>
          </w:tcPr>
          <w:p w:rsidR="003703F0" w:rsidRPr="00F84146" w:rsidRDefault="004A5EA2" w:rsidP="00F84146">
            <w:pPr>
              <w:spacing w:line="480" w:lineRule="auto"/>
              <w:jc w:val="center"/>
              <w:rPr>
                <w:sz w:val="16"/>
                <w:szCs w:val="16"/>
              </w:rPr>
            </w:pPr>
            <w:r w:rsidRPr="00F84146">
              <w:rPr>
                <w:sz w:val="16"/>
                <w:szCs w:val="16"/>
              </w:rPr>
              <w:t>77.4</w:t>
            </w:r>
          </w:p>
          <w:p w:rsidR="00A05C3A" w:rsidRPr="00F84146" w:rsidRDefault="00A05C3A" w:rsidP="00F84146">
            <w:pPr>
              <w:spacing w:line="480" w:lineRule="auto"/>
              <w:jc w:val="center"/>
              <w:rPr>
                <w:sz w:val="16"/>
                <w:szCs w:val="16"/>
              </w:rPr>
            </w:pPr>
            <w:r w:rsidRPr="00F84146">
              <w:rPr>
                <w:rFonts w:cs="Arial"/>
                <w:b/>
                <w:color w:val="252525"/>
                <w:sz w:val="16"/>
                <w:szCs w:val="16"/>
                <w:shd w:val="clear" w:color="auto" w:fill="FFFFFF"/>
              </w:rPr>
              <w:t>(±</w:t>
            </w:r>
            <w:r w:rsidR="00172E6C">
              <w:rPr>
                <w:rFonts w:cs="Segoe UI"/>
                <w:b/>
                <w:sz w:val="16"/>
                <w:szCs w:val="16"/>
              </w:rPr>
              <w:t>13</w:t>
            </w:r>
            <w:r w:rsidRPr="00F84146">
              <w:rPr>
                <w:rFonts w:cs="Segoe UI"/>
                <w:b/>
                <w:sz w:val="16"/>
                <w:szCs w:val="16"/>
              </w:rPr>
              <w:t>)</w:t>
            </w:r>
          </w:p>
          <w:p w:rsidR="003703F0" w:rsidRPr="00F84146" w:rsidRDefault="003703F0" w:rsidP="00F84146">
            <w:pPr>
              <w:spacing w:line="480" w:lineRule="auto"/>
              <w:jc w:val="center"/>
              <w:rPr>
                <w:b/>
                <w:bCs/>
                <w:iCs/>
                <w:sz w:val="16"/>
                <w:szCs w:val="16"/>
              </w:rPr>
            </w:pPr>
          </w:p>
        </w:tc>
        <w:tc>
          <w:tcPr>
            <w:tcW w:w="0" w:type="auto"/>
            <w:vAlign w:val="center"/>
          </w:tcPr>
          <w:p w:rsidR="00A05C3A" w:rsidRPr="00F84146" w:rsidRDefault="00A05C3A" w:rsidP="00F84146">
            <w:pPr>
              <w:spacing w:line="480" w:lineRule="auto"/>
              <w:jc w:val="center"/>
              <w:rPr>
                <w:sz w:val="16"/>
                <w:szCs w:val="16"/>
              </w:rPr>
            </w:pPr>
          </w:p>
          <w:p w:rsidR="00A05C3A" w:rsidRPr="00F84146" w:rsidRDefault="004A5EA2" w:rsidP="00F84146">
            <w:pPr>
              <w:spacing w:line="480" w:lineRule="auto"/>
              <w:jc w:val="center"/>
              <w:rPr>
                <w:sz w:val="16"/>
                <w:szCs w:val="16"/>
              </w:rPr>
            </w:pPr>
            <w:r w:rsidRPr="00F84146">
              <w:rPr>
                <w:sz w:val="16"/>
                <w:szCs w:val="16"/>
              </w:rPr>
              <w:t>27.7</w:t>
            </w:r>
          </w:p>
          <w:p w:rsidR="00A05C3A" w:rsidRPr="00F84146" w:rsidRDefault="00A05C3A" w:rsidP="00F84146">
            <w:pPr>
              <w:spacing w:line="480" w:lineRule="auto"/>
              <w:jc w:val="center"/>
              <w:rPr>
                <w:sz w:val="16"/>
                <w:szCs w:val="16"/>
              </w:rPr>
            </w:pPr>
            <w:r w:rsidRPr="00F84146">
              <w:rPr>
                <w:rFonts w:cs="Arial"/>
                <w:b/>
                <w:color w:val="252525"/>
                <w:sz w:val="16"/>
                <w:szCs w:val="16"/>
                <w:shd w:val="clear" w:color="auto" w:fill="FFFFFF"/>
              </w:rPr>
              <w:t>(±</w:t>
            </w:r>
            <w:r w:rsidR="00172E6C">
              <w:rPr>
                <w:rFonts w:cs="Segoe UI"/>
                <w:b/>
                <w:sz w:val="16"/>
                <w:szCs w:val="16"/>
              </w:rPr>
              <w:t>1</w:t>
            </w:r>
            <w:r w:rsidRPr="00F84146">
              <w:rPr>
                <w:rFonts w:cs="Segoe UI"/>
                <w:b/>
                <w:sz w:val="16"/>
                <w:szCs w:val="16"/>
              </w:rPr>
              <w:t>)</w:t>
            </w:r>
          </w:p>
          <w:p w:rsidR="00A05C3A" w:rsidRPr="00F84146" w:rsidRDefault="00A05C3A" w:rsidP="00F84146">
            <w:pPr>
              <w:spacing w:line="480" w:lineRule="auto"/>
              <w:jc w:val="center"/>
              <w:rPr>
                <w:rFonts w:cs="Arial"/>
                <w:i/>
                <w:color w:val="252525"/>
                <w:sz w:val="16"/>
                <w:szCs w:val="16"/>
                <w:shd w:val="clear" w:color="auto" w:fill="FFFFFF"/>
              </w:rPr>
            </w:pPr>
            <w:r w:rsidRPr="00F84146">
              <w:rPr>
                <w:rFonts w:cs="Arial"/>
                <w:i/>
                <w:color w:val="252525"/>
                <w:sz w:val="16"/>
                <w:szCs w:val="16"/>
                <w:shd w:val="clear" w:color="auto" w:fill="FFFFFF"/>
              </w:rPr>
              <w:t>(±</w:t>
            </w:r>
            <w:r w:rsidRPr="00F84146">
              <w:rPr>
                <w:rFonts w:cs="Segoe UI"/>
                <w:i/>
                <w:sz w:val="16"/>
                <w:szCs w:val="16"/>
              </w:rPr>
              <w:t>1)</w:t>
            </w:r>
          </w:p>
          <w:p w:rsidR="003703F0" w:rsidRPr="00F84146" w:rsidRDefault="003703F0" w:rsidP="00F84146">
            <w:pPr>
              <w:spacing w:line="480" w:lineRule="auto"/>
              <w:jc w:val="center"/>
              <w:rPr>
                <w:b/>
                <w:bCs/>
                <w:iCs/>
                <w:sz w:val="16"/>
                <w:szCs w:val="16"/>
              </w:rPr>
            </w:pPr>
          </w:p>
        </w:tc>
        <w:tc>
          <w:tcPr>
            <w:tcW w:w="0" w:type="auto"/>
            <w:vAlign w:val="center"/>
          </w:tcPr>
          <w:p w:rsidR="00A05C3A" w:rsidRPr="00F84146" w:rsidRDefault="00A05C3A" w:rsidP="00F84146">
            <w:pPr>
              <w:spacing w:line="480" w:lineRule="auto"/>
              <w:jc w:val="center"/>
              <w:rPr>
                <w:sz w:val="16"/>
                <w:szCs w:val="16"/>
              </w:rPr>
            </w:pPr>
          </w:p>
          <w:p w:rsidR="003703F0" w:rsidRPr="00F84146" w:rsidRDefault="003703F0" w:rsidP="00F84146">
            <w:pPr>
              <w:spacing w:line="480" w:lineRule="auto"/>
              <w:jc w:val="center"/>
              <w:rPr>
                <w:sz w:val="16"/>
                <w:szCs w:val="16"/>
              </w:rPr>
            </w:pPr>
            <w:r w:rsidRPr="00F84146">
              <w:rPr>
                <w:sz w:val="16"/>
                <w:szCs w:val="16"/>
              </w:rPr>
              <w:t>1.</w:t>
            </w:r>
            <w:r w:rsidR="004A5EA2" w:rsidRPr="00F84146">
              <w:rPr>
                <w:sz w:val="16"/>
                <w:szCs w:val="16"/>
              </w:rPr>
              <w:t>5</w:t>
            </w:r>
          </w:p>
          <w:p w:rsidR="00A05C3A" w:rsidRPr="00F84146" w:rsidRDefault="00A05C3A" w:rsidP="00F84146">
            <w:pPr>
              <w:spacing w:line="480" w:lineRule="auto"/>
              <w:jc w:val="center"/>
              <w:rPr>
                <w:sz w:val="16"/>
                <w:szCs w:val="16"/>
              </w:rPr>
            </w:pPr>
            <w:r w:rsidRPr="00F84146">
              <w:rPr>
                <w:rFonts w:cs="Arial"/>
                <w:b/>
                <w:color w:val="252525"/>
                <w:sz w:val="16"/>
                <w:szCs w:val="16"/>
                <w:shd w:val="clear" w:color="auto" w:fill="FFFFFF"/>
              </w:rPr>
              <w:t>(±</w:t>
            </w:r>
            <w:r w:rsidR="00172E6C">
              <w:rPr>
                <w:rFonts w:cs="Segoe UI"/>
                <w:b/>
                <w:sz w:val="16"/>
                <w:szCs w:val="16"/>
              </w:rPr>
              <w:t>0.1</w:t>
            </w:r>
            <w:r w:rsidRPr="00F84146">
              <w:rPr>
                <w:rFonts w:cs="Segoe UI"/>
                <w:b/>
                <w:sz w:val="16"/>
                <w:szCs w:val="16"/>
              </w:rPr>
              <w:t>)</w:t>
            </w:r>
          </w:p>
          <w:p w:rsidR="00A05C3A" w:rsidRPr="00F84146" w:rsidRDefault="00A05C3A" w:rsidP="00F84146">
            <w:pPr>
              <w:spacing w:line="480" w:lineRule="auto"/>
              <w:jc w:val="center"/>
              <w:rPr>
                <w:rFonts w:cs="Segoe UI"/>
                <w:i/>
                <w:sz w:val="16"/>
                <w:szCs w:val="16"/>
              </w:rPr>
            </w:pPr>
            <w:r w:rsidRPr="00F84146">
              <w:rPr>
                <w:rFonts w:cs="Arial"/>
                <w:i/>
                <w:color w:val="252525"/>
                <w:sz w:val="16"/>
                <w:szCs w:val="16"/>
                <w:shd w:val="clear" w:color="auto" w:fill="FFFFFF"/>
              </w:rPr>
              <w:t>(±</w:t>
            </w:r>
            <w:r w:rsidRPr="00F84146">
              <w:rPr>
                <w:rFonts w:cs="Segoe UI"/>
                <w:i/>
                <w:sz w:val="16"/>
                <w:szCs w:val="16"/>
              </w:rPr>
              <w:t>0.06)</w:t>
            </w:r>
          </w:p>
          <w:p w:rsidR="003703F0" w:rsidRPr="00F84146" w:rsidRDefault="003703F0" w:rsidP="00F84146">
            <w:pPr>
              <w:spacing w:line="480" w:lineRule="auto"/>
              <w:jc w:val="center"/>
              <w:rPr>
                <w:b/>
                <w:bCs/>
                <w:iCs/>
                <w:sz w:val="16"/>
                <w:szCs w:val="16"/>
              </w:rPr>
            </w:pPr>
          </w:p>
        </w:tc>
      </w:tr>
      <w:tr w:rsidR="003703F0" w:rsidRPr="00A910C2" w:rsidTr="00A05C3A">
        <w:trPr>
          <w:trHeight w:val="213"/>
          <w:jc w:val="center"/>
        </w:trPr>
        <w:tc>
          <w:tcPr>
            <w:tcW w:w="0" w:type="auto"/>
            <w:tcBorders>
              <w:bottom w:val="single" w:sz="4" w:space="0" w:color="auto"/>
            </w:tcBorders>
            <w:vAlign w:val="center"/>
          </w:tcPr>
          <w:p w:rsidR="003703F0" w:rsidRPr="00E52A9E" w:rsidRDefault="003703F0" w:rsidP="00137F62">
            <w:pPr>
              <w:spacing w:line="480" w:lineRule="auto"/>
              <w:jc w:val="center"/>
              <w:rPr>
                <w:bCs/>
                <w:iCs/>
                <w:sz w:val="16"/>
                <w:szCs w:val="16"/>
              </w:rPr>
            </w:pPr>
            <w:r w:rsidRPr="00E52A9E">
              <w:rPr>
                <w:bCs/>
                <w:iCs/>
                <w:sz w:val="16"/>
                <w:szCs w:val="16"/>
              </w:rPr>
              <w:t>BSA*</w:t>
            </w:r>
          </w:p>
        </w:tc>
        <w:tc>
          <w:tcPr>
            <w:tcW w:w="0" w:type="auto"/>
            <w:tcBorders>
              <w:bottom w:val="single" w:sz="4" w:space="0" w:color="auto"/>
            </w:tcBorders>
            <w:vAlign w:val="center"/>
          </w:tcPr>
          <w:p w:rsidR="003703F0" w:rsidRPr="00F84146" w:rsidRDefault="003703F0" w:rsidP="00F84146">
            <w:pPr>
              <w:spacing w:line="480" w:lineRule="auto"/>
              <w:jc w:val="center"/>
              <w:rPr>
                <w:sz w:val="16"/>
                <w:szCs w:val="16"/>
              </w:rPr>
            </w:pPr>
            <w:r w:rsidRPr="00F84146">
              <w:rPr>
                <w:sz w:val="16"/>
                <w:szCs w:val="16"/>
              </w:rPr>
              <w:t>79.6</w:t>
            </w:r>
          </w:p>
          <w:p w:rsidR="003703F0" w:rsidRPr="00F84146" w:rsidRDefault="003703F0" w:rsidP="00F84146">
            <w:pPr>
              <w:spacing w:line="480" w:lineRule="auto"/>
              <w:jc w:val="center"/>
              <w:rPr>
                <w:rFonts w:cs="Arial"/>
                <w:b/>
                <w:color w:val="252525"/>
                <w:sz w:val="16"/>
                <w:szCs w:val="16"/>
                <w:shd w:val="clear" w:color="auto" w:fill="FFFFFF"/>
              </w:rPr>
            </w:pPr>
            <w:r w:rsidRPr="00F84146">
              <w:rPr>
                <w:rFonts w:cs="Segoe UI"/>
                <w:b/>
                <w:sz w:val="16"/>
                <w:szCs w:val="16"/>
              </w:rPr>
              <w:t>(</w:t>
            </w:r>
            <w:r w:rsidRPr="00F84146">
              <w:rPr>
                <w:rFonts w:cs="Arial"/>
                <w:b/>
                <w:color w:val="252525"/>
                <w:sz w:val="16"/>
                <w:szCs w:val="16"/>
                <w:shd w:val="clear" w:color="auto" w:fill="FFFFFF"/>
              </w:rPr>
              <w:t xml:space="preserve">± </w:t>
            </w:r>
            <w:r w:rsidR="00172E6C">
              <w:rPr>
                <w:rFonts w:cs="Arial"/>
                <w:b/>
                <w:color w:val="252525"/>
                <w:sz w:val="16"/>
                <w:szCs w:val="16"/>
                <w:shd w:val="clear" w:color="auto" w:fill="FFFFFF"/>
              </w:rPr>
              <w:t>2</w:t>
            </w:r>
            <w:r w:rsidRPr="00F84146">
              <w:rPr>
                <w:rFonts w:cs="Arial"/>
                <w:b/>
                <w:color w:val="252525"/>
                <w:sz w:val="16"/>
                <w:szCs w:val="16"/>
                <w:shd w:val="clear" w:color="auto" w:fill="FFFFFF"/>
              </w:rPr>
              <w:t>)</w:t>
            </w:r>
          </w:p>
          <w:p w:rsidR="00831CBF" w:rsidRPr="00F84146" w:rsidRDefault="00831CBF" w:rsidP="00F84146">
            <w:pPr>
              <w:spacing w:line="480" w:lineRule="auto"/>
              <w:jc w:val="center"/>
              <w:rPr>
                <w:b/>
                <w:sz w:val="16"/>
                <w:szCs w:val="16"/>
              </w:rPr>
            </w:pPr>
            <w:r w:rsidRPr="00F84146">
              <w:rPr>
                <w:rFonts w:cs="Arial"/>
                <w:i/>
                <w:color w:val="252525"/>
                <w:sz w:val="16"/>
                <w:szCs w:val="16"/>
                <w:shd w:val="clear" w:color="auto" w:fill="FFFFFF"/>
              </w:rPr>
              <w:t>(±</w:t>
            </w:r>
            <w:r w:rsidR="000B59A9" w:rsidRPr="00F84146">
              <w:rPr>
                <w:rFonts w:cs="Segoe UI"/>
                <w:i/>
                <w:sz w:val="16"/>
                <w:szCs w:val="16"/>
              </w:rPr>
              <w:t>5</w:t>
            </w:r>
            <w:r w:rsidRPr="00F84146">
              <w:rPr>
                <w:rFonts w:cs="Segoe UI"/>
                <w:i/>
                <w:sz w:val="16"/>
                <w:szCs w:val="16"/>
              </w:rPr>
              <w:t>)</w:t>
            </w:r>
          </w:p>
        </w:tc>
        <w:tc>
          <w:tcPr>
            <w:tcW w:w="0" w:type="auto"/>
            <w:tcBorders>
              <w:bottom w:val="single" w:sz="4" w:space="0" w:color="auto"/>
            </w:tcBorders>
            <w:vAlign w:val="center"/>
          </w:tcPr>
          <w:p w:rsidR="003703F0" w:rsidRPr="00F84146" w:rsidRDefault="003703F0" w:rsidP="00F84146">
            <w:pPr>
              <w:spacing w:line="480" w:lineRule="auto"/>
              <w:jc w:val="center"/>
              <w:rPr>
                <w:sz w:val="16"/>
                <w:szCs w:val="16"/>
              </w:rPr>
            </w:pPr>
            <w:r w:rsidRPr="00F84146">
              <w:rPr>
                <w:sz w:val="16"/>
                <w:szCs w:val="16"/>
              </w:rPr>
              <w:t>51</w:t>
            </w:r>
          </w:p>
          <w:p w:rsidR="003703F0" w:rsidRPr="00F84146" w:rsidRDefault="003703F0" w:rsidP="00F84146">
            <w:pPr>
              <w:spacing w:line="480" w:lineRule="auto"/>
              <w:jc w:val="center"/>
              <w:rPr>
                <w:rFonts w:cs="Arial"/>
                <w:b/>
                <w:color w:val="252525"/>
                <w:sz w:val="16"/>
                <w:szCs w:val="16"/>
                <w:shd w:val="clear" w:color="auto" w:fill="FFFFFF"/>
              </w:rPr>
            </w:pPr>
            <w:r w:rsidRPr="00F84146">
              <w:rPr>
                <w:rFonts w:cs="Segoe UI"/>
                <w:b/>
                <w:sz w:val="16"/>
                <w:szCs w:val="16"/>
              </w:rPr>
              <w:t>(</w:t>
            </w:r>
            <w:r w:rsidRPr="00F84146">
              <w:rPr>
                <w:rFonts w:cs="Arial"/>
                <w:b/>
                <w:color w:val="252525"/>
                <w:sz w:val="16"/>
                <w:szCs w:val="16"/>
                <w:shd w:val="clear" w:color="auto" w:fill="FFFFFF"/>
              </w:rPr>
              <w:t xml:space="preserve">± </w:t>
            </w:r>
            <w:r w:rsidR="00172E6C">
              <w:rPr>
                <w:rFonts w:cs="Arial"/>
                <w:b/>
                <w:color w:val="252525"/>
                <w:sz w:val="16"/>
                <w:szCs w:val="16"/>
                <w:shd w:val="clear" w:color="auto" w:fill="FFFFFF"/>
              </w:rPr>
              <w:t>2</w:t>
            </w:r>
            <w:r w:rsidRPr="00F84146">
              <w:rPr>
                <w:rFonts w:cs="Arial"/>
                <w:b/>
                <w:color w:val="252525"/>
                <w:sz w:val="16"/>
                <w:szCs w:val="16"/>
                <w:shd w:val="clear" w:color="auto" w:fill="FFFFFF"/>
              </w:rPr>
              <w:t>)</w:t>
            </w:r>
          </w:p>
          <w:p w:rsidR="000B59A9" w:rsidRPr="00F84146" w:rsidRDefault="000B59A9" w:rsidP="00F84146">
            <w:pPr>
              <w:spacing w:line="480" w:lineRule="auto"/>
              <w:jc w:val="center"/>
              <w:rPr>
                <w:b/>
                <w:sz w:val="16"/>
                <w:szCs w:val="16"/>
              </w:rPr>
            </w:pPr>
          </w:p>
        </w:tc>
        <w:tc>
          <w:tcPr>
            <w:tcW w:w="0" w:type="auto"/>
            <w:tcBorders>
              <w:bottom w:val="single" w:sz="4" w:space="0" w:color="auto"/>
            </w:tcBorders>
            <w:vAlign w:val="center"/>
          </w:tcPr>
          <w:p w:rsidR="000B59A9" w:rsidRPr="00F84146" w:rsidRDefault="000B59A9" w:rsidP="00F84146">
            <w:pPr>
              <w:spacing w:line="480" w:lineRule="auto"/>
              <w:jc w:val="center"/>
              <w:rPr>
                <w:sz w:val="16"/>
                <w:szCs w:val="16"/>
              </w:rPr>
            </w:pPr>
          </w:p>
          <w:p w:rsidR="003703F0" w:rsidRPr="00F84146" w:rsidRDefault="00A86E96" w:rsidP="00F84146">
            <w:pPr>
              <w:spacing w:line="480" w:lineRule="auto"/>
              <w:jc w:val="center"/>
              <w:rPr>
                <w:sz w:val="16"/>
                <w:szCs w:val="16"/>
              </w:rPr>
            </w:pPr>
            <w:r>
              <w:rPr>
                <w:sz w:val="16"/>
                <w:szCs w:val="16"/>
              </w:rPr>
              <w:t>28.</w:t>
            </w:r>
          </w:p>
          <w:p w:rsidR="003703F0" w:rsidRPr="00F84146" w:rsidRDefault="003703F0" w:rsidP="00F84146">
            <w:pPr>
              <w:spacing w:line="480" w:lineRule="auto"/>
              <w:jc w:val="center"/>
              <w:rPr>
                <w:rFonts w:cs="Arial"/>
                <w:b/>
                <w:color w:val="252525"/>
                <w:sz w:val="16"/>
                <w:szCs w:val="16"/>
                <w:shd w:val="clear" w:color="auto" w:fill="FFFFFF"/>
              </w:rPr>
            </w:pPr>
            <w:r w:rsidRPr="00F84146">
              <w:rPr>
                <w:rFonts w:cs="Segoe UI"/>
                <w:b/>
                <w:sz w:val="16"/>
                <w:szCs w:val="16"/>
              </w:rPr>
              <w:t>(</w:t>
            </w:r>
            <w:r w:rsidRPr="00F84146">
              <w:rPr>
                <w:rFonts w:cs="Arial"/>
                <w:b/>
                <w:color w:val="252525"/>
                <w:sz w:val="16"/>
                <w:szCs w:val="16"/>
                <w:shd w:val="clear" w:color="auto" w:fill="FFFFFF"/>
              </w:rPr>
              <w:t>± 0.3)</w:t>
            </w:r>
          </w:p>
          <w:p w:rsidR="000B59A9" w:rsidRPr="00F84146" w:rsidRDefault="000B59A9" w:rsidP="00F84146">
            <w:pPr>
              <w:spacing w:line="480" w:lineRule="auto"/>
              <w:jc w:val="center"/>
              <w:rPr>
                <w:rFonts w:cs="Arial"/>
                <w:i/>
                <w:color w:val="252525"/>
                <w:sz w:val="16"/>
                <w:szCs w:val="16"/>
                <w:shd w:val="clear" w:color="auto" w:fill="FFFFFF"/>
              </w:rPr>
            </w:pPr>
            <w:r w:rsidRPr="00F84146">
              <w:rPr>
                <w:rFonts w:cs="Arial"/>
                <w:i/>
                <w:color w:val="252525"/>
                <w:sz w:val="16"/>
                <w:szCs w:val="16"/>
                <w:shd w:val="clear" w:color="auto" w:fill="FFFFFF"/>
              </w:rPr>
              <w:t>(±</w:t>
            </w:r>
            <w:r w:rsidRPr="00F84146">
              <w:rPr>
                <w:rFonts w:cs="Segoe UI"/>
                <w:i/>
                <w:sz w:val="16"/>
                <w:szCs w:val="16"/>
              </w:rPr>
              <w:t>2)</w:t>
            </w:r>
          </w:p>
          <w:p w:rsidR="000B59A9" w:rsidRPr="00F84146" w:rsidRDefault="000B59A9" w:rsidP="00F84146">
            <w:pPr>
              <w:spacing w:line="480" w:lineRule="auto"/>
              <w:jc w:val="center"/>
              <w:rPr>
                <w:b/>
                <w:sz w:val="16"/>
                <w:szCs w:val="16"/>
              </w:rPr>
            </w:pPr>
          </w:p>
        </w:tc>
        <w:tc>
          <w:tcPr>
            <w:tcW w:w="0" w:type="auto"/>
            <w:tcBorders>
              <w:bottom w:val="single" w:sz="4" w:space="0" w:color="auto"/>
            </w:tcBorders>
            <w:vAlign w:val="center"/>
          </w:tcPr>
          <w:p w:rsidR="00F84146" w:rsidRPr="00F84146" w:rsidRDefault="00F84146" w:rsidP="00F84146">
            <w:pPr>
              <w:spacing w:line="480" w:lineRule="auto"/>
              <w:jc w:val="center"/>
              <w:rPr>
                <w:sz w:val="16"/>
                <w:szCs w:val="16"/>
              </w:rPr>
            </w:pPr>
          </w:p>
          <w:p w:rsidR="003703F0" w:rsidRPr="00F84146" w:rsidRDefault="00A86E96" w:rsidP="00F84146">
            <w:pPr>
              <w:spacing w:line="480" w:lineRule="auto"/>
              <w:jc w:val="center"/>
              <w:rPr>
                <w:sz w:val="16"/>
                <w:szCs w:val="16"/>
              </w:rPr>
            </w:pPr>
            <w:r>
              <w:rPr>
                <w:sz w:val="16"/>
                <w:szCs w:val="16"/>
              </w:rPr>
              <w:t>0.85</w:t>
            </w:r>
          </w:p>
          <w:p w:rsidR="003703F0" w:rsidRPr="00F84146" w:rsidRDefault="003703F0" w:rsidP="00F84146">
            <w:pPr>
              <w:spacing w:line="480" w:lineRule="auto"/>
              <w:jc w:val="center"/>
              <w:rPr>
                <w:rFonts w:cs="Arial"/>
                <w:b/>
                <w:color w:val="252525"/>
                <w:sz w:val="16"/>
                <w:szCs w:val="16"/>
                <w:shd w:val="clear" w:color="auto" w:fill="FFFFFF"/>
              </w:rPr>
            </w:pPr>
            <w:r w:rsidRPr="00F84146">
              <w:rPr>
                <w:rFonts w:cs="Segoe UI"/>
                <w:b/>
                <w:sz w:val="16"/>
                <w:szCs w:val="16"/>
              </w:rPr>
              <w:t>(</w:t>
            </w:r>
            <w:r w:rsidR="0076524B" w:rsidRPr="00F84146">
              <w:rPr>
                <w:rFonts w:cs="Arial"/>
                <w:b/>
                <w:color w:val="252525"/>
                <w:sz w:val="16"/>
                <w:szCs w:val="16"/>
                <w:shd w:val="clear" w:color="auto" w:fill="FFFFFF"/>
              </w:rPr>
              <w:t>± 0.0</w:t>
            </w:r>
            <w:r w:rsidR="00172E6C">
              <w:rPr>
                <w:rFonts w:cs="Arial"/>
                <w:b/>
                <w:color w:val="252525"/>
                <w:sz w:val="16"/>
                <w:szCs w:val="16"/>
                <w:shd w:val="clear" w:color="auto" w:fill="FFFFFF"/>
              </w:rPr>
              <w:t>4</w:t>
            </w:r>
            <w:r w:rsidRPr="00F84146">
              <w:rPr>
                <w:rFonts w:cs="Arial"/>
                <w:b/>
                <w:color w:val="252525"/>
                <w:sz w:val="16"/>
                <w:szCs w:val="16"/>
                <w:shd w:val="clear" w:color="auto" w:fill="FFFFFF"/>
              </w:rPr>
              <w:t>)</w:t>
            </w:r>
          </w:p>
          <w:p w:rsidR="000B59A9" w:rsidRPr="00F84146" w:rsidRDefault="000B59A9" w:rsidP="00F84146">
            <w:pPr>
              <w:spacing w:line="480" w:lineRule="auto"/>
              <w:jc w:val="center"/>
              <w:rPr>
                <w:rFonts w:cs="Arial"/>
                <w:i/>
                <w:color w:val="252525"/>
                <w:sz w:val="16"/>
                <w:szCs w:val="16"/>
                <w:shd w:val="clear" w:color="auto" w:fill="FFFFFF"/>
              </w:rPr>
            </w:pPr>
            <w:r w:rsidRPr="00F84146">
              <w:rPr>
                <w:rFonts w:cs="Arial"/>
                <w:i/>
                <w:color w:val="252525"/>
                <w:sz w:val="16"/>
                <w:szCs w:val="16"/>
                <w:shd w:val="clear" w:color="auto" w:fill="FFFFFF"/>
              </w:rPr>
              <w:t>(±</w:t>
            </w:r>
            <w:r w:rsidRPr="00F84146">
              <w:rPr>
                <w:rFonts w:cs="Segoe UI"/>
                <w:i/>
                <w:sz w:val="16"/>
                <w:szCs w:val="16"/>
              </w:rPr>
              <w:t>1)</w:t>
            </w:r>
          </w:p>
          <w:p w:rsidR="000B59A9" w:rsidRPr="00F84146" w:rsidRDefault="000B59A9" w:rsidP="00F84146">
            <w:pPr>
              <w:spacing w:line="480" w:lineRule="auto"/>
              <w:jc w:val="center"/>
              <w:rPr>
                <w:b/>
                <w:sz w:val="16"/>
                <w:szCs w:val="16"/>
              </w:rPr>
            </w:pPr>
          </w:p>
        </w:tc>
      </w:tr>
    </w:tbl>
    <w:p w:rsidR="003703F0" w:rsidRDefault="003703F0" w:rsidP="003703F0">
      <w:pPr>
        <w:spacing w:line="480" w:lineRule="auto"/>
      </w:pPr>
    </w:p>
    <w:p w:rsidR="004A5EA2" w:rsidRDefault="003703F0" w:rsidP="003703F0">
      <w:pPr>
        <w:spacing w:line="480" w:lineRule="auto"/>
        <w:jc w:val="both"/>
        <w:rPr>
          <w:rFonts w:cs="Times New Roman"/>
          <w:color w:val="000000" w:themeColor="text1"/>
        </w:rPr>
      </w:pPr>
      <w:r w:rsidRPr="00DC7384">
        <w:rPr>
          <w:rFonts w:cs="Times New Roman"/>
          <w:color w:val="000000" w:themeColor="text1"/>
        </w:rPr>
        <w:t xml:space="preserve">The </w:t>
      </w:r>
      <w:r w:rsidR="001D171F" w:rsidRPr="001D171F">
        <w:rPr>
          <w:rFonts w:eastAsiaTheme="minorEastAsia"/>
        </w:rPr>
        <w:t>Δ</w:t>
      </w:r>
      <w:r w:rsidR="001D171F">
        <w:rPr>
          <w:rFonts w:eastAsiaTheme="minorEastAsia"/>
          <w:i/>
        </w:rPr>
        <w:t xml:space="preserve">G </w:t>
      </w:r>
      <w:r w:rsidR="001D171F">
        <w:rPr>
          <w:rFonts w:eastAsiaTheme="minorEastAsia"/>
        </w:rPr>
        <w:t xml:space="preserve">of binding </w:t>
      </w:r>
      <w:r w:rsidRPr="00DC7384">
        <w:rPr>
          <w:rFonts w:cs="Times New Roman"/>
          <w:color w:val="000000" w:themeColor="text1"/>
        </w:rPr>
        <w:t>between both HSA</w:t>
      </w:r>
      <w:r>
        <w:rPr>
          <w:rFonts w:cs="Times New Roman"/>
          <w:color w:val="000000" w:themeColor="text1"/>
        </w:rPr>
        <w:t xml:space="preserve"> and BSA appears to be the same even when the concentration of BSA is increased. Inspection of the binding isotherms shows that the interaction with phytate and 149 µM HSA is still more exothermic than the interaction of phytate with 346 µM BSA </w:t>
      </w:r>
      <w:r w:rsidR="00382CE1">
        <w:rPr>
          <w:rFonts w:cs="Times New Roman"/>
          <w:color w:val="000000" w:themeColor="text1"/>
        </w:rPr>
        <w:t>(</w:t>
      </w:r>
      <w:r w:rsidR="0075172E">
        <w:rPr>
          <w:rFonts w:cs="Times New Roman"/>
          <w:color w:val="000000" w:themeColor="text1"/>
        </w:rPr>
        <w:fldChar w:fldCharType="begin"/>
      </w:r>
      <w:r w:rsidR="00570A3D">
        <w:rPr>
          <w:rFonts w:cs="Times New Roman"/>
          <w:color w:val="000000" w:themeColor="text1"/>
        </w:rPr>
        <w:instrText xml:space="preserve"> REF _Ref442885541 \h </w:instrText>
      </w:r>
      <w:r w:rsidR="0075172E">
        <w:rPr>
          <w:rFonts w:cs="Times New Roman"/>
          <w:color w:val="000000" w:themeColor="text1"/>
        </w:rPr>
      </w:r>
      <w:r w:rsidR="0075172E">
        <w:rPr>
          <w:rFonts w:cs="Times New Roman"/>
          <w:color w:val="000000" w:themeColor="text1"/>
        </w:rPr>
        <w:fldChar w:fldCharType="separate"/>
      </w:r>
      <w:r w:rsidR="00CB4EDC">
        <w:t xml:space="preserve">Figure </w:t>
      </w:r>
      <w:r w:rsidR="00CB4EDC">
        <w:rPr>
          <w:noProof/>
        </w:rPr>
        <w:t>6</w:t>
      </w:r>
      <w:r w:rsidR="00CB4EDC">
        <w:t>.</w:t>
      </w:r>
      <w:r w:rsidR="00CB4EDC">
        <w:rPr>
          <w:noProof/>
        </w:rPr>
        <w:t>6</w:t>
      </w:r>
      <w:r w:rsidR="0075172E">
        <w:rPr>
          <w:rFonts w:cs="Times New Roman"/>
          <w:color w:val="000000" w:themeColor="text1"/>
        </w:rPr>
        <w:fldChar w:fldCharType="end"/>
      </w:r>
      <w:r w:rsidR="00382CE1">
        <w:rPr>
          <w:rFonts w:cs="Times New Roman"/>
          <w:color w:val="000000" w:themeColor="text1"/>
        </w:rPr>
        <w:t>)</w:t>
      </w:r>
      <w:r>
        <w:rPr>
          <w:rFonts w:cs="Times New Roman"/>
          <w:color w:val="000000" w:themeColor="text1"/>
        </w:rPr>
        <w:t xml:space="preserve">.  </w:t>
      </w:r>
    </w:p>
    <w:p w:rsidR="003703F0" w:rsidRDefault="003703F0" w:rsidP="003703F0">
      <w:pPr>
        <w:spacing w:line="480" w:lineRule="auto"/>
        <w:jc w:val="both"/>
        <w:rPr>
          <w:rFonts w:cs="Times New Roman"/>
          <w:color w:val="000000" w:themeColor="text1"/>
        </w:rPr>
      </w:pPr>
    </w:p>
    <w:p w:rsidR="003703F0" w:rsidRDefault="00040F10" w:rsidP="003703F0">
      <w:pPr>
        <w:keepNext/>
        <w:spacing w:line="480" w:lineRule="auto"/>
      </w:pPr>
      <w:r>
        <w:rPr>
          <w:rFonts w:cs="Times New Roman"/>
          <w:noProof/>
          <w:lang w:eastAsia="en-GB"/>
        </w:rPr>
        <w:lastRenderedPageBreak/>
        <w:pict>
          <v:shape id="_x0000_s1157" type="#_x0000_t202" style="position:absolute;margin-left:.4pt;margin-top:66.15pt;width:26.15pt;height:118.3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BF55B9">
                  <w:pPr>
                    <w:rPr>
                      <w:rFonts w:ascii="Arial" w:hAnsi="Arial" w:cs="Arial"/>
                      <w:b/>
                      <w:color w:val="262626" w:themeColor="text1" w:themeTint="D9"/>
                      <w:sz w:val="18"/>
                      <w:szCs w:val="18"/>
                    </w:rPr>
                  </w:pPr>
                  <w:r>
                    <w:rPr>
                      <w:rFonts w:ascii="Arial" w:hAnsi="Arial" w:cs="Arial"/>
                      <w:b/>
                      <w:color w:val="262626" w:themeColor="text1" w:themeTint="D9"/>
                      <w:sz w:val="18"/>
                      <w:szCs w:val="18"/>
                    </w:rPr>
                    <w:t>Normalised Fit (kJ/mol</w:t>
                  </w:r>
                </w:p>
              </w:txbxContent>
            </v:textbox>
          </v:shape>
        </w:pict>
      </w:r>
      <w:r>
        <w:rPr>
          <w:rFonts w:cs="Times New Roman"/>
          <w:noProof/>
          <w:lang w:eastAsia="en-GB"/>
        </w:rPr>
        <w:pict>
          <v:shape id="_x0000_s1145" type="#_x0000_t202" style="position:absolute;margin-left:185pt;margin-top:260.35pt;width:87.05pt;height:17.6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5">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sidR="00177F8A">
        <w:rPr>
          <w:noProof/>
          <w:lang w:eastAsia="en-GB"/>
        </w:rPr>
        <w:drawing>
          <wp:inline distT="0" distB="0" distL="0" distR="0" wp14:anchorId="0165504A" wp14:editId="26C5D604">
            <wp:extent cx="5205730" cy="353116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5205730" cy="3531160"/>
                    </a:xfrm>
                    <a:prstGeom prst="rect">
                      <a:avLst/>
                    </a:prstGeom>
                    <a:noFill/>
                    <a:ln w="9525">
                      <a:noFill/>
                      <a:miter lim="800000"/>
                      <a:headEnd/>
                      <a:tailEnd/>
                    </a:ln>
                  </pic:spPr>
                </pic:pic>
              </a:graphicData>
            </a:graphic>
          </wp:inline>
        </w:drawing>
      </w:r>
    </w:p>
    <w:p w:rsidR="003703F0" w:rsidRDefault="003703F0" w:rsidP="003703F0">
      <w:pPr>
        <w:pStyle w:val="Caption"/>
        <w:spacing w:line="480" w:lineRule="auto"/>
        <w:jc w:val="center"/>
        <w:rPr>
          <w:rFonts w:cs="Times New Roman"/>
          <w:color w:val="000000" w:themeColor="text1"/>
        </w:rPr>
      </w:pPr>
      <w:bookmarkStart w:id="223" w:name="_Ref442885541"/>
      <w:r>
        <w:t xml:space="preserve">Figure </w:t>
      </w:r>
      <w:r w:rsidR="0075172E">
        <w:fldChar w:fldCharType="begin"/>
      </w:r>
      <w:r w:rsidR="00AC2227">
        <w:instrText xml:space="preserve"> STYLEREF 1 \s </w:instrText>
      </w:r>
      <w:r w:rsidR="0075172E">
        <w:fldChar w:fldCharType="separate"/>
      </w:r>
      <w:r w:rsidR="00CB4EDC">
        <w:rPr>
          <w:noProof/>
        </w:rPr>
        <w:t>6</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6</w:t>
      </w:r>
      <w:r w:rsidR="0075172E">
        <w:fldChar w:fldCharType="end"/>
      </w:r>
      <w:bookmarkEnd w:id="223"/>
      <w:r>
        <w:t>: Binding isotherms for 2.6 mM phytate into HSA at 149 µM (open squares) and BSA at 346 µM (closed circles) in 10 mM ammonium acetate pH 4 at 25</w:t>
      </w:r>
      <w:r w:rsidR="006F2757">
        <w:t xml:space="preserve"> </w:t>
      </w:r>
      <w:r>
        <w:t xml:space="preserve">°C.  </w:t>
      </w:r>
    </w:p>
    <w:p w:rsidR="003703F0" w:rsidRDefault="003703F0" w:rsidP="003703F0">
      <w:pPr>
        <w:spacing w:line="480" w:lineRule="auto"/>
        <w:jc w:val="both"/>
        <w:rPr>
          <w:rFonts w:cs="Times New Roman"/>
          <w:iCs/>
        </w:rPr>
      </w:pPr>
      <w:r w:rsidRPr="00DC7384">
        <w:rPr>
          <w:rFonts w:cs="Times New Roman"/>
        </w:rPr>
        <w:t>Entropy-enthalpy compensation is described as process where any changes in enthalpy are counterbalanced by changes in entropy and vice versa meaning no change in the association constant. A very simple example would be where a ligand has been optimised to make more bonds with the binding site (yielding a favourable increase in enthalpy) but both the ligand and the binding site are less flexible (yielding an unfavourable decrease in entropy). To prevent this, some medicinal chemists have began engineering drugs to hydrogen bond to structured regions of the protein as they carry less entropic penalty. Another approach considers making bonds to functional groups already bonded, meaning less entropic penalty has to be paid.</w:t>
      </w:r>
      <w:hyperlink w:anchor="_ENREF_7" w:tooltip="Chaires, 2008 #8" w:history="1">
        <w:r w:rsidR="00512D09">
          <w:rPr>
            <w:rFonts w:cs="Times New Roman"/>
          </w:rPr>
          <w:fldChar w:fldCharType="begin"/>
        </w:r>
        <w:r w:rsidR="00512D09">
          <w:rPr>
            <w:rFonts w:cs="Times New Roman"/>
          </w:rPr>
          <w:instrText xml:space="preserve"> ADDIN EN.CITE &lt;EndNote&gt;&lt;Cite&gt;&lt;Author&gt;Chaires&lt;/Author&gt;&lt;Year&gt;2008&lt;/Year&gt;&lt;RecNum&gt;8&lt;/RecNum&gt;&lt;DisplayText&gt;&lt;style face="superscript"&gt;7&lt;/style&gt;&lt;/DisplayText&gt;&lt;record&gt;&lt;rec-number&gt;8&lt;/rec-number&gt;&lt;foreign-keys&gt;&lt;key app="EN" db-id="5trrespwzsdr07efd5tx2w96x22re9s0fsdt"&gt;8&lt;/key&gt;&lt;/foreign-keys&gt;&lt;ref-type name="Journal Article"&gt;17&lt;/ref-type&gt;&lt;contributors&gt;&lt;authors&gt;&lt;author&gt;Chaires, J. B.&lt;/author&gt;&lt;/authors&gt;&lt;/contributors&gt;&lt;auth-address&gt;James Graham Brown Cancer Center, University of Louisville, Louisville, Kentucky 40202, USA. j.chaires@louisville.edu&lt;/auth-address&gt;&lt;titles&gt;&lt;title&gt;Calorimetry and thermodynamics in drug design&lt;/title&gt;&lt;secondary-title&gt;Annu Rev Biophys&lt;/secondary-title&gt;&lt;alt-title&gt;Annual review of biophysics&lt;/alt-title&gt;&lt;/titles&gt;&lt;periodical&gt;&lt;full-title&gt;Annu Rev Biophys&lt;/full-title&gt;&lt;abbr-1&gt;Annual review of biophysics&lt;/abbr-1&gt;&lt;/periodical&gt;&lt;alt-periodical&gt;&lt;full-title&gt;Annu Rev Biophys&lt;/full-title&gt;&lt;abbr-1&gt;Annual review of biophysics&lt;/abbr-1&gt;&lt;/alt-periodical&gt;&lt;pages&gt;135-51&lt;/pages&gt;&lt;volume&gt;37&lt;/volume&gt;&lt;edition&gt;2008/06/25&lt;/edition&gt;&lt;keywords&gt;&lt;keyword&gt;Binding Sites&lt;/keyword&gt;&lt;keyword&gt;Biopolymers/*chemistry&lt;/keyword&gt;&lt;keyword&gt;Calorimetry/*trends&lt;/keyword&gt;&lt;keyword&gt;Computer Simulation&lt;/keyword&gt;&lt;keyword&gt;*Drug Design&lt;/keyword&gt;&lt;keyword&gt;*Models, Chemical&lt;/keyword&gt;&lt;keyword&gt;Molecular Conformation&lt;/keyword&gt;&lt;keyword&gt;Pharmaceutical Preparations/*chemistry&lt;/keyword&gt;&lt;keyword&gt;*Thermodynamics&lt;/keyword&gt;&lt;/keywords&gt;&lt;dates&gt;&lt;year&gt;2008&lt;/year&gt;&lt;/dates&gt;&lt;isbn&gt;1936-122X (Print)&amp;#xD;1936-122X (Linking)&lt;/isbn&gt;&lt;accession-num&gt;18573076&lt;/accession-num&gt;&lt;work-type&gt;Research Support, N.I.H., Extramural&amp;#xD;Research Support, Non-U.S. Gov&amp;apos;t&amp;#xD;Review&lt;/work-type&gt;&lt;urls&gt;&lt;related-urls&gt;&lt;url&gt;http://www.ncbi.nlm.nih.gov/pubmed/18573076&lt;/url&gt;&lt;/related-urls&gt;&lt;/urls&gt;&lt;electronic-resource-num&gt;10.1146/annurev.biophys.36.040306.132812&lt;/electronic-resource-num&gt;&lt;language&gt;eng&lt;/language&gt;&lt;/record&gt;&lt;/Cite&gt;&lt;/EndNote&gt;</w:instrText>
        </w:r>
        <w:r w:rsidR="00512D09">
          <w:rPr>
            <w:rFonts w:cs="Times New Roman"/>
          </w:rPr>
          <w:fldChar w:fldCharType="separate"/>
        </w:r>
        <w:r w:rsidR="00512D09" w:rsidRPr="00E30C0B">
          <w:rPr>
            <w:rFonts w:cs="Times New Roman"/>
            <w:noProof/>
            <w:vertAlign w:val="superscript"/>
          </w:rPr>
          <w:t>7</w:t>
        </w:r>
        <w:r w:rsidR="00512D09">
          <w:rPr>
            <w:rFonts w:cs="Times New Roman"/>
          </w:rPr>
          <w:fldChar w:fldCharType="end"/>
        </w:r>
      </w:hyperlink>
      <w:r w:rsidRPr="00DC7384">
        <w:rPr>
          <w:rFonts w:cs="Times New Roman"/>
        </w:rPr>
        <w:t xml:space="preserve"> Others have suggested that entropy-enthalpy compensation is an artefact due ligand concentration errors.</w:t>
      </w:r>
      <w:hyperlink w:anchor="_ENREF_90" w:tooltip="Sharp, 2001 #466" w:history="1">
        <w:r w:rsidR="00512D09">
          <w:rPr>
            <w:rFonts w:cs="Times New Roman"/>
          </w:rPr>
          <w:fldChar w:fldCharType="begin"/>
        </w:r>
        <w:r w:rsidR="00512D09">
          <w:rPr>
            <w:rFonts w:cs="Times New Roman"/>
          </w:rPr>
          <w:instrText xml:space="preserve"> ADDIN EN.CITE &lt;EndNote&gt;&lt;Cite&gt;&lt;Author&gt;Sharp&lt;/Author&gt;&lt;Year&gt;2001&lt;/Year&gt;&lt;RecNum&gt;466&lt;/RecNum&gt;&lt;DisplayText&gt;&lt;style face="superscript"&gt;90&lt;/style&gt;&lt;/DisplayText&gt;&lt;record&gt;&lt;rec-number&gt;466&lt;/rec-number&gt;&lt;foreign-keys&gt;&lt;key app="EN" db-id="5trrespwzsdr07efd5tx2w96x22re9s0fsdt"&gt;466&lt;/key&gt;&lt;/foreign-keys&gt;&lt;ref-type name="Journal Article"&gt;17&lt;/ref-type&gt;&lt;contributors&gt;&lt;authors&gt;&lt;author&gt;Sharp, Kim&lt;/author&gt;&lt;/authors&gt;&lt;/contributors&gt;&lt;titles&gt;&lt;title&gt;Entropy—enthalpy compensation: Fact or artifact?&lt;/title&gt;&lt;secondary-title&gt;Protein Science&lt;/secondary-title&gt;&lt;/titles&gt;&lt;periodical&gt;&lt;full-title&gt;Protein Science&lt;/full-title&gt;&lt;/periodical&gt;&lt;pages&gt;661-667&lt;/pages&gt;&lt;volume&gt;10&lt;/volume&gt;&lt;number&gt;3&lt;/number&gt;&lt;dates&gt;&lt;year&gt;2001&lt;/year&gt;&lt;/dates&gt;&lt;isbn&gt;1469-896X&lt;/isbn&gt;&lt;urls&gt;&lt;/urls&gt;&lt;/record&gt;&lt;/Cite&gt;&lt;/EndNote&gt;</w:instrText>
        </w:r>
        <w:r w:rsidR="00512D09">
          <w:rPr>
            <w:rFonts w:cs="Times New Roman"/>
          </w:rPr>
          <w:fldChar w:fldCharType="separate"/>
        </w:r>
        <w:r w:rsidR="00512D09" w:rsidRPr="00F80CAD">
          <w:rPr>
            <w:rFonts w:cs="Times New Roman"/>
            <w:noProof/>
            <w:vertAlign w:val="superscript"/>
          </w:rPr>
          <w:t>90</w:t>
        </w:r>
        <w:r w:rsidR="00512D09">
          <w:rPr>
            <w:rFonts w:cs="Times New Roman"/>
          </w:rPr>
          <w:fldChar w:fldCharType="end"/>
        </w:r>
      </w:hyperlink>
      <w:r w:rsidRPr="00DC7384">
        <w:rPr>
          <w:rFonts w:cs="Times New Roman"/>
        </w:rPr>
        <w:t xml:space="preserve"> </w:t>
      </w:r>
      <w:r w:rsidRPr="00DC7384">
        <w:rPr>
          <w:rFonts w:cs="Times New Roman"/>
          <w:iCs/>
        </w:rPr>
        <w:t xml:space="preserve">Despite the source being an artefact or real, it is still a frustration for those involved in drug optimisation. Since the </w:t>
      </w:r>
      <w:r w:rsidR="001D171F" w:rsidRPr="001D171F">
        <w:rPr>
          <w:rFonts w:eastAsiaTheme="minorEastAsia"/>
        </w:rPr>
        <w:t>Δ</w:t>
      </w:r>
      <w:r w:rsidR="001D171F">
        <w:rPr>
          <w:rFonts w:eastAsiaTheme="minorEastAsia"/>
          <w:i/>
        </w:rPr>
        <w:t>G</w:t>
      </w:r>
      <w:r w:rsidR="001D171F" w:rsidRPr="00DC7384">
        <w:rPr>
          <w:rFonts w:cs="Times New Roman"/>
          <w:iCs/>
        </w:rPr>
        <w:t xml:space="preserve"> </w:t>
      </w:r>
      <w:r w:rsidRPr="00DC7384">
        <w:rPr>
          <w:rFonts w:cs="Times New Roman"/>
          <w:iCs/>
        </w:rPr>
        <w:t xml:space="preserve">of binding are the same for both HSA and BSA it seems entropy-enthalpy compensation exists between the two binding sites. This illustrates the problem of entropy-enthalpy </w:t>
      </w:r>
      <w:r w:rsidRPr="00DC7384">
        <w:rPr>
          <w:rFonts w:cs="Times New Roman"/>
          <w:iCs/>
        </w:rPr>
        <w:lastRenderedPageBreak/>
        <w:t xml:space="preserve">compensation for medicinal chemists. That even presumably the binding sites are dissimilar (as evidenced from the differing </w:t>
      </w:r>
      <w:r w:rsidR="001D171F" w:rsidRPr="001D171F">
        <w:rPr>
          <w:rFonts w:eastAsiaTheme="minorEastAsia"/>
        </w:rPr>
        <w:t>Δ</w:t>
      </w:r>
      <w:r w:rsidR="001D171F">
        <w:rPr>
          <w:rFonts w:eastAsiaTheme="minorEastAsia"/>
          <w:i/>
        </w:rPr>
        <w:t>H</w:t>
      </w:r>
      <w:r w:rsidRPr="00DC7384">
        <w:rPr>
          <w:rFonts w:cs="Times New Roman"/>
          <w:iCs/>
        </w:rPr>
        <w:t xml:space="preserve">), the </w:t>
      </w:r>
      <w:r w:rsidR="001D171F" w:rsidRPr="001D171F">
        <w:rPr>
          <w:rFonts w:eastAsiaTheme="minorEastAsia"/>
        </w:rPr>
        <w:t>Δ</w:t>
      </w:r>
      <w:r w:rsidR="001D171F">
        <w:rPr>
          <w:rFonts w:eastAsiaTheme="minorEastAsia"/>
          <w:i/>
        </w:rPr>
        <w:t xml:space="preserve">G </w:t>
      </w:r>
      <w:r w:rsidRPr="00DC7384">
        <w:rPr>
          <w:rFonts w:cs="Times New Roman"/>
          <w:iCs/>
        </w:rPr>
        <w:t xml:space="preserve">remains relatively similar.  </w:t>
      </w:r>
    </w:p>
    <w:p w:rsidR="003703F0" w:rsidRDefault="003703F0" w:rsidP="003703F0">
      <w:pPr>
        <w:spacing w:line="480" w:lineRule="auto"/>
        <w:jc w:val="both"/>
        <w:rPr>
          <w:rStyle w:val="Emphasis"/>
          <w:rFonts w:cs="Arial"/>
          <w:bCs/>
          <w:i w:val="0"/>
          <w:iCs w:val="0"/>
          <w:color w:val="000000" w:themeColor="text1"/>
          <w:shd w:val="clear" w:color="auto" w:fill="FFFFFF"/>
        </w:rPr>
      </w:pPr>
      <w:r>
        <w:rPr>
          <w:rFonts w:cs="Times New Roman"/>
        </w:rPr>
        <w:t>Lumry and Ranjander suggested entropy-enthalpy compensation was a general property of any interaction carried out in water.</w:t>
      </w:r>
      <w:hyperlink w:anchor="_ENREF_13" w:tooltip="Lumry, 1970 #199" w:history="1">
        <w:r w:rsidR="00512D09">
          <w:rPr>
            <w:rFonts w:cs="Times New Roman"/>
          </w:rPr>
          <w:fldChar w:fldCharType="begin"/>
        </w:r>
        <w:r w:rsidR="00512D09">
          <w:rPr>
            <w:rFonts w:cs="Times New Roman"/>
          </w:rPr>
          <w:instrText xml:space="preserve"> ADDIN EN.CITE &lt;EndNote&gt;&lt;Cite&gt;&lt;Author&gt;Lumry&lt;/Author&gt;&lt;Year&gt;1970&lt;/Year&gt;&lt;RecNum&gt;199&lt;/RecNum&gt;&lt;DisplayText&gt;&lt;style face="superscript"&gt;13&lt;/style&gt;&lt;/DisplayText&gt;&lt;record&gt;&lt;rec-number&gt;199&lt;/rec-number&gt;&lt;foreign-keys&gt;&lt;key app="EN" db-id="5trrespwzsdr07efd5tx2w96x22re9s0fsdt"&gt;199&lt;/key&gt;&lt;/foreign-keys&gt;&lt;ref-type name="Journal Article"&gt;17&lt;/ref-type&gt;&lt;contributors&gt;&lt;authors&gt;&lt;author&gt;Lumry, Rufus&lt;/author&gt;&lt;author&gt;Rajender, Shyamala&lt;/author&gt;&lt;/authors&gt;&lt;/contributors&gt;&lt;titles&gt;&lt;title&gt;Enthalpy–entropy compensation phenomena in water solutions of proteins and small molecules: A ubiquitous properly of water&lt;/title&gt;&lt;secondary-title&gt;Biopolymers&lt;/secondary-title&gt;&lt;/titles&gt;&lt;periodical&gt;&lt;full-title&gt;Biopolymers&lt;/full-title&gt;&lt;/periodical&gt;&lt;pages&gt;1125-1227&lt;/pages&gt;&lt;volume&gt;9&lt;/volume&gt;&lt;number&gt;10&lt;/number&gt;&lt;dates&gt;&lt;year&gt;1970&lt;/year&gt;&lt;/dates&gt;&lt;publisher&gt;Wiley Subscription Services, Inc., A Wiley Company&lt;/publisher&gt;&lt;isbn&gt;1097-0282&lt;/isbn&gt;&lt;urls&gt;&lt;related-urls&gt;&lt;url&gt;http://dx.doi.org/10.1002/bip.1970.360091002&lt;/url&gt;&lt;/related-urls&gt;&lt;/urls&gt;&lt;electronic-resource-num&gt;10.1002/bip.1970.360091002&lt;/electronic-resource-num&gt;&lt;/record&gt;&lt;/Cite&gt;&lt;/EndNote&gt;</w:instrText>
        </w:r>
        <w:r w:rsidR="00512D09">
          <w:rPr>
            <w:rFonts w:cs="Times New Roman"/>
          </w:rPr>
          <w:fldChar w:fldCharType="separate"/>
        </w:r>
        <w:r w:rsidR="00512D09" w:rsidRPr="00E30C0B">
          <w:rPr>
            <w:rFonts w:cs="Times New Roman"/>
            <w:noProof/>
            <w:vertAlign w:val="superscript"/>
          </w:rPr>
          <w:t>13</w:t>
        </w:r>
        <w:r w:rsidR="00512D09">
          <w:rPr>
            <w:rFonts w:cs="Times New Roman"/>
          </w:rPr>
          <w:fldChar w:fldCharType="end"/>
        </w:r>
      </w:hyperlink>
      <w:r>
        <w:rPr>
          <w:rFonts w:cs="Times New Roman"/>
        </w:rPr>
        <w:t xml:space="preserve"> Both the protein and the ligand are solvated and upon binding there is a degree of desolvation and change in conformation of both the ligand and the protein effecting a change in the free volume of adjacent </w:t>
      </w:r>
      <w:r w:rsidRPr="0012100D">
        <w:rPr>
          <w:rFonts w:cs="Times New Roman"/>
          <w:color w:val="000000" w:themeColor="text1"/>
        </w:rPr>
        <w:t xml:space="preserve">water. Later on </w:t>
      </w:r>
      <w:r w:rsidRPr="0012100D">
        <w:rPr>
          <w:rStyle w:val="Emphasis"/>
          <w:rFonts w:cs="Arial"/>
          <w:bCs/>
          <w:i w:val="0"/>
          <w:iCs w:val="0"/>
          <w:color w:val="000000" w:themeColor="text1"/>
          <w:shd w:val="clear" w:color="auto" w:fill="FFFFFF"/>
        </w:rPr>
        <w:t>Chervenak</w:t>
      </w:r>
      <w:r w:rsidRPr="0012100D">
        <w:rPr>
          <w:rStyle w:val="apple-converted-space"/>
          <w:rFonts w:cs="Arial"/>
          <w:color w:val="000000" w:themeColor="text1"/>
          <w:shd w:val="clear" w:color="auto" w:fill="FFFFFF"/>
        </w:rPr>
        <w:t> </w:t>
      </w:r>
      <w:r w:rsidRPr="0012100D">
        <w:rPr>
          <w:rFonts w:cs="Arial"/>
          <w:color w:val="000000" w:themeColor="text1"/>
          <w:shd w:val="clear" w:color="auto" w:fill="FFFFFF"/>
        </w:rPr>
        <w:t xml:space="preserve">and </w:t>
      </w:r>
      <w:r w:rsidRPr="0012100D">
        <w:rPr>
          <w:rStyle w:val="Emphasis"/>
          <w:rFonts w:cs="Arial"/>
          <w:bCs/>
          <w:i w:val="0"/>
          <w:iCs w:val="0"/>
          <w:color w:val="000000" w:themeColor="text1"/>
          <w:shd w:val="clear" w:color="auto" w:fill="FFFFFF"/>
        </w:rPr>
        <w:t>Toone</w:t>
      </w:r>
      <w:r>
        <w:rPr>
          <w:rStyle w:val="Emphasis"/>
          <w:rFonts w:cs="Arial"/>
          <w:bCs/>
          <w:i w:val="0"/>
          <w:iCs w:val="0"/>
          <w:color w:val="000000" w:themeColor="text1"/>
          <w:shd w:val="clear" w:color="auto" w:fill="FFFFFF"/>
        </w:rPr>
        <w:t xml:space="preserve"> performed a number of protein-carbohydrate ITC studies in both heavy and normal water.</w:t>
      </w:r>
      <w:hyperlink w:anchor="_ENREF_322" w:tooltip="Chervenak, 1994 #246" w:history="1">
        <w:r w:rsidR="00512D09">
          <w:rPr>
            <w:rStyle w:val="Emphasis"/>
            <w:rFonts w:cs="Arial"/>
            <w:bCs/>
            <w:i w:val="0"/>
            <w:iCs w:val="0"/>
            <w:color w:val="000000" w:themeColor="text1"/>
            <w:shd w:val="clear" w:color="auto" w:fill="FFFFFF"/>
          </w:rPr>
          <w:fldChar w:fldCharType="begin"/>
        </w:r>
        <w:r w:rsidR="00512D09">
          <w:rPr>
            <w:rStyle w:val="Emphasis"/>
            <w:rFonts w:cs="Arial"/>
            <w:bCs/>
            <w:i w:val="0"/>
            <w:iCs w:val="0"/>
            <w:color w:val="000000" w:themeColor="text1"/>
            <w:shd w:val="clear" w:color="auto" w:fill="FFFFFF"/>
          </w:rPr>
          <w:instrText xml:space="preserve"> ADDIN EN.CITE &lt;EndNote&gt;&lt;Cite&gt;&lt;Author&gt;Chervenak&lt;/Author&gt;&lt;Year&gt;1994&lt;/Year&gt;&lt;RecNum&gt;246&lt;/RecNum&gt;&lt;DisplayText&gt;&lt;style face="superscript"&gt;322&lt;/style&gt;&lt;/DisplayText&gt;&lt;record&gt;&lt;rec-number&gt;246&lt;/rec-number&gt;&lt;foreign-keys&gt;&lt;key app="EN" db-id="5trrespwzsdr07efd5tx2w96x22re9s0fsdt"&gt;246&lt;/key&gt;&lt;/foreign-keys&gt;&lt;ref-type name="Journal Article"&gt;17&lt;/ref-type&gt;&lt;contributors&gt;&lt;authors&gt;&lt;author&gt;Chervenak, Mary C&lt;/author&gt;&lt;author&gt;Toone, Eric J&lt;/author&gt;&lt;/authors&gt;&lt;/contributors&gt;&lt;titles&gt;&lt;title&gt;A direct measure of the contribution of solvent reorganization to the enthalpy of binding&lt;/title&gt;&lt;secondary-title&gt;J Am Chem Soc&lt;/secondary-title&gt;&lt;/titles&gt;&lt;periodical&gt;&lt;full-title&gt;J Am Chem Soc&lt;/full-title&gt;&lt;abbr-1&gt;Journal of the American Chemical Society&lt;/abbr-1&gt;&lt;/periodical&gt;&lt;pages&gt;10533-10539&lt;/pages&gt;&lt;volume&gt;116&lt;/volume&gt;&lt;number&gt;23&lt;/number&gt;&lt;dates&gt;&lt;year&gt;1994&lt;/year&gt;&lt;/dates&gt;&lt;isbn&gt;0002-7863&lt;/isbn&gt;&lt;urls&gt;&lt;/urls&gt;&lt;/record&gt;&lt;/Cite&gt;&lt;/EndNote&gt;</w:instrText>
        </w:r>
        <w:r w:rsidR="00512D09">
          <w:rPr>
            <w:rStyle w:val="Emphasis"/>
            <w:rFonts w:cs="Arial"/>
            <w:bCs/>
            <w:i w:val="0"/>
            <w:iCs w:val="0"/>
            <w:color w:val="000000" w:themeColor="text1"/>
            <w:shd w:val="clear" w:color="auto" w:fill="FFFFFF"/>
          </w:rPr>
          <w:fldChar w:fldCharType="separate"/>
        </w:r>
        <w:r w:rsidR="00512D09" w:rsidRPr="0057696F">
          <w:rPr>
            <w:rStyle w:val="Emphasis"/>
            <w:rFonts w:cs="Arial"/>
            <w:bCs/>
            <w:i w:val="0"/>
            <w:iCs w:val="0"/>
            <w:noProof/>
            <w:color w:val="000000" w:themeColor="text1"/>
            <w:shd w:val="clear" w:color="auto" w:fill="FFFFFF"/>
            <w:vertAlign w:val="superscript"/>
          </w:rPr>
          <w:t>322</w:t>
        </w:r>
        <w:r w:rsidR="00512D09">
          <w:rPr>
            <w:rStyle w:val="Emphasis"/>
            <w:rFonts w:cs="Arial"/>
            <w:bCs/>
            <w:i w:val="0"/>
            <w:iCs w:val="0"/>
            <w:color w:val="000000" w:themeColor="text1"/>
            <w:shd w:val="clear" w:color="auto" w:fill="FFFFFF"/>
          </w:rPr>
          <w:fldChar w:fldCharType="end"/>
        </w:r>
      </w:hyperlink>
      <w:r>
        <w:rPr>
          <w:rStyle w:val="Emphasis"/>
          <w:rFonts w:cs="Arial"/>
          <w:bCs/>
          <w:i w:val="0"/>
          <w:iCs w:val="0"/>
          <w:color w:val="000000" w:themeColor="text1"/>
          <w:shd w:val="clear" w:color="auto" w:fill="FFFFFF"/>
        </w:rPr>
        <w:t xml:space="preserve"> Deuterium bonding is 10% stronger than hydrogen bonding meaning it provides a measure of solvent reorganisation enthalpy. For those systems studied the solvent reorganisation enthalpy provided 25-100% of the overall global enthalpy change but there was no real change in the </w:t>
      </w:r>
      <w:r w:rsidR="001D171F" w:rsidRPr="001D171F">
        <w:rPr>
          <w:rFonts w:eastAsiaTheme="minorEastAsia"/>
        </w:rPr>
        <w:t>Δ</w:t>
      </w:r>
      <w:r w:rsidR="001D171F">
        <w:rPr>
          <w:rFonts w:eastAsiaTheme="minorEastAsia"/>
          <w:i/>
        </w:rPr>
        <w:t xml:space="preserve">G </w:t>
      </w:r>
      <w:r>
        <w:rPr>
          <w:rStyle w:val="Emphasis"/>
          <w:rFonts w:cs="Arial"/>
          <w:bCs/>
          <w:i w:val="0"/>
          <w:iCs w:val="0"/>
          <w:color w:val="000000" w:themeColor="text1"/>
          <w:shd w:val="clear" w:color="auto" w:fill="FFFFFF"/>
        </w:rPr>
        <w:t>of binding.</w:t>
      </w:r>
      <w:hyperlink w:anchor="_ENREF_322" w:tooltip="Chervenak, 1994 #246" w:history="1">
        <w:r w:rsidR="00512D09">
          <w:rPr>
            <w:rStyle w:val="Emphasis"/>
            <w:rFonts w:cs="Arial"/>
            <w:bCs/>
            <w:i w:val="0"/>
            <w:iCs w:val="0"/>
            <w:color w:val="000000" w:themeColor="text1"/>
            <w:shd w:val="clear" w:color="auto" w:fill="FFFFFF"/>
          </w:rPr>
          <w:fldChar w:fldCharType="begin"/>
        </w:r>
        <w:r w:rsidR="00512D09">
          <w:rPr>
            <w:rStyle w:val="Emphasis"/>
            <w:rFonts w:cs="Arial"/>
            <w:bCs/>
            <w:i w:val="0"/>
            <w:iCs w:val="0"/>
            <w:color w:val="000000" w:themeColor="text1"/>
            <w:shd w:val="clear" w:color="auto" w:fill="FFFFFF"/>
          </w:rPr>
          <w:instrText xml:space="preserve"> ADDIN EN.CITE &lt;EndNote&gt;&lt;Cite&gt;&lt;Author&gt;Chervenak&lt;/Author&gt;&lt;Year&gt;1994&lt;/Year&gt;&lt;RecNum&gt;246&lt;/RecNum&gt;&lt;DisplayText&gt;&lt;style face="superscript"&gt;322&lt;/style&gt;&lt;/DisplayText&gt;&lt;record&gt;&lt;rec-number&gt;246&lt;/rec-number&gt;&lt;foreign-keys&gt;&lt;key app="EN" db-id="5trrespwzsdr07efd5tx2w96x22re9s0fsdt"&gt;246&lt;/key&gt;&lt;/foreign-keys&gt;&lt;ref-type name="Journal Article"&gt;17&lt;/ref-type&gt;&lt;contributors&gt;&lt;authors&gt;&lt;author&gt;Chervenak, Mary C&lt;/author&gt;&lt;author&gt;Toone, Eric J&lt;/author&gt;&lt;/authors&gt;&lt;/contributors&gt;&lt;titles&gt;&lt;title&gt;A direct measure of the contribution of solvent reorganization to the enthalpy of binding&lt;/title&gt;&lt;secondary-title&gt;J Am Chem Soc&lt;/secondary-title&gt;&lt;/titles&gt;&lt;periodical&gt;&lt;full-title&gt;J Am Chem Soc&lt;/full-title&gt;&lt;abbr-1&gt;Journal of the American Chemical Society&lt;/abbr-1&gt;&lt;/periodical&gt;&lt;pages&gt;10533-10539&lt;/pages&gt;&lt;volume&gt;116&lt;/volume&gt;&lt;number&gt;23&lt;/number&gt;&lt;dates&gt;&lt;year&gt;1994&lt;/year&gt;&lt;/dates&gt;&lt;isbn&gt;0002-7863&lt;/isbn&gt;&lt;urls&gt;&lt;/urls&gt;&lt;/record&gt;&lt;/Cite&gt;&lt;/EndNote&gt;</w:instrText>
        </w:r>
        <w:r w:rsidR="00512D09">
          <w:rPr>
            <w:rStyle w:val="Emphasis"/>
            <w:rFonts w:cs="Arial"/>
            <w:bCs/>
            <w:i w:val="0"/>
            <w:iCs w:val="0"/>
            <w:color w:val="000000" w:themeColor="text1"/>
            <w:shd w:val="clear" w:color="auto" w:fill="FFFFFF"/>
          </w:rPr>
          <w:fldChar w:fldCharType="separate"/>
        </w:r>
        <w:r w:rsidR="00512D09" w:rsidRPr="0057696F">
          <w:rPr>
            <w:rStyle w:val="Emphasis"/>
            <w:rFonts w:cs="Arial"/>
            <w:bCs/>
            <w:i w:val="0"/>
            <w:iCs w:val="0"/>
            <w:noProof/>
            <w:color w:val="000000" w:themeColor="text1"/>
            <w:shd w:val="clear" w:color="auto" w:fill="FFFFFF"/>
            <w:vertAlign w:val="superscript"/>
          </w:rPr>
          <w:t>322</w:t>
        </w:r>
        <w:r w:rsidR="00512D09">
          <w:rPr>
            <w:rStyle w:val="Emphasis"/>
            <w:rFonts w:cs="Arial"/>
            <w:bCs/>
            <w:i w:val="0"/>
            <w:iCs w:val="0"/>
            <w:color w:val="000000" w:themeColor="text1"/>
            <w:shd w:val="clear" w:color="auto" w:fill="FFFFFF"/>
          </w:rPr>
          <w:fldChar w:fldCharType="end"/>
        </w:r>
      </w:hyperlink>
      <w:r>
        <w:rPr>
          <w:rStyle w:val="Emphasis"/>
          <w:rFonts w:cs="Arial"/>
          <w:bCs/>
          <w:i w:val="0"/>
          <w:iCs w:val="0"/>
          <w:color w:val="000000" w:themeColor="text1"/>
          <w:shd w:val="clear" w:color="auto" w:fill="FFFFFF"/>
        </w:rPr>
        <w:t xml:space="preserve"> This reinforces the conclusions made by Lumry and Ranjander. It may also provide a reason why the </w:t>
      </w:r>
      <w:r w:rsidR="001D171F" w:rsidRPr="001D171F">
        <w:rPr>
          <w:rFonts w:eastAsiaTheme="minorEastAsia"/>
        </w:rPr>
        <w:t>Δ</w:t>
      </w:r>
      <w:r w:rsidR="001D171F">
        <w:rPr>
          <w:rFonts w:eastAsiaTheme="minorEastAsia"/>
          <w:i/>
        </w:rPr>
        <w:t xml:space="preserve">G </w:t>
      </w:r>
      <w:r>
        <w:rPr>
          <w:rStyle w:val="Emphasis"/>
          <w:rFonts w:cs="Arial"/>
          <w:bCs/>
          <w:i w:val="0"/>
          <w:iCs w:val="0"/>
          <w:color w:val="000000" w:themeColor="text1"/>
          <w:shd w:val="clear" w:color="auto" w:fill="FFFFFF"/>
        </w:rPr>
        <w:t xml:space="preserve">of binding between HSA and BSA for phytate remains the same but the </w:t>
      </w:r>
      <w:r w:rsidR="001D171F">
        <w:rPr>
          <w:rStyle w:val="Emphasis"/>
          <w:rFonts w:cs="Arial"/>
          <w:bCs/>
          <w:i w:val="0"/>
          <w:iCs w:val="0"/>
          <w:color w:val="000000" w:themeColor="text1"/>
          <w:shd w:val="clear" w:color="auto" w:fill="FFFFFF"/>
        </w:rPr>
        <w:t>T</w:t>
      </w:r>
      <w:r w:rsidR="001D171F" w:rsidRPr="001D171F">
        <w:rPr>
          <w:rFonts w:eastAsiaTheme="minorEastAsia"/>
        </w:rPr>
        <w:t>Δ</w:t>
      </w:r>
      <w:r w:rsidR="00E17270">
        <w:rPr>
          <w:rFonts w:eastAsiaTheme="minorEastAsia"/>
          <w:i/>
        </w:rPr>
        <w:t>S</w:t>
      </w:r>
      <w:r w:rsidR="001D171F">
        <w:rPr>
          <w:rStyle w:val="Emphasis"/>
          <w:rFonts w:cs="Arial"/>
          <w:bCs/>
          <w:i w:val="0"/>
          <w:iCs w:val="0"/>
          <w:color w:val="000000" w:themeColor="text1"/>
          <w:shd w:val="clear" w:color="auto" w:fill="FFFFFF"/>
        </w:rPr>
        <w:t xml:space="preserve"> </w:t>
      </w:r>
      <w:r>
        <w:rPr>
          <w:rStyle w:val="Emphasis"/>
          <w:rFonts w:cs="Arial"/>
          <w:bCs/>
          <w:i w:val="0"/>
          <w:iCs w:val="0"/>
          <w:color w:val="000000" w:themeColor="text1"/>
          <w:shd w:val="clear" w:color="auto" w:fill="FFFFFF"/>
        </w:rPr>
        <w:t xml:space="preserve">are different. </w:t>
      </w:r>
    </w:p>
    <w:p w:rsidR="003703F0" w:rsidRDefault="003703F0" w:rsidP="003703F0">
      <w:pPr>
        <w:spacing w:line="480" w:lineRule="auto"/>
        <w:jc w:val="both"/>
        <w:rPr>
          <w:rStyle w:val="Emphasis"/>
          <w:rFonts w:cs="Arial"/>
          <w:bCs/>
          <w:i w:val="0"/>
          <w:iCs w:val="0"/>
          <w:color w:val="000000" w:themeColor="text1"/>
          <w:shd w:val="clear" w:color="auto" w:fill="FFFFFF"/>
        </w:rPr>
      </w:pPr>
      <w:r>
        <w:rPr>
          <w:rStyle w:val="Emphasis"/>
          <w:rFonts w:cs="Arial"/>
          <w:bCs/>
          <w:i w:val="0"/>
          <w:iCs w:val="0"/>
          <w:color w:val="000000" w:themeColor="text1"/>
          <w:shd w:val="clear" w:color="auto" w:fill="FFFFFF"/>
        </w:rPr>
        <w:t>Leffler’s work on entropy-enthalpy compensation for a series of chemical reactions specified a temperature range where the activation energies and equilibrium constants did not change.</w:t>
      </w:r>
      <w:hyperlink w:anchor="_ENREF_91" w:tooltip="Leffler, 1955 #497" w:history="1">
        <w:r w:rsidR="00512D09">
          <w:rPr>
            <w:rStyle w:val="Emphasis"/>
            <w:rFonts w:cs="Arial"/>
            <w:bCs/>
            <w:i w:val="0"/>
            <w:iCs w:val="0"/>
            <w:color w:val="000000" w:themeColor="text1"/>
            <w:shd w:val="clear" w:color="auto" w:fill="FFFFFF"/>
          </w:rPr>
          <w:fldChar w:fldCharType="begin"/>
        </w:r>
        <w:r w:rsidR="00512D09">
          <w:rPr>
            <w:rStyle w:val="Emphasis"/>
            <w:rFonts w:cs="Arial"/>
            <w:bCs/>
            <w:i w:val="0"/>
            <w:iCs w:val="0"/>
            <w:color w:val="000000" w:themeColor="text1"/>
            <w:shd w:val="clear" w:color="auto" w:fill="FFFFFF"/>
          </w:rPr>
          <w:instrText xml:space="preserve"> ADDIN EN.CITE &lt;EndNote&gt;&lt;Cite&gt;&lt;Author&gt;Leffler&lt;/Author&gt;&lt;Year&gt;1955&lt;/Year&gt;&lt;RecNum&gt;497&lt;/RecNum&gt;&lt;DisplayText&gt;&lt;style face="superscript"&gt;91&lt;/style&gt;&lt;/DisplayText&gt;&lt;record&gt;&lt;rec-number&gt;497&lt;/rec-number&gt;&lt;foreign-keys&gt;&lt;key app="EN" db-id="5trrespwzsdr07efd5tx2w96x22re9s0fsdt"&gt;497&lt;/key&gt;&lt;/foreign-keys&gt;&lt;ref-type name="Journal Article"&gt;17&lt;/ref-type&gt;&lt;contributors&gt;&lt;authors&gt;&lt;author&gt;Leffler, J. E.&lt;/author&gt;&lt;/authors&gt;&lt;/contributors&gt;&lt;titles&gt;&lt;title&gt;The Enthalpy-Entropy Relationship and Its Implications for Organic Chemistry&lt;/title&gt;&lt;secondary-title&gt;Journal of Organic Chemistry&lt;/secondary-title&gt;&lt;alt-title&gt;Journal of Organic Chemistry&lt;/alt-title&gt;&lt;/titles&gt;&lt;periodical&gt;&lt;full-title&gt;Journal of Organic Chemistry&lt;/full-title&gt;&lt;abbr-1&gt;Journal of Organic Chemistry&lt;/abbr-1&gt;&lt;/periodical&gt;&lt;alt-periodical&gt;&lt;full-title&gt;Journal of Organic Chemistry&lt;/full-title&gt;&lt;abbr-1&gt;Journal of Organic Chemistry&lt;/abbr-1&gt;&lt;/alt-periodical&gt;&lt;pages&gt;1202-1231&lt;/pages&gt;&lt;volume&gt;20&lt;/volume&gt;&lt;number&gt;9&lt;/number&gt;&lt;dates&gt;&lt;year&gt;1955&lt;/year&gt;&lt;pub-dates&gt;&lt;date&gt;1955/09/01&lt;/date&gt;&lt;/pub-dates&gt;&lt;/dates&gt;&lt;publisher&gt;American Chemical Society&lt;/publisher&gt;&lt;isbn&gt;0022-3263&lt;/isbn&gt;&lt;accession-num&gt;ISI:A1955WX72200009&lt;/accession-num&gt;&lt;urls&gt;&lt;related-urls&gt;&lt;url&gt;&amp;lt;Go to ISI&amp;gt;://A1955WX72200009&lt;/url&gt;&lt;/related-urls&gt;&lt;/urls&gt;&lt;electronic-resource-num&gt;Doi 10.1021/Jo01126a009&lt;/electronic-resource-num&gt;&lt;language&gt;English&lt;/language&gt;&lt;access-date&gt;2014/12/15&lt;/access-date&gt;&lt;/record&gt;&lt;/Cite&gt;&lt;/EndNote&gt;</w:instrText>
        </w:r>
        <w:r w:rsidR="00512D09">
          <w:rPr>
            <w:rStyle w:val="Emphasis"/>
            <w:rFonts w:cs="Arial"/>
            <w:bCs/>
            <w:i w:val="0"/>
            <w:iCs w:val="0"/>
            <w:color w:val="000000" w:themeColor="text1"/>
            <w:shd w:val="clear" w:color="auto" w:fill="FFFFFF"/>
          </w:rPr>
          <w:fldChar w:fldCharType="separate"/>
        </w:r>
        <w:r w:rsidR="00512D09" w:rsidRPr="00F80CAD">
          <w:rPr>
            <w:rStyle w:val="Emphasis"/>
            <w:rFonts w:cs="Arial"/>
            <w:bCs/>
            <w:i w:val="0"/>
            <w:iCs w:val="0"/>
            <w:noProof/>
            <w:color w:val="000000" w:themeColor="text1"/>
            <w:shd w:val="clear" w:color="auto" w:fill="FFFFFF"/>
            <w:vertAlign w:val="superscript"/>
          </w:rPr>
          <w:t>91</w:t>
        </w:r>
        <w:r w:rsidR="00512D09">
          <w:rPr>
            <w:rStyle w:val="Emphasis"/>
            <w:rFonts w:cs="Arial"/>
            <w:bCs/>
            <w:i w:val="0"/>
            <w:iCs w:val="0"/>
            <w:color w:val="000000" w:themeColor="text1"/>
            <w:shd w:val="clear" w:color="auto" w:fill="FFFFFF"/>
          </w:rPr>
          <w:fldChar w:fldCharType="end"/>
        </w:r>
      </w:hyperlink>
      <w:r>
        <w:rPr>
          <w:rStyle w:val="Emphasis"/>
          <w:rFonts w:cs="Arial"/>
          <w:bCs/>
          <w:i w:val="0"/>
          <w:iCs w:val="0"/>
          <w:color w:val="000000" w:themeColor="text1"/>
          <w:shd w:val="clear" w:color="auto" w:fill="FFFFFF"/>
        </w:rPr>
        <w:t xml:space="preserve"> Performing the experiments at temperatures beyond the compensation temperature in some situations changed the enthalpy without a corresponding change in entropy. Since the binding of phytate to BSA and HSA is isoenergetic it would have been interesting to see if altering the temperature would cause more variation in the binding constant for the two proteins. </w:t>
      </w:r>
    </w:p>
    <w:p w:rsidR="003703F0" w:rsidRDefault="003703F0" w:rsidP="003703F0">
      <w:pPr>
        <w:spacing w:line="480" w:lineRule="auto"/>
        <w:jc w:val="both"/>
        <w:rPr>
          <w:rFonts w:cs="Times New Roman"/>
          <w:lang w:val="en-US"/>
        </w:rPr>
      </w:pPr>
      <w:r>
        <w:rPr>
          <w:rFonts w:cs="Times New Roman"/>
          <w:lang w:val="en-US"/>
        </w:rPr>
        <w:t>The ITC binding isotherm for both interactions was sigmoidal meaning there is less evidence for cooperative binding or an extensive precipitation phenomena. Both BSA and HSA have pI of 4.67-5.3 meaning that at pH 4, both proteins have a slightly partial to neutral charge. Gel filtration studies have shown that incrementally lowering the pH below the pI increases precipitation.</w:t>
      </w:r>
      <w:hyperlink w:anchor="_ENREF_270" w:tooltip="Okubo, 1976 #618" w:history="1">
        <w:r w:rsidR="00512D09">
          <w:rPr>
            <w:rFonts w:cs="Times New Roman"/>
            <w:lang w:val="en-US"/>
          </w:rPr>
          <w:fldChar w:fldCharType="begin"/>
        </w:r>
        <w:r w:rsidR="00512D09">
          <w:rPr>
            <w:rFonts w:cs="Times New Roman"/>
            <w:lang w:val="en-US"/>
          </w:rPr>
          <w:instrText xml:space="preserve"> ADDIN EN.CITE &lt;EndNote&gt;&lt;Cite&gt;&lt;Author&gt;Okubo&lt;/Author&gt;&lt;Year&gt;1976&lt;/Year&gt;&lt;RecNum&gt;618&lt;/RecNum&gt;&lt;DisplayText&gt;&lt;style face="superscript"&gt;270&lt;/style&gt;&lt;/DisplayText&gt;&lt;record&gt;&lt;rec-number&gt;618&lt;/rec-number&gt;&lt;foreign-keys&gt;&lt;key app="EN" db-id="5trrespwzsdr07efd5tx2w96x22re9s0fsdt"&gt;618&lt;/key&gt;&lt;/foreign-keys&gt;&lt;ref-type name="Journal Article"&gt;17&lt;/ref-type&gt;&lt;contributors&gt;&lt;authors&gt;&lt;author&gt;Okubo, K&lt;/author&gt;&lt;author&gt;Myers, DV&lt;/author&gt;&lt;author&gt;Iacobucci, GA&lt;/author&gt;&lt;/authors&gt;&lt;/contributors&gt;&lt;titles&gt;&lt;title&gt;Binding of phytic acid to glycinin [Soybeans]&lt;/title&gt;&lt;secondary-title&gt;Cereal Chemistry&lt;/secondary-title&gt;&lt;/titles&gt;&lt;periodical&gt;&lt;full-title&gt;Cereal Chemistry&lt;/full-title&gt;&lt;/periodical&gt;&lt;dates&gt;&lt;year&gt;1976&lt;/year&gt;&lt;/dates&gt;&lt;isbn&gt;0009-0352&lt;/isbn&gt;&lt;urls&gt;&lt;/urls&gt;&lt;/record&gt;&lt;/Cite&gt;&lt;/EndNote&gt;</w:instrText>
        </w:r>
        <w:r w:rsidR="00512D09">
          <w:rPr>
            <w:rFonts w:cs="Times New Roman"/>
            <w:lang w:val="en-US"/>
          </w:rPr>
          <w:fldChar w:fldCharType="separate"/>
        </w:r>
        <w:r w:rsidR="00512D09" w:rsidRPr="006421D1">
          <w:rPr>
            <w:rFonts w:cs="Times New Roman"/>
            <w:noProof/>
            <w:vertAlign w:val="superscript"/>
            <w:lang w:val="en-US"/>
          </w:rPr>
          <w:t>270</w:t>
        </w:r>
        <w:r w:rsidR="00512D09">
          <w:rPr>
            <w:rFonts w:cs="Times New Roman"/>
            <w:lang w:val="en-US"/>
          </w:rPr>
          <w:fldChar w:fldCharType="end"/>
        </w:r>
      </w:hyperlink>
      <w:r>
        <w:rPr>
          <w:rFonts w:cs="Times New Roman"/>
          <w:lang w:val="en-US"/>
        </w:rPr>
        <w:t xml:space="preserve"> Performing these experiments at pH 4 means there is </w:t>
      </w:r>
      <w:r>
        <w:rPr>
          <w:rFonts w:cs="Times New Roman"/>
          <w:lang w:val="en-US"/>
        </w:rPr>
        <w:lastRenderedPageBreak/>
        <w:t xml:space="preserve">minimal levels of precipitation as the negative charges on the proteins repel each other keeping a level of solubility. The stoichiometry of binding suggests that one phytate binds to one molecule of either BSA or HSA. </w:t>
      </w:r>
    </w:p>
    <w:p w:rsidR="003703F0" w:rsidRDefault="003703F0" w:rsidP="003703F0">
      <w:pPr>
        <w:spacing w:line="480" w:lineRule="auto"/>
        <w:jc w:val="both"/>
        <w:rPr>
          <w:rFonts w:cs="Times New Roman"/>
          <w:lang w:val="en-US"/>
        </w:rPr>
      </w:pPr>
      <w:r>
        <w:rPr>
          <w:rFonts w:cs="Times New Roman"/>
          <w:lang w:val="en-US"/>
        </w:rPr>
        <w:t>Entropy is often interpreted as a level of disorder in the system. This has been suggested to be an incorrect description due to</w:t>
      </w:r>
      <w:r w:rsidR="004906D2">
        <w:rPr>
          <w:rFonts w:cs="Times New Roman"/>
          <w:lang w:val="en-US"/>
        </w:rPr>
        <w:t xml:space="preserve"> Equation 6.</w:t>
      </w:r>
      <w:r w:rsidR="00382CE1">
        <w:rPr>
          <w:rFonts w:cs="Times New Roman"/>
          <w:lang w:val="en-US"/>
        </w:rPr>
        <w:t>1.</w:t>
      </w:r>
      <w:r>
        <w:rPr>
          <w:rFonts w:cs="Times New Roman"/>
          <w:lang w:val="en-US"/>
        </w:rPr>
        <w:t xml:space="preserve"> </w:t>
      </w:r>
      <w:r w:rsidR="0075172E">
        <w:rPr>
          <w:rFonts w:cs="Times New Roman"/>
          <w:lang w:val="en-US"/>
        </w:rPr>
        <w:fldChar w:fldCharType="begin"/>
      </w:r>
      <w:r w:rsidR="0057696F">
        <w:rPr>
          <w:rFonts w:cs="Times New Roman"/>
          <w:lang w:val="en-US"/>
        </w:rPr>
        <w:instrText xml:space="preserve"> ADDIN EN.CITE &lt;EndNote&gt;&lt;Cite&gt;&lt;Author&gt;Kozliak&lt;/Author&gt;&lt;Year&gt;2005&lt;/Year&gt;&lt;RecNum&gt;532&lt;/RecNum&gt;&lt;DisplayText&gt;&lt;style face="superscript"&gt;3,323&lt;/style&gt;&lt;/DisplayText&gt;&lt;record&gt;&lt;rec-number&gt;532&lt;/rec-number&gt;&lt;foreign-keys&gt;&lt;key app="EN" db-id="5trrespwzsdr07efd5tx2w96x22re9s0fsdt"&gt;532&lt;/key&gt;&lt;/foreign-keys&gt;&lt;ref-type name="Journal Article"&gt;17&lt;/ref-type&gt;&lt;contributors&gt;&lt;authors&gt;&lt;author&gt;Kozliak, Evguenii I&lt;/author&gt;&lt;author&gt;Lambert, Frank L&lt;/author&gt;&lt;/authors&gt;&lt;/contributors&gt;&lt;titles&gt;&lt;title&gt;&amp;quot;Order-to-disorder” for entropy change? Consider the numbers&lt;/title&gt;&lt;secondary-title&gt;The Chemical Educator&lt;/secondary-title&gt;&lt;/titles&gt;&lt;periodical&gt;&lt;full-title&gt;The Chemical Educator&lt;/full-title&gt;&lt;/periodical&gt;&lt;pages&gt;24-25&lt;/pages&gt;&lt;volume&gt;10&lt;/volume&gt;&lt;number&gt;1&lt;/number&gt;&lt;dates&gt;&lt;year&gt;2005&lt;/year&gt;&lt;/dates&gt;&lt;urls&gt;&lt;/urls&gt;&lt;/record&gt;&lt;/Cite&gt;&lt;Cite&gt;&lt;Author&gt;Lambert&lt;/Author&gt;&lt;Year&gt;2002&lt;/Year&gt;&lt;RecNum&gt;584&lt;/RecNum&gt;&lt;record&gt;&lt;rec-number&gt;584&lt;/rec-number&gt;&lt;foreign-keys&gt;&lt;key app="EN" db-id="5trrespwzsdr07efd5tx2w96x22re9s0fsdt"&gt;584&lt;/key&gt;&lt;/foreign-keys&gt;&lt;ref-type name="Journal Article"&gt;17&lt;/ref-type&gt;&lt;contributors&gt;&lt;authors&gt;&lt;author&gt;Lambert, Frank L.&lt;/author&gt;&lt;/authors&gt;&lt;/contributors&gt;&lt;titles&gt;&lt;title&gt;Disorder - A Cracked Crutch for Supporting Entropy Discussions&lt;/title&gt;&lt;secondary-title&gt;Journal of Chemical Education&lt;/secondary-title&gt;&lt;/titles&gt;&lt;periodical&gt;&lt;full-title&gt;Journal of Chemical Education&lt;/full-title&gt;&lt;/periodical&gt;&lt;pages&gt;187&lt;/pages&gt;&lt;volume&gt;79&lt;/volume&gt;&lt;number&gt;2&lt;/number&gt;&lt;dates&gt;&lt;year&gt;2002&lt;/year&gt;&lt;pub-dates&gt;&lt;date&gt;2002/02/01&lt;/date&gt;&lt;/pub-dates&gt;&lt;/dates&gt;&lt;publisher&gt;American Chemical Society&lt;/publisher&gt;&lt;isbn&gt;0021-9584&lt;/isbn&gt;&lt;urls&gt;&lt;related-urls&gt;&lt;url&gt;http://dx.doi.org/10.1021/ed079p187&lt;/url&gt;&lt;/related-urls&gt;&lt;/urls&gt;&lt;electronic-resource-num&gt;10.1021/ed079p187&lt;/electronic-resource-num&gt;&lt;/record&gt;&lt;/Cite&gt;&lt;/EndNote&gt;</w:instrText>
      </w:r>
      <w:r w:rsidR="0075172E">
        <w:rPr>
          <w:rFonts w:cs="Times New Roman"/>
          <w:lang w:val="en-US"/>
        </w:rPr>
        <w:fldChar w:fldCharType="separate"/>
      </w:r>
      <w:hyperlink w:anchor="_ENREF_3" w:tooltip="Lambert, 2002 #584" w:history="1">
        <w:r w:rsidR="00512D09" w:rsidRPr="0057696F">
          <w:rPr>
            <w:rFonts w:cs="Times New Roman"/>
            <w:noProof/>
            <w:vertAlign w:val="superscript"/>
            <w:lang w:val="en-US"/>
          </w:rPr>
          <w:t>3</w:t>
        </w:r>
      </w:hyperlink>
      <w:r w:rsidR="0057696F" w:rsidRPr="0057696F">
        <w:rPr>
          <w:rFonts w:cs="Times New Roman"/>
          <w:noProof/>
          <w:vertAlign w:val="superscript"/>
          <w:lang w:val="en-US"/>
        </w:rPr>
        <w:t>,</w:t>
      </w:r>
      <w:hyperlink w:anchor="_ENREF_323" w:tooltip="Kozliak, 2005 #532" w:history="1">
        <w:r w:rsidR="00512D09" w:rsidRPr="0057696F">
          <w:rPr>
            <w:rFonts w:cs="Times New Roman"/>
            <w:noProof/>
            <w:vertAlign w:val="superscript"/>
            <w:lang w:val="en-US"/>
          </w:rPr>
          <w:t>323</w:t>
        </w:r>
      </w:hyperlink>
      <w:r w:rsidR="0075172E">
        <w:rPr>
          <w:rFonts w:cs="Times New Roman"/>
          <w:lang w:val="en-US"/>
        </w:rPr>
        <w:fldChar w:fldCharType="end"/>
      </w:r>
    </w:p>
    <w:tbl>
      <w:tblPr>
        <w:tblStyle w:val="TableGrid"/>
        <w:tblW w:w="8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091"/>
      </w:tblGrid>
      <w:tr w:rsidR="004906D2" w:rsidRPr="003E1068" w:rsidTr="00CE5A0A">
        <w:trPr>
          <w:trHeight w:val="582"/>
        </w:trPr>
        <w:tc>
          <w:tcPr>
            <w:tcW w:w="5353" w:type="dxa"/>
          </w:tcPr>
          <w:p w:rsidR="004906D2" w:rsidRDefault="004906D2" w:rsidP="004906D2">
            <w:pPr>
              <w:spacing w:line="480" w:lineRule="auto"/>
              <w:jc w:val="center"/>
              <w:rPr>
                <w:rFonts w:eastAsiaTheme="minorEastAsia"/>
                <w:i/>
              </w:rPr>
            </w:pPr>
            <m:oMathPara>
              <m:oMathParaPr>
                <m:jc m:val="right"/>
              </m:oMathParaPr>
              <m:oMath>
                <m:r>
                  <w:rPr>
                    <w:rFonts w:ascii="Cambria Math" w:eastAsiaTheme="minorEastAsia" w:hAnsi="Cambria Math"/>
                  </w:rPr>
                  <m:t xml:space="preserve">S=  </m:t>
                </m:r>
                <m:sSub>
                  <m:sSubPr>
                    <m:ctrlPr>
                      <w:rPr>
                        <w:rFonts w:ascii="Cambria Math" w:eastAsiaTheme="minorEastAsia" w:hAnsi="Cambria Math"/>
                        <w:b/>
                        <w:i/>
                      </w:rPr>
                    </m:ctrlPr>
                  </m:sSubPr>
                  <m:e>
                    <m:r>
                      <m:rPr>
                        <m:sty m:val="bi"/>
                      </m:rPr>
                      <w:rPr>
                        <w:rFonts w:ascii="Cambria Math" w:eastAsiaTheme="minorEastAsia" w:hAnsi="Cambria Math"/>
                      </w:rPr>
                      <m:t>k</m:t>
                    </m:r>
                  </m:e>
                  <m:sub>
                    <m:r>
                      <m:rPr>
                        <m:sty m:val="bi"/>
                      </m:rPr>
                      <w:rPr>
                        <w:rFonts w:ascii="Cambria Math" w:eastAsiaTheme="minorEastAsia" w:hAnsi="Cambria Math"/>
                      </w:rPr>
                      <m:t>B</m:t>
                    </m:r>
                  </m:sub>
                </m:sSub>
                <m:r>
                  <m:rPr>
                    <m:sty m:val="p"/>
                  </m:rPr>
                  <w:rPr>
                    <w:rFonts w:ascii="Cambria Math" w:eastAsiaTheme="minorEastAsia" w:hAnsi="Cambria Math"/>
                  </w:rPr>
                  <m:t>In</m:t>
                </m:r>
                <m:r>
                  <w:rPr>
                    <w:rFonts w:ascii="Cambria Math" w:eastAsiaTheme="minorEastAsia" w:hAnsi="Cambria Math"/>
                  </w:rPr>
                  <m:t>W</m:t>
                </m:r>
              </m:oMath>
            </m:oMathPara>
          </w:p>
          <w:p w:rsidR="004906D2" w:rsidRPr="00BF3CC6" w:rsidRDefault="004906D2" w:rsidP="00CE5A0A">
            <w:pPr>
              <w:spacing w:line="480" w:lineRule="auto"/>
              <w:jc w:val="right"/>
              <w:rPr>
                <w:bCs/>
                <w:vertAlign w:val="superscript"/>
              </w:rPr>
            </w:pPr>
          </w:p>
        </w:tc>
        <w:tc>
          <w:tcPr>
            <w:tcW w:w="3091" w:type="dxa"/>
          </w:tcPr>
          <w:p w:rsidR="004906D2" w:rsidRPr="003E1068" w:rsidRDefault="004906D2" w:rsidP="00382CE1">
            <w:pPr>
              <w:keepNext/>
              <w:spacing w:line="480" w:lineRule="auto"/>
              <w:jc w:val="right"/>
              <w:rPr>
                <w:rFonts w:eastAsiaTheme="minorEastAsia"/>
              </w:rPr>
            </w:pPr>
            <w:r>
              <w:rPr>
                <w:rFonts w:eastAsiaTheme="minorEastAsia"/>
              </w:rPr>
              <w:t>(</w:t>
            </w:r>
            <w:r>
              <w:rPr>
                <w:rFonts w:eastAsiaTheme="minorEastAsia"/>
                <w:i/>
              </w:rPr>
              <w:t>6.</w:t>
            </w:r>
            <w:r w:rsidR="00382CE1">
              <w:rPr>
                <w:rFonts w:eastAsiaTheme="minorEastAsia"/>
                <w:i/>
              </w:rPr>
              <w:t>1</w:t>
            </w:r>
            <w:r>
              <w:rPr>
                <w:rFonts w:eastAsiaTheme="minorEastAsia"/>
              </w:rPr>
              <w:t>)</w:t>
            </w:r>
          </w:p>
        </w:tc>
      </w:tr>
    </w:tbl>
    <w:p w:rsidR="003703F0" w:rsidRPr="007107A2" w:rsidRDefault="004906D2" w:rsidP="003703F0">
      <w:pPr>
        <w:spacing w:line="480" w:lineRule="auto"/>
        <w:jc w:val="both"/>
        <w:rPr>
          <w:color w:val="000000"/>
        </w:rPr>
      </w:pPr>
      <w:r>
        <w:t>The</w:t>
      </w:r>
      <w:r w:rsidR="003703F0" w:rsidRPr="004A723D">
        <w:t> entropy (</w:t>
      </w:r>
      <w:r w:rsidR="003703F0" w:rsidRPr="004A723D">
        <w:rPr>
          <w:i/>
          <w:iCs/>
        </w:rPr>
        <w:t>S</w:t>
      </w:r>
      <w:r w:rsidR="003703F0" w:rsidRPr="004A723D">
        <w:rPr>
          <w:iCs/>
        </w:rPr>
        <w:t>)</w:t>
      </w:r>
      <w:r w:rsidR="003703F0" w:rsidRPr="004A723D">
        <w:rPr>
          <w:i/>
        </w:rPr>
        <w:t> </w:t>
      </w:r>
      <w:r w:rsidR="003703F0">
        <w:t>of an ideal gas is equal to</w:t>
      </w:r>
      <w:r w:rsidR="003703F0" w:rsidRPr="004A723D">
        <w:t> </w:t>
      </w:r>
      <w:r w:rsidR="003703F0" w:rsidRPr="004A723D">
        <w:rPr>
          <w:i/>
          <w:iCs/>
        </w:rPr>
        <w:t>W</w:t>
      </w:r>
      <w:r w:rsidR="003703F0" w:rsidRPr="004A723D">
        <w:t>, which is the number of microstates corr</w:t>
      </w:r>
      <w:r w:rsidR="00BD4E00">
        <w:t>esponding to a given macrostate and</w:t>
      </w:r>
      <w:r w:rsidR="003703F0" w:rsidRPr="0036009C">
        <w:rPr>
          <w:b/>
        </w:rPr>
        <w:t xml:space="preserve"> </w:t>
      </w:r>
      <w:r w:rsidR="003703F0">
        <w:rPr>
          <w:b/>
          <w:i/>
        </w:rPr>
        <w:t>k</w:t>
      </w:r>
      <w:r w:rsidR="003703F0" w:rsidRPr="0036009C">
        <w:rPr>
          <w:b/>
          <w:vertAlign w:val="subscript"/>
        </w:rPr>
        <w:t xml:space="preserve">B </w:t>
      </w:r>
      <w:r w:rsidR="003703F0" w:rsidRPr="004A723D">
        <w:t>is the Boltzmann constant.</w:t>
      </w:r>
      <w:r w:rsidR="003703F0">
        <w:t xml:space="preserve"> </w:t>
      </w:r>
      <w:r w:rsidR="00DD54DD">
        <w:t xml:space="preserve">Pitzer, quoted by Kozliak and Lambert </w:t>
      </w:r>
      <w:r w:rsidR="003703F0" w:rsidRPr="007107A2">
        <w:t>indicated that for one mole of a substance at 0 K</w:t>
      </w:r>
      <w:r w:rsidR="003703F0">
        <w:t xml:space="preserve"> </w:t>
      </w:r>
      <w:r w:rsidR="003703F0" w:rsidRPr="007107A2">
        <w:t xml:space="preserve">cannot be described as ordered having </w:t>
      </w:r>
      <w:r w:rsidR="003703F0" w:rsidRPr="007107A2">
        <w:rPr>
          <w:color w:val="000000"/>
        </w:rPr>
        <w:t>10</w:t>
      </w:r>
      <w:r w:rsidR="003703F0" w:rsidRPr="007107A2">
        <w:rPr>
          <w:color w:val="000000"/>
          <w:vertAlign w:val="superscript"/>
        </w:rPr>
        <w:t>26,000,000,000,000,000,000</w:t>
      </w:r>
      <w:r w:rsidR="003703F0" w:rsidRPr="007107A2">
        <w:rPr>
          <w:color w:val="000000"/>
        </w:rPr>
        <w:t xml:space="preserve"> possible microstates</w:t>
      </w:r>
      <w:r w:rsidR="003703F0">
        <w:rPr>
          <w:color w:val="000000"/>
        </w:rPr>
        <w:t>, a microstate being the arrangement of energy of each molecule at a specific time.  Kozliak and Lambert suggest that the only correct description of entropy change involves the change in the dispersion of energy as a function of temperature across a number of accessible microstates.</w:t>
      </w:r>
      <w:hyperlink w:anchor="_ENREF_323" w:tooltip="Kozliak, 2005 #532" w:history="1">
        <w:r w:rsidR="00512D09">
          <w:rPr>
            <w:color w:val="000000"/>
          </w:rPr>
          <w:fldChar w:fldCharType="begin"/>
        </w:r>
        <w:r w:rsidR="00512D09">
          <w:rPr>
            <w:color w:val="000000"/>
          </w:rPr>
          <w:instrText xml:space="preserve"> ADDIN EN.CITE &lt;EndNote&gt;&lt;Cite&gt;&lt;Author&gt;Kozliak&lt;/Author&gt;&lt;Year&gt;2005&lt;/Year&gt;&lt;RecNum&gt;532&lt;/RecNum&gt;&lt;DisplayText&gt;&lt;style face="superscript"&gt;323&lt;/style&gt;&lt;/DisplayText&gt;&lt;record&gt;&lt;rec-number&gt;532&lt;/rec-number&gt;&lt;foreign-keys&gt;&lt;key app="EN" db-id="5trrespwzsdr07efd5tx2w96x22re9s0fsdt"&gt;532&lt;/key&gt;&lt;/foreign-keys&gt;&lt;ref-type name="Journal Article"&gt;17&lt;/ref-type&gt;&lt;contributors&gt;&lt;authors&gt;&lt;author&gt;Kozliak, Evguenii I&lt;/author&gt;&lt;author&gt;Lambert, Frank L&lt;/author&gt;&lt;/authors&gt;&lt;/contributors&gt;&lt;titles&gt;&lt;title&gt;&amp;quot;Order-to-disorder” for entropy change? Consider the numbers&lt;/title&gt;&lt;secondary-title&gt;The Chemical Educator&lt;/secondary-title&gt;&lt;/titles&gt;&lt;periodical&gt;&lt;full-title&gt;The Chemical Educator&lt;/full-title&gt;&lt;/periodical&gt;&lt;pages&gt;24-25&lt;/pages&gt;&lt;volume&gt;10&lt;/volume&gt;&lt;number&gt;1&lt;/number&gt;&lt;dates&gt;&lt;year&gt;2005&lt;/year&gt;&lt;/dates&gt;&lt;urls&gt;&lt;/urls&gt;&lt;/record&gt;&lt;/Cite&gt;&lt;/EndNote&gt;</w:instrText>
        </w:r>
        <w:r w:rsidR="00512D09">
          <w:rPr>
            <w:color w:val="000000"/>
          </w:rPr>
          <w:fldChar w:fldCharType="separate"/>
        </w:r>
        <w:r w:rsidR="00512D09" w:rsidRPr="0057696F">
          <w:rPr>
            <w:noProof/>
            <w:color w:val="000000"/>
            <w:vertAlign w:val="superscript"/>
          </w:rPr>
          <w:t>323</w:t>
        </w:r>
        <w:r w:rsidR="00512D09">
          <w:rPr>
            <w:color w:val="000000"/>
          </w:rPr>
          <w:fldChar w:fldCharType="end"/>
        </w:r>
      </w:hyperlink>
      <w:r w:rsidR="003703F0">
        <w:rPr>
          <w:color w:val="000000"/>
        </w:rPr>
        <w:t xml:space="preserve"> Interpreting the entropy change in this way means the number of accessible microstates has </w:t>
      </w:r>
      <w:r w:rsidR="00BD4E00">
        <w:rPr>
          <w:color w:val="000000"/>
        </w:rPr>
        <w:t>increased</w:t>
      </w:r>
      <w:r w:rsidR="003703F0">
        <w:rPr>
          <w:color w:val="000000"/>
        </w:rPr>
        <w:t xml:space="preserve"> upon binding.</w:t>
      </w:r>
    </w:p>
    <w:p w:rsidR="00C80B44" w:rsidRPr="00C80B44" w:rsidRDefault="003703F0" w:rsidP="003703F0">
      <w:pPr>
        <w:spacing w:line="480" w:lineRule="auto"/>
        <w:jc w:val="both"/>
        <w:rPr>
          <w:rFonts w:cs="Times New Roman"/>
          <w:lang w:val="en-US"/>
        </w:rPr>
      </w:pPr>
      <w:r>
        <w:rPr>
          <w:rFonts w:cs="Times New Roman"/>
          <w:lang w:val="en-US"/>
        </w:rPr>
        <w:t>The serum albumins are known to carry both exogenous and endogenous ligands around the body. This has been exploited by medicinal chemists to as it can change the half-life of a drug and distribution.</w:t>
      </w:r>
      <w:hyperlink w:anchor="_ENREF_324" w:tooltip="Banker, 2008 #660" w:history="1">
        <w:r w:rsidR="00512D09">
          <w:rPr>
            <w:rFonts w:cs="Times New Roman"/>
            <w:lang w:val="en-US"/>
          </w:rPr>
          <w:fldChar w:fldCharType="begin"/>
        </w:r>
        <w:r w:rsidR="00512D09">
          <w:rPr>
            <w:rFonts w:cs="Times New Roman"/>
            <w:lang w:val="en-US"/>
          </w:rPr>
          <w:instrText xml:space="preserve"> ADDIN EN.CITE &lt;EndNote&gt;&lt;Cite&gt;&lt;Author&gt;Banker&lt;/Author&gt;&lt;Year&gt;2008&lt;/Year&gt;&lt;RecNum&gt;660&lt;/RecNum&gt;&lt;DisplayText&gt;&lt;style face="superscript"&gt;324&lt;/style&gt;&lt;/DisplayText&gt;&lt;record&gt;&lt;rec-number&gt;660&lt;/rec-number&gt;&lt;foreign-keys&gt;&lt;key app="EN" db-id="5trrespwzsdr07efd5tx2w96x22re9s0fsdt"&gt;660&lt;/key&gt;&lt;/foreign-keys&gt;&lt;ref-type name="Journal Article"&gt;17&lt;/ref-type&gt;&lt;contributors&gt;&lt;authors&gt;&lt;author&gt;Banker, Michael J&lt;/author&gt;&lt;author&gt;Clark, Tracey H&lt;/author&gt;&lt;/authors&gt;&lt;/contributors&gt;&lt;titles&gt;&lt;title&gt;Plasma/serum protein binding determinations&lt;/title&gt;&lt;secondary-title&gt;Current drug metabolism&lt;/secondary-title&gt;&lt;/titles&gt;&lt;periodical&gt;&lt;full-title&gt;Current drug metabolism&lt;/full-title&gt;&lt;/periodical&gt;&lt;pages&gt;854-859&lt;/pages&gt;&lt;volume&gt;9&lt;/volume&gt;&lt;number&gt;9&lt;/number&gt;&lt;dates&gt;&lt;year&gt;2008&lt;/year&gt;&lt;/dates&gt;&lt;isbn&gt;1389-2002&lt;/isbn&gt;&lt;urls&gt;&lt;/urls&gt;&lt;/record&gt;&lt;/Cite&gt;&lt;/EndNote&gt;</w:instrText>
        </w:r>
        <w:r w:rsidR="00512D09">
          <w:rPr>
            <w:rFonts w:cs="Times New Roman"/>
            <w:lang w:val="en-US"/>
          </w:rPr>
          <w:fldChar w:fldCharType="separate"/>
        </w:r>
        <w:r w:rsidR="00512D09" w:rsidRPr="0057696F">
          <w:rPr>
            <w:rFonts w:cs="Times New Roman"/>
            <w:noProof/>
            <w:vertAlign w:val="superscript"/>
            <w:lang w:val="en-US"/>
          </w:rPr>
          <w:t>324</w:t>
        </w:r>
        <w:r w:rsidR="00512D09">
          <w:rPr>
            <w:rFonts w:cs="Times New Roman"/>
            <w:lang w:val="en-US"/>
          </w:rPr>
          <w:fldChar w:fldCharType="end"/>
        </w:r>
      </w:hyperlink>
      <w:r>
        <w:rPr>
          <w:rFonts w:cs="Times New Roman"/>
          <w:lang w:val="en-US"/>
        </w:rPr>
        <w:t xml:space="preserve"> For the titrations carried out in PBS buffer, pH 7.4 at 37</w:t>
      </w:r>
      <w:r w:rsidR="006F2757">
        <w:rPr>
          <w:rFonts w:cs="Times New Roman"/>
          <w:lang w:val="en-US"/>
        </w:rPr>
        <w:t xml:space="preserve"> </w:t>
      </w:r>
      <w:r>
        <w:rPr>
          <w:rFonts w:cs="Times New Roman"/>
          <w:lang w:val="en-US"/>
        </w:rPr>
        <w:t>°C, no binding isotherm for the interaction between BSA and phytate was observed (</w:t>
      </w:r>
      <w:r w:rsidR="0075172E">
        <w:rPr>
          <w:rFonts w:cs="Times New Roman"/>
          <w:lang w:val="en-US"/>
        </w:rPr>
        <w:fldChar w:fldCharType="begin"/>
      </w:r>
      <w:r w:rsidR="00570A3D">
        <w:rPr>
          <w:rFonts w:cs="Times New Roman"/>
          <w:lang w:val="en-US"/>
        </w:rPr>
        <w:instrText xml:space="preserve"> REF _Ref442886111 \h </w:instrText>
      </w:r>
      <w:r w:rsidR="0075172E">
        <w:rPr>
          <w:rFonts w:cs="Times New Roman"/>
          <w:lang w:val="en-US"/>
        </w:rPr>
      </w:r>
      <w:r w:rsidR="0075172E">
        <w:rPr>
          <w:rFonts w:cs="Times New Roman"/>
          <w:lang w:val="en-US"/>
        </w:rPr>
        <w:fldChar w:fldCharType="separate"/>
      </w:r>
      <w:r w:rsidR="00CB4EDC">
        <w:t xml:space="preserve">Figure </w:t>
      </w:r>
      <w:r w:rsidR="00CB4EDC">
        <w:rPr>
          <w:noProof/>
        </w:rPr>
        <w:t>6</w:t>
      </w:r>
      <w:r w:rsidR="00CB4EDC">
        <w:t>.</w:t>
      </w:r>
      <w:r w:rsidR="00CB4EDC">
        <w:rPr>
          <w:noProof/>
        </w:rPr>
        <w:t>7</w:t>
      </w:r>
      <w:r w:rsidR="0075172E">
        <w:rPr>
          <w:rFonts w:cs="Times New Roman"/>
          <w:lang w:val="en-US"/>
        </w:rPr>
        <w:fldChar w:fldCharType="end"/>
      </w:r>
      <w:r>
        <w:rPr>
          <w:rFonts w:cs="Times New Roman"/>
          <w:lang w:val="en-US"/>
        </w:rPr>
        <w:t xml:space="preserve">). This means that BSA binding to phytate present in extracellular fluids is unlikely. Blood is composed proteins, dissolved gasses and mineral ions such as potassium, magnesium, calcium and sodium.  It is possible that phytate is not protein bound in the blood but is bound by cations, since in the blood albumins are typically the carriers of negatively charged ligands. It is also means that the albumins do not prevent phosphatase action on </w:t>
      </w:r>
      <w:r>
        <w:rPr>
          <w:rFonts w:cs="Times New Roman"/>
          <w:lang w:val="en-US"/>
        </w:rPr>
        <w:lastRenderedPageBreak/>
        <w:t xml:space="preserve">phytate. If they did, it may provide some reason as to why there are large discrepancies between studies on how much phytate exists in the extracellular space as albumin binding to phytate would affect clearance from the blood. </w:t>
      </w:r>
    </w:p>
    <w:p w:rsidR="003703F0" w:rsidRDefault="00040F10" w:rsidP="005E01D5">
      <w:pPr>
        <w:keepNext/>
        <w:spacing w:line="480" w:lineRule="auto"/>
        <w:jc w:val="center"/>
      </w:pPr>
      <w:r>
        <w:rPr>
          <w:noProof/>
          <w:lang w:eastAsia="en-GB"/>
        </w:rPr>
        <w:pict>
          <v:shape id="_x0000_s1158" type="#_x0000_t202" style="position:absolute;left:0;text-align:left;margin-left:-1.25pt;margin-top:11.6pt;width:26.15pt;height:231.45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" strokecolor="white [3212]">
            <v:textbox style="layout-flow:vertical;mso-layout-flow-alt:bottom-to-top">
              <w:txbxContent>
                <w:p w:rsidR="003A5686" w:rsidRPr="00311B45" w:rsidRDefault="003A5686" w:rsidP="00BF55B9">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Normalised Fit (kJ/mol)          </w:t>
                  </w:r>
                  <w:r w:rsidRPr="00311B45">
                    <w:rPr>
                      <w:rFonts w:ascii="Arial" w:hAnsi="Arial" w:cs="Arial"/>
                      <w:b/>
                      <w:color w:val="262626" w:themeColor="text1" w:themeTint="D9"/>
                      <w:sz w:val="18"/>
                      <w:szCs w:val="18"/>
                    </w:rPr>
                    <w:t>Raw Heat Rate (µJ/s)</w:t>
                  </w:r>
                </w:p>
              </w:txbxContent>
            </v:textbox>
          </v:shape>
        </w:pict>
      </w:r>
      <w:r>
        <w:rPr>
          <w:rFonts w:cs="Times New Roman"/>
          <w:noProof/>
          <w:lang w:eastAsia="en-GB"/>
        </w:rPr>
        <w:pict>
          <v:shape id="_x0000_s1147" type="#_x0000_t202" style="position:absolute;left:0;text-align:left;margin-left:183.6pt;margin-top:-6pt;width:87.05pt;height:17.6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7">
              <w:txbxContent>
                <w:p w:rsidR="003A5686" w:rsidRPr="00B141B9" w:rsidRDefault="003A5686" w:rsidP="00BF55B9">
                  <w:pPr>
                    <w:jc w:val="center"/>
                    <w:rPr>
                      <w:rFonts w:ascii="Arial" w:hAnsi="Arial" w:cs="Arial"/>
                      <w:b/>
                      <w:color w:val="262626" w:themeColor="text1" w:themeTint="D9"/>
                      <w:sz w:val="18"/>
                      <w:szCs w:val="18"/>
                    </w:rPr>
                  </w:pPr>
                  <w:r>
                    <w:rPr>
                      <w:rFonts w:ascii="Arial" w:hAnsi="Arial" w:cs="Arial"/>
                      <w:b/>
                      <w:color w:val="262626" w:themeColor="text1" w:themeTint="D9"/>
                      <w:sz w:val="18"/>
                      <w:szCs w:val="18"/>
                    </w:rPr>
                    <w:t>Time (s)</w:t>
                  </w:r>
                </w:p>
              </w:txbxContent>
            </v:textbox>
          </v:shape>
        </w:pict>
      </w:r>
      <w:r>
        <w:rPr>
          <w:noProof/>
          <w:lang w:eastAsia="en-GB"/>
        </w:rPr>
        <w:pict>
          <v:shape id="_x0000_s1146" type="#_x0000_t202" style="position:absolute;left:0;text-align:left;margin-left:190.85pt;margin-top:255.2pt;width:87.05pt;height:17.6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" strokecolor="white [3212]">
            <v:textbox style="mso-next-textbox:#_x0000_s1146">
              <w:txbxContent>
                <w:p w:rsidR="003A5686" w:rsidRPr="00B141B9" w:rsidRDefault="003A5686" w:rsidP="00D25795">
                  <w:pPr>
                    <w:jc w:val="center"/>
                    <w:rPr>
                      <w:rFonts w:ascii="Arial" w:hAnsi="Arial" w:cs="Arial"/>
                      <w:b/>
                      <w:color w:val="262626" w:themeColor="text1" w:themeTint="D9"/>
                      <w:sz w:val="18"/>
                      <w:szCs w:val="18"/>
                    </w:rPr>
                  </w:pPr>
                  <w:r w:rsidRPr="00B141B9">
                    <w:rPr>
                      <w:rFonts w:ascii="Arial" w:hAnsi="Arial" w:cs="Arial"/>
                      <w:b/>
                      <w:color w:val="262626" w:themeColor="text1" w:themeTint="D9"/>
                      <w:sz w:val="18"/>
                      <w:szCs w:val="18"/>
                    </w:rPr>
                    <w:t>Mole Ratio</w:t>
                  </w:r>
                </w:p>
              </w:txbxContent>
            </v:textbox>
          </v:shape>
        </w:pict>
      </w:r>
      <w:r w:rsidR="00C6447D">
        <w:rPr>
          <w:noProof/>
          <w:lang w:eastAsia="en-GB"/>
        </w:rPr>
        <w:drawing>
          <wp:inline distT="0" distB="0" distL="0" distR="0" wp14:anchorId="0EB01499" wp14:editId="1412F8F4">
            <wp:extent cx="5205730" cy="3399660"/>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2" cstate="print"/>
                    <a:srcRect/>
                    <a:stretch>
                      <a:fillRect/>
                    </a:stretch>
                  </pic:blipFill>
                  <pic:spPr bwMode="auto">
                    <a:xfrm>
                      <a:off x="0" y="0"/>
                      <a:ext cx="5205730" cy="3399660"/>
                    </a:xfrm>
                    <a:prstGeom prst="rect">
                      <a:avLst/>
                    </a:prstGeom>
                    <a:noFill/>
                    <a:ln w="9525">
                      <a:noFill/>
                      <a:miter lim="800000"/>
                      <a:headEnd/>
                      <a:tailEnd/>
                    </a:ln>
                  </pic:spPr>
                </pic:pic>
              </a:graphicData>
            </a:graphic>
          </wp:inline>
        </w:drawing>
      </w:r>
    </w:p>
    <w:p w:rsidR="003703F0" w:rsidRDefault="003703F0" w:rsidP="00EF53A8">
      <w:pPr>
        <w:pStyle w:val="Caption"/>
        <w:spacing w:line="480" w:lineRule="auto"/>
        <w:jc w:val="center"/>
        <w:rPr>
          <w:rFonts w:cs="Times New Roman"/>
          <w:lang w:val="en-US"/>
        </w:rPr>
      </w:pPr>
      <w:bookmarkStart w:id="224" w:name="_Ref442886111"/>
      <w:bookmarkStart w:id="225" w:name="_Ref442886076"/>
      <w:r>
        <w:t xml:space="preserve">Figure </w:t>
      </w:r>
      <w:r w:rsidR="0075172E">
        <w:fldChar w:fldCharType="begin"/>
      </w:r>
      <w:r w:rsidR="00AC2227">
        <w:instrText xml:space="preserve"> STYLEREF 1 \s </w:instrText>
      </w:r>
      <w:r w:rsidR="0075172E">
        <w:fldChar w:fldCharType="separate"/>
      </w:r>
      <w:r w:rsidR="00CB4EDC">
        <w:rPr>
          <w:noProof/>
        </w:rPr>
        <w:t>6</w:t>
      </w:r>
      <w:r w:rsidR="0075172E">
        <w:rPr>
          <w:noProof/>
        </w:rPr>
        <w:fldChar w:fldCharType="end"/>
      </w:r>
      <w:r w:rsidR="00EB1DC7">
        <w:t>.</w:t>
      </w:r>
      <w:r w:rsidR="0075172E">
        <w:fldChar w:fldCharType="begin"/>
      </w:r>
      <w:r w:rsidR="008628F5">
        <w:instrText xml:space="preserve"> SEQ Figure \* ARABIC \s 1 </w:instrText>
      </w:r>
      <w:r w:rsidR="0075172E">
        <w:fldChar w:fldCharType="separate"/>
      </w:r>
      <w:r w:rsidR="00CB4EDC">
        <w:rPr>
          <w:noProof/>
        </w:rPr>
        <w:t>7</w:t>
      </w:r>
      <w:r w:rsidR="0075172E">
        <w:fldChar w:fldCharType="end"/>
      </w:r>
      <w:bookmarkEnd w:id="224"/>
      <w:r>
        <w:t xml:space="preserve">: </w:t>
      </w:r>
      <w:r w:rsidR="00C6447D">
        <w:t>Upper: Thermogram of the</w:t>
      </w:r>
      <w:r w:rsidRPr="00940180">
        <w:t xml:space="preserve"> interaction of </w:t>
      </w:r>
      <w:r>
        <w:t>2.6</w:t>
      </w:r>
      <w:r w:rsidRPr="00940180">
        <w:t xml:space="preserve"> mM potassium phytate and 0.</w:t>
      </w:r>
      <w:r>
        <w:t xml:space="preserve">346 </w:t>
      </w:r>
      <w:r w:rsidRPr="00940180">
        <w:t xml:space="preserve">mM </w:t>
      </w:r>
      <w:r>
        <w:t>BSA at 37 °C</w:t>
      </w:r>
      <w:bookmarkEnd w:id="225"/>
      <w:r w:rsidR="00C6447D">
        <w:t xml:space="preserve">. Lower: Binding isotherm for the same interaction. </w:t>
      </w:r>
    </w:p>
    <w:p w:rsidR="003703F0" w:rsidRDefault="003703F0" w:rsidP="003703F0">
      <w:pPr>
        <w:spacing w:line="480" w:lineRule="auto"/>
        <w:jc w:val="both"/>
      </w:pPr>
      <w:r>
        <w:rPr>
          <w:rFonts w:cs="Times New Roman"/>
          <w:lang w:val="en-US"/>
        </w:rPr>
        <w:t>Increasing the pH well above the pI means that BSA has an overall net negative charge. This could mean that even though there are positively charged regions on the surface of BSA, the overall net negative charge acted to the repel phytate from these areas. This suggests that pI is crucial in determining the specificity of the phytate-protein interaction which is supported by previous studies.</w:t>
      </w:r>
      <w:r>
        <w:t xml:space="preserve"> </w:t>
      </w:r>
    </w:p>
    <w:p w:rsidR="001E1409" w:rsidRDefault="001E1409" w:rsidP="003703F0">
      <w:pPr>
        <w:spacing w:line="480" w:lineRule="auto"/>
        <w:jc w:val="both"/>
      </w:pPr>
    </w:p>
    <w:p w:rsidR="00A23F6C" w:rsidRDefault="00A23F6C" w:rsidP="003703F0">
      <w:pPr>
        <w:spacing w:line="480" w:lineRule="auto"/>
        <w:jc w:val="both"/>
      </w:pPr>
    </w:p>
    <w:p w:rsidR="003703F0" w:rsidRPr="00F20A26" w:rsidRDefault="003703F0" w:rsidP="00626B72">
      <w:pPr>
        <w:pStyle w:val="Heading2"/>
        <w:numPr>
          <w:ilvl w:val="1"/>
          <w:numId w:val="10"/>
        </w:numPr>
        <w:spacing w:line="480" w:lineRule="auto"/>
        <w:ind w:left="578" w:hanging="578"/>
      </w:pPr>
      <w:bookmarkStart w:id="226" w:name="_Toc459130739"/>
      <w:r w:rsidRPr="00F20A26">
        <w:lastRenderedPageBreak/>
        <w:t>Conclusion</w:t>
      </w:r>
      <w:bookmarkEnd w:id="226"/>
    </w:p>
    <w:p w:rsidR="003703F0" w:rsidRDefault="003703F0" w:rsidP="003703F0">
      <w:pPr>
        <w:spacing w:line="480" w:lineRule="auto"/>
        <w:jc w:val="both"/>
      </w:pPr>
      <w:r>
        <w:t xml:space="preserve">The binding interaction between phytate and the albumins has been explored. The interaction is favoured enthalpically, but entropically disfavoured yielding a favourable Gibbs free energy of binding. The binding isotherm is sigmoidal, but shows two stages of interaction. The first stage is exothermic, but becomes decreasingly so as the number of binding sites become saturated with phytate. The second stage which occurs at higher molar ratios is endothermic, which was suggested to be due to excess phytate in the system screening electrostatic interactions and thus shifting the equilibrium towards the unbound state. The phytate interaction with HSA was more exothermic than BSA but the Gibbs free energy of binding for the two proteins was similar meaning that entropy-enthalpy compensation existed between the two binding regions. </w:t>
      </w:r>
    </w:p>
    <w:p w:rsidR="003703F0" w:rsidRDefault="003703F0" w:rsidP="003703F0">
      <w:pPr>
        <w:spacing w:line="480" w:lineRule="auto"/>
        <w:jc w:val="both"/>
      </w:pPr>
      <w:r>
        <w:t xml:space="preserve">To determine the specificity between phytate and the albumins, the interaction was performed in PBS buffer at pH 7.4 with BSA. No detectable interaction could be measured which suggests that interaction does not involve a specific recognition motif. </w:t>
      </w:r>
      <w:r w:rsidR="006A16F9">
        <w:t>Furthermore,</w:t>
      </w:r>
      <w:r>
        <w:t xml:space="preserve"> this suggests that phytate is not transported in the extracellular space by the albumins.  </w:t>
      </w:r>
    </w:p>
    <w:p w:rsidR="00570A3D" w:rsidRDefault="00570A3D" w:rsidP="003703F0">
      <w:pPr>
        <w:spacing w:line="480" w:lineRule="auto"/>
        <w:jc w:val="both"/>
      </w:pPr>
    </w:p>
    <w:p w:rsidR="00570A3D" w:rsidRDefault="00570A3D" w:rsidP="003703F0">
      <w:pPr>
        <w:spacing w:line="480" w:lineRule="auto"/>
        <w:jc w:val="both"/>
      </w:pPr>
    </w:p>
    <w:p w:rsidR="001E1409" w:rsidRDefault="001E1409" w:rsidP="003703F0">
      <w:pPr>
        <w:spacing w:line="480" w:lineRule="auto"/>
        <w:jc w:val="both"/>
      </w:pPr>
    </w:p>
    <w:p w:rsidR="00570A3D" w:rsidRDefault="00570A3D" w:rsidP="003703F0">
      <w:pPr>
        <w:spacing w:line="480" w:lineRule="auto"/>
        <w:jc w:val="both"/>
      </w:pPr>
    </w:p>
    <w:p w:rsidR="00156B70" w:rsidRDefault="00156B70" w:rsidP="003F119E">
      <w:pPr>
        <w:spacing w:line="480" w:lineRule="auto"/>
        <w:jc w:val="both"/>
        <w:rPr>
          <w:b/>
        </w:rPr>
      </w:pPr>
    </w:p>
    <w:p w:rsidR="00AF3E73" w:rsidRDefault="00AF3E73" w:rsidP="003F119E">
      <w:pPr>
        <w:spacing w:line="480" w:lineRule="auto"/>
        <w:jc w:val="both"/>
        <w:rPr>
          <w:b/>
        </w:rPr>
      </w:pPr>
    </w:p>
    <w:p w:rsidR="00AF3E73" w:rsidRDefault="00AF3E73" w:rsidP="003F119E">
      <w:pPr>
        <w:spacing w:line="480" w:lineRule="auto"/>
        <w:jc w:val="both"/>
        <w:rPr>
          <w:b/>
        </w:rPr>
      </w:pPr>
    </w:p>
    <w:p w:rsidR="003C2A9A" w:rsidRDefault="003C2A9A" w:rsidP="003F119E">
      <w:pPr>
        <w:spacing w:line="480" w:lineRule="auto"/>
        <w:jc w:val="both"/>
        <w:rPr>
          <w:b/>
        </w:rPr>
      </w:pPr>
    </w:p>
    <w:p w:rsidR="00654CAB" w:rsidRPr="00AF3E73" w:rsidRDefault="00C31AF9" w:rsidP="00AF3E73">
      <w:pPr>
        <w:pStyle w:val="Heading1"/>
        <w:jc w:val="center"/>
      </w:pPr>
      <w:bookmarkStart w:id="227" w:name="_Toc459130740"/>
      <w:r w:rsidRPr="00AF3E73">
        <w:lastRenderedPageBreak/>
        <w:t>Chapter 7</w:t>
      </w:r>
      <w:r w:rsidR="00654CAB" w:rsidRPr="00AF3E73">
        <w:t>: Conclusions and Future Work</w:t>
      </w:r>
      <w:bookmarkEnd w:id="227"/>
    </w:p>
    <w:p w:rsidR="00654CAB" w:rsidRDefault="00654CAB" w:rsidP="00654CAB">
      <w:pPr>
        <w:spacing w:line="480" w:lineRule="auto"/>
        <w:jc w:val="center"/>
        <w:rPr>
          <w:b/>
          <w:color w:val="000000" w:themeColor="text1"/>
        </w:rPr>
      </w:pPr>
    </w:p>
    <w:p w:rsidR="00654CAB" w:rsidRPr="00577153" w:rsidRDefault="00654CAB" w:rsidP="00626B72">
      <w:pPr>
        <w:pStyle w:val="Heading2"/>
        <w:numPr>
          <w:ilvl w:val="1"/>
          <w:numId w:val="10"/>
        </w:numPr>
        <w:spacing w:line="480" w:lineRule="auto"/>
      </w:pPr>
      <w:bookmarkStart w:id="228" w:name="_Toc459130741"/>
      <w:r w:rsidRPr="00577153">
        <w:t>Main Conclusion</w:t>
      </w:r>
      <w:bookmarkEnd w:id="228"/>
    </w:p>
    <w:p w:rsidR="00654CAB" w:rsidRPr="00577153" w:rsidRDefault="00654CAB" w:rsidP="00654CAB">
      <w:pPr>
        <w:spacing w:line="480" w:lineRule="auto"/>
        <w:jc w:val="both"/>
        <w:rPr>
          <w:color w:val="000000" w:themeColor="text1"/>
        </w:rPr>
      </w:pPr>
      <w:r w:rsidRPr="00577153">
        <w:rPr>
          <w:color w:val="000000" w:themeColor="text1"/>
        </w:rPr>
        <w:t xml:space="preserve">Biphasic binding isotherms produced by Isothermal Titration Calorimetry </w:t>
      </w:r>
      <w:r>
        <w:rPr>
          <w:color w:val="000000" w:themeColor="text1"/>
        </w:rPr>
        <w:t xml:space="preserve">(ITC) </w:t>
      </w:r>
      <w:r w:rsidRPr="00577153">
        <w:rPr>
          <w:color w:val="000000" w:themeColor="text1"/>
        </w:rPr>
        <w:t xml:space="preserve">experiments are found in number of areas including materials science, food chemistry, inorganic chemistry and cellular biochemistry. They are routinely suggested as being evidence of cooperative binding, that the initial binding events have a favourable effect on subsequent binding events. However, in some instances, the reasoning behind classifying these binding isotherms as examples of cooperative binding seems lacking.  Data is presented that shows these binding isotherms may be indicative of </w:t>
      </w:r>
      <w:r w:rsidR="006A16F9">
        <w:rPr>
          <w:color w:val="000000" w:themeColor="text1"/>
        </w:rPr>
        <w:t>crosslinking</w:t>
      </w:r>
      <w:r w:rsidRPr="00577153">
        <w:rPr>
          <w:color w:val="000000" w:themeColor="text1"/>
        </w:rPr>
        <w:t>, rather than discrete binding events.</w:t>
      </w:r>
    </w:p>
    <w:p w:rsidR="00654CAB" w:rsidRPr="00577153" w:rsidRDefault="00137F62" w:rsidP="00626B72">
      <w:pPr>
        <w:pStyle w:val="Heading2"/>
        <w:numPr>
          <w:ilvl w:val="1"/>
          <w:numId w:val="10"/>
        </w:numPr>
        <w:spacing w:line="480" w:lineRule="auto"/>
      </w:pPr>
      <w:bookmarkStart w:id="229" w:name="_Toc459130742"/>
      <w:r>
        <w:t>Modes of Binding for Tannic Acid and Proanthocyanidins to B</w:t>
      </w:r>
      <w:r w:rsidR="00654CAB" w:rsidRPr="00577153">
        <w:t>iopolymers</w:t>
      </w:r>
      <w:bookmarkEnd w:id="229"/>
    </w:p>
    <w:p w:rsidR="00654CAB" w:rsidRPr="00577153" w:rsidRDefault="00654CAB" w:rsidP="00654CAB">
      <w:pPr>
        <w:spacing w:line="480" w:lineRule="auto"/>
        <w:jc w:val="both"/>
        <w:rPr>
          <w:color w:val="000000" w:themeColor="text1"/>
        </w:rPr>
      </w:pPr>
      <w:r w:rsidRPr="00577153">
        <w:rPr>
          <w:color w:val="000000" w:themeColor="text1"/>
        </w:rPr>
        <w:t>Tannin-protein interactions occur in both the natural and commercial world.</w:t>
      </w:r>
      <w:r w:rsidR="0075172E" w:rsidRPr="00577153">
        <w:rPr>
          <w:color w:val="000000" w:themeColor="text1"/>
        </w:rPr>
        <w:fldChar w:fldCharType="begin">
          <w:fldData xml:space="preserve">PEVuZE5vdGU+PENpdGU+PEF1dGhvcj5CYXJiZWhlbm48L0F1dGhvcj48WWVhcj4yMDExPC9ZZWFy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</w:fldData>
        </w:fldChar>
      </w:r>
      <w:r w:rsidR="006421D1">
        <w:rPr>
          <w:color w:val="000000" w:themeColor="text1"/>
        </w:rPr>
        <w:instrText xml:space="preserve"> ADDIN EN.CITE </w:instrText>
      </w:r>
      <w:r w:rsidR="0075172E">
        <w:rPr>
          <w:color w:val="000000" w:themeColor="text1"/>
        </w:rPr>
        <w:fldChar w:fldCharType="begin">
          <w:fldData xml:space="preserve">PEVuZE5vdGU+PENpdGU+PEF1dGhvcj5CYXJiZWhlbm48L0F1dGhvcj48WWVhcj4yMDExPC9ZZWFy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</w:fldData>
        </w:fldChar>
      </w:r>
      <w:r w:rsidR="006421D1">
        <w:rPr>
          <w:color w:val="000000" w:themeColor="text1"/>
        </w:rPr>
        <w:instrText xml:space="preserve"> ADDIN EN.CITE.DATA </w:instrText>
      </w:r>
      <w:r w:rsidR="0075172E">
        <w:rPr>
          <w:color w:val="000000" w:themeColor="text1"/>
        </w:rPr>
      </w:r>
      <w:r w:rsidR="0075172E">
        <w:rPr>
          <w:color w:val="000000" w:themeColor="text1"/>
        </w:rPr>
        <w:fldChar w:fldCharType="end"/>
      </w:r>
      <w:r w:rsidR="0075172E" w:rsidRPr="00577153">
        <w:rPr>
          <w:color w:val="000000" w:themeColor="text1"/>
        </w:rPr>
      </w:r>
      <w:r w:rsidR="0075172E" w:rsidRPr="00577153">
        <w:rPr>
          <w:color w:val="000000" w:themeColor="text1"/>
        </w:rPr>
        <w:fldChar w:fldCharType="separate"/>
      </w:r>
      <w:hyperlink w:anchor="_ENREF_186" w:tooltip="Santos-Buelga, 2000 #479" w:history="1">
        <w:r w:rsidR="00512D09" w:rsidRPr="006421D1">
          <w:rPr>
            <w:noProof/>
            <w:color w:val="000000" w:themeColor="text1"/>
            <w:vertAlign w:val="superscript"/>
          </w:rPr>
          <w:t>186</w:t>
        </w:r>
      </w:hyperlink>
      <w:r w:rsidR="006421D1" w:rsidRPr="006421D1">
        <w:rPr>
          <w:noProof/>
          <w:color w:val="000000" w:themeColor="text1"/>
          <w:vertAlign w:val="superscript"/>
        </w:rPr>
        <w:t>,</w:t>
      </w:r>
      <w:hyperlink w:anchor="_ENREF_325" w:tooltip="Barbehenn, 2011 #511" w:history="1">
        <w:r w:rsidR="00512D09" w:rsidRPr="006421D1">
          <w:rPr>
            <w:noProof/>
            <w:color w:val="000000" w:themeColor="text1"/>
            <w:vertAlign w:val="superscript"/>
          </w:rPr>
          <w:t>325</w:t>
        </w:r>
      </w:hyperlink>
      <w:r w:rsidR="006421D1" w:rsidRPr="006421D1">
        <w:rPr>
          <w:noProof/>
          <w:color w:val="000000" w:themeColor="text1"/>
          <w:vertAlign w:val="superscript"/>
        </w:rPr>
        <w:t>,</w:t>
      </w:r>
      <w:hyperlink w:anchor="_ENREF_326" w:tooltip="Bate-Smith, 1973 #458" w:history="1">
        <w:r w:rsidR="00512D09" w:rsidRPr="006421D1">
          <w:rPr>
            <w:noProof/>
            <w:color w:val="000000" w:themeColor="text1"/>
            <w:vertAlign w:val="superscript"/>
          </w:rPr>
          <w:t>326</w:t>
        </w:r>
      </w:hyperlink>
      <w:r w:rsidR="0075172E" w:rsidRPr="00577153">
        <w:rPr>
          <w:color w:val="000000" w:themeColor="text1"/>
        </w:rPr>
        <w:fldChar w:fldCharType="end"/>
      </w:r>
      <w:r w:rsidRPr="00577153">
        <w:rPr>
          <w:color w:val="000000" w:themeColor="text1"/>
        </w:rPr>
        <w:t xml:space="preserve"> Tannins play an important role in a number of agricultural, nutraceutical and food industries.</w:t>
      </w:r>
      <w:hyperlink w:anchor="_ENREF_327" w:tooltip="Larrosa, 2010 #507" w:history="1">
        <w:r w:rsidR="00512D09" w:rsidRPr="00577153">
          <w:rPr>
            <w:color w:val="000000" w:themeColor="text1"/>
          </w:rPr>
          <w:fldChar w:fldCharType="begin">
            <w:fldData xml:space="preserve">PEVuZE5vdGU+PENpdGU+PEF1dGhvcj5MYXJyb3NhPC9BdXRob3I+PFllYXI+MjAxMDwvWWVhcj48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</w:fldData>
          </w:fldChar>
        </w:r>
        <w:r w:rsidR="00512D09">
          <w:rPr>
            <w:color w:val="000000" w:themeColor="text1"/>
          </w:rPr>
          <w:instrText xml:space="preserve"> ADDIN EN.CITE </w:instrText>
        </w:r>
        <w:r w:rsidR="00512D09">
          <w:rPr>
            <w:color w:val="000000" w:themeColor="text1"/>
          </w:rPr>
          <w:fldChar w:fldCharType="begin">
            <w:fldData xml:space="preserve">PEVuZE5vdGU+PENpdGU+PEF1dGhvcj5MYXJyb3NhPC9BdXRob3I+PFllYXI+MjAxMDwvWWVhcj48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</w:fldData>
          </w:fldChar>
        </w:r>
        <w:r w:rsidR="00512D09">
          <w:rPr>
            <w:color w:val="000000" w:themeColor="text1"/>
          </w:rPr>
          <w:instrText xml:space="preserve"> ADDIN EN.CITE.DATA </w:instrText>
        </w:r>
        <w:r w:rsidR="00512D09">
          <w:rPr>
            <w:color w:val="000000" w:themeColor="text1"/>
          </w:rPr>
        </w:r>
        <w:r w:rsidR="00512D09">
          <w:rPr>
            <w:color w:val="000000" w:themeColor="text1"/>
          </w:rPr>
          <w:fldChar w:fldCharType="end"/>
        </w:r>
        <w:r w:rsidR="00512D09" w:rsidRPr="00577153">
          <w:rPr>
            <w:color w:val="000000" w:themeColor="text1"/>
          </w:rPr>
        </w:r>
        <w:r w:rsidR="00512D09" w:rsidRPr="00577153">
          <w:rPr>
            <w:color w:val="000000" w:themeColor="text1"/>
          </w:rPr>
          <w:fldChar w:fldCharType="separate"/>
        </w:r>
        <w:r w:rsidR="00512D09" w:rsidRPr="0057696F">
          <w:rPr>
            <w:noProof/>
            <w:color w:val="000000" w:themeColor="text1"/>
            <w:vertAlign w:val="superscript"/>
          </w:rPr>
          <w:t>327-329</w:t>
        </w:r>
        <w:r w:rsidR="00512D09" w:rsidRPr="00577153">
          <w:rPr>
            <w:color w:val="000000" w:themeColor="text1"/>
          </w:rPr>
          <w:fldChar w:fldCharType="end"/>
        </w:r>
      </w:hyperlink>
      <w:r w:rsidRPr="00577153">
        <w:rPr>
          <w:color w:val="000000" w:themeColor="text1"/>
        </w:rPr>
        <w:t xml:space="preserve"> Tannin-protein interactions are responsible for the astringent quality of wines, the distribution of phenolics throughout the body and a whole range of antinutritional effects by binding to both endogenous proteins (dietary enzymes) and exogenous proteins.</w:t>
      </w:r>
      <w:r w:rsidR="0075172E" w:rsidRPr="00577153">
        <w:rPr>
          <w:color w:val="000000" w:themeColor="text1"/>
        </w:rPr>
        <w:fldChar w:fldCharType="begin">
          <w:fldData xml:space="preserve">PEVuZE5vdGU+PENpdGU+PEF1dGhvcj5MYXJyeTwvQXV0aG9yPjxZZWFyPjE5OTI8L1llYXI+PFJl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</w:fldData>
        </w:fldChar>
      </w:r>
      <w:r w:rsidR="006421D1">
        <w:rPr>
          <w:color w:val="000000" w:themeColor="text1"/>
        </w:rPr>
        <w:instrText xml:space="preserve"> ADDIN EN.CITE </w:instrText>
      </w:r>
      <w:r w:rsidR="0075172E">
        <w:rPr>
          <w:color w:val="000000" w:themeColor="text1"/>
        </w:rPr>
        <w:fldChar w:fldCharType="begin">
          <w:fldData xml:space="preserve">PEVuZE5vdGU+PENpdGU+PEF1dGhvcj5MYXJyeTwvQXV0aG9yPjxZZWFyPjE5OTI8L1llYXI+PFJl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</w:fldData>
        </w:fldChar>
      </w:r>
      <w:r w:rsidR="006421D1">
        <w:rPr>
          <w:color w:val="000000" w:themeColor="text1"/>
        </w:rPr>
        <w:instrText xml:space="preserve"> ADDIN EN.CITE.DATA </w:instrText>
      </w:r>
      <w:r w:rsidR="0075172E">
        <w:rPr>
          <w:color w:val="000000" w:themeColor="text1"/>
        </w:rPr>
      </w:r>
      <w:r w:rsidR="0075172E">
        <w:rPr>
          <w:color w:val="000000" w:themeColor="text1"/>
        </w:rPr>
        <w:fldChar w:fldCharType="end"/>
      </w:r>
      <w:r w:rsidR="0075172E" w:rsidRPr="00577153">
        <w:rPr>
          <w:color w:val="000000" w:themeColor="text1"/>
        </w:rPr>
      </w:r>
      <w:r w:rsidR="0075172E" w:rsidRPr="00577153">
        <w:rPr>
          <w:color w:val="000000" w:themeColor="text1"/>
        </w:rPr>
        <w:fldChar w:fldCharType="separate"/>
      </w:r>
      <w:hyperlink w:anchor="_ENREF_186" w:tooltip="Santos-Buelga, 2000 #479" w:history="1">
        <w:r w:rsidR="00512D09" w:rsidRPr="006421D1">
          <w:rPr>
            <w:noProof/>
            <w:color w:val="000000" w:themeColor="text1"/>
            <w:vertAlign w:val="superscript"/>
          </w:rPr>
          <w:t>186</w:t>
        </w:r>
      </w:hyperlink>
      <w:r w:rsidR="006421D1" w:rsidRPr="006421D1">
        <w:rPr>
          <w:noProof/>
          <w:color w:val="000000" w:themeColor="text1"/>
          <w:vertAlign w:val="superscript"/>
        </w:rPr>
        <w:t>,</w:t>
      </w:r>
      <w:hyperlink w:anchor="_ENREF_192" w:tooltip="McRae, 2011 #680" w:history="1">
        <w:r w:rsidR="00512D09" w:rsidRPr="006421D1">
          <w:rPr>
            <w:noProof/>
            <w:color w:val="000000" w:themeColor="text1"/>
            <w:vertAlign w:val="superscript"/>
          </w:rPr>
          <w:t>192</w:t>
        </w:r>
      </w:hyperlink>
      <w:r w:rsidR="006421D1" w:rsidRPr="006421D1">
        <w:rPr>
          <w:noProof/>
          <w:color w:val="000000" w:themeColor="text1"/>
          <w:vertAlign w:val="superscript"/>
        </w:rPr>
        <w:t>,</w:t>
      </w:r>
      <w:hyperlink w:anchor="_ENREF_330" w:tooltip="Larry, 1992 #522" w:history="1">
        <w:r w:rsidR="00512D09" w:rsidRPr="006421D1">
          <w:rPr>
            <w:noProof/>
            <w:color w:val="000000" w:themeColor="text1"/>
            <w:vertAlign w:val="superscript"/>
          </w:rPr>
          <w:t>330</w:t>
        </w:r>
      </w:hyperlink>
      <w:r w:rsidR="0075172E" w:rsidRPr="00577153">
        <w:rPr>
          <w:color w:val="000000" w:themeColor="text1"/>
        </w:rPr>
        <w:fldChar w:fldCharType="end"/>
      </w:r>
      <w:r w:rsidRPr="00577153">
        <w:rPr>
          <w:color w:val="000000" w:themeColor="text1"/>
        </w:rPr>
        <w:t xml:space="preserve"> Therefore discerning the strength and specificity of how tannins binds to proteins is of vital importance to a number of industries. Previous work has suggested that in the case of some tannins, the initial binding event increases the binding affinity of subsequent binding events.</w:t>
      </w:r>
      <w:r w:rsidR="0075172E" w:rsidRPr="00577153">
        <w:rPr>
          <w:color w:val="000000" w:themeColor="text1"/>
        </w:rPr>
        <w:fldChar w:fldCharType="begin">
          <w:fldData xml:space="preserve">PEVuZE5vdGU+PENpdGU+PEF1dGhvcj5QcmlnZW50PC9BdXRob3I+PFllYXI+MjAwOTwvWWVhcj48
UmVjTnVtPjQ1MDwvUmVjTnVtPjxEaXNwbGF5VGV4dD48c3R5bGUgZmFjZT0ic3VwZXJzY3JpcHQi
PjE0NCwxNDU8L3N0eWxlPjwvRGlzcGxheVRleHQ+PHJlY29yZD48cmVjLW51bWJlcj40NTA8L3Jl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dW0+PC9yZWNvcmQ+PC9DaXRlPjxDaXRlPjxBdXRob3I+UG9uY2V0LUxlZ3JhbmQ8L0F1dGhvcj48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</w:fldData>
        </w:fldChar>
      </w:r>
      <w:r w:rsidR="00F80CAD">
        <w:rPr>
          <w:color w:val="000000" w:themeColor="text1"/>
        </w:rPr>
        <w:instrText xml:space="preserve"> ADDIN EN.CITE </w:instrText>
      </w:r>
      <w:r w:rsidR="0075172E">
        <w:rPr>
          <w:color w:val="000000" w:themeColor="text1"/>
        </w:rPr>
        <w:fldChar w:fldCharType="begin">
          <w:fldData xml:space="preserve">PEVuZE5vdGU+PENpdGU+PEF1dGhvcj5QcmlnZW50PC9BdXRob3I+PFllYXI+MjAwOTwvWWVhcj48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</w:fldData>
        </w:fldChar>
      </w:r>
      <w:r w:rsidR="00F80CAD">
        <w:rPr>
          <w:color w:val="000000" w:themeColor="text1"/>
        </w:rPr>
        <w:instrText xml:space="preserve"> ADDIN EN.CITE.DATA </w:instrText>
      </w:r>
      <w:r w:rsidR="0075172E">
        <w:rPr>
          <w:color w:val="000000" w:themeColor="text1"/>
        </w:rPr>
      </w:r>
      <w:r w:rsidR="0075172E">
        <w:rPr>
          <w:color w:val="000000" w:themeColor="text1"/>
        </w:rPr>
        <w:fldChar w:fldCharType="end"/>
      </w:r>
      <w:r w:rsidR="0075172E" w:rsidRPr="00577153">
        <w:rPr>
          <w:color w:val="000000" w:themeColor="text1"/>
        </w:rPr>
      </w:r>
      <w:r w:rsidR="0075172E" w:rsidRPr="00577153">
        <w:rPr>
          <w:color w:val="000000" w:themeColor="text1"/>
        </w:rPr>
        <w:fldChar w:fldCharType="separate"/>
      </w:r>
      <w:hyperlink w:anchor="_ENREF_144" w:tooltip="Poncet-Legrand, 2007 #425" w:history="1">
        <w:r w:rsidR="00512D09" w:rsidRPr="00F80CAD">
          <w:rPr>
            <w:noProof/>
            <w:color w:val="000000" w:themeColor="text1"/>
            <w:vertAlign w:val="superscript"/>
          </w:rPr>
          <w:t>144</w:t>
        </w:r>
      </w:hyperlink>
      <w:r w:rsidR="00F80CAD" w:rsidRPr="00F80CAD">
        <w:rPr>
          <w:noProof/>
          <w:color w:val="000000" w:themeColor="text1"/>
          <w:vertAlign w:val="superscript"/>
        </w:rPr>
        <w:t>,</w:t>
      </w:r>
      <w:hyperlink w:anchor="_ENREF_145" w:tooltip="Prigent, 2009 #450" w:history="1">
        <w:r w:rsidR="00512D09" w:rsidRPr="00F80CAD">
          <w:rPr>
            <w:noProof/>
            <w:color w:val="000000" w:themeColor="text1"/>
            <w:vertAlign w:val="superscript"/>
          </w:rPr>
          <w:t>145</w:t>
        </w:r>
      </w:hyperlink>
      <w:r w:rsidR="0075172E" w:rsidRPr="00577153">
        <w:rPr>
          <w:color w:val="000000" w:themeColor="text1"/>
        </w:rPr>
        <w:fldChar w:fldCharType="end"/>
      </w:r>
      <w:r w:rsidRPr="00577153">
        <w:rPr>
          <w:color w:val="000000" w:themeColor="text1"/>
        </w:rPr>
        <w:t xml:space="preserve"> This was supported by ITC binding isotherms that showed an increase in the favourable enthalpy at low molar ratios and then a decrease in the favourable enthalpy at higher molar ratios.  These have been described as biphasic or two stage. It was suggested that the increase in binding affinity was due to </w:t>
      </w:r>
      <w:r w:rsidRPr="00577153">
        <w:rPr>
          <w:color w:val="000000" w:themeColor="text1"/>
        </w:rPr>
        <w:lastRenderedPageBreak/>
        <w:t xml:space="preserve">tannins crosslinking other free binding partners allowing for better binding as the number of crosslinking occurs. </w:t>
      </w:r>
      <w:r w:rsidRPr="00577153">
        <w:rPr>
          <w:bCs/>
          <w:color w:val="000000" w:themeColor="text1"/>
        </w:rPr>
        <w:t>Originally, the mechanism behind protein-tannin positive cooperativity could only be applied to peptides exhibiting very little secondary structure. Longer peptides are better able to “wrap around” polyphenols consequently increasing affinity by a number of interactions.</w:t>
      </w:r>
      <w:hyperlink w:anchor="_ENREF_200" w:tooltip="Charlton, 1996 #447" w:history="1">
        <w:r w:rsidR="00512D09" w:rsidRPr="00577153">
          <w:rPr>
            <w:bCs/>
            <w:color w:val="000000" w:themeColor="text1"/>
          </w:rPr>
          <w:fldChar w:fldCharType="begin"/>
        </w:r>
        <w:r w:rsidR="00512D09">
          <w:rPr>
            <w:bCs/>
            <w:color w:val="000000" w:themeColor="text1"/>
          </w:rPr>
          <w:instrText xml:space="preserve"> ADDIN EN.CITE &lt;EndNote&gt;&lt;Cite&gt;&lt;Author&gt;Charlton&lt;/Author&gt;&lt;Year&gt;1996&lt;/Year&gt;&lt;RecNum&gt;447&lt;/RecNum&gt;&lt;DisplayText&gt;&lt;style face="superscript"&gt;200&lt;/style&gt;&lt;/DisplayText&gt;&lt;record&gt;&lt;rec-number&gt;447&lt;/rec-number&gt;&lt;foreign-keys&gt;&lt;key app="EN" db-id="5trrespwzsdr07efd5tx2w96x22re9s0fsdt"&gt;447&lt;/key&gt;&lt;/foreign-keys&gt;&lt;ref-type name="Journal Article"&gt;17&lt;/ref-type&gt;&lt;contributors&gt;&lt;authors&gt;&lt;author&gt;Charlton, Adrian J.&lt;/author&gt;&lt;author&gt;Baxter, Nicola J.&lt;/author&gt;&lt;author&gt;Lilley, Terence H.&lt;/author&gt;&lt;author&gt;Haslam, Edwin&lt;/author&gt;&lt;author&gt;McDonald, Charles J.&lt;/author&gt;&lt;author&gt;Williamson, Michael P.&lt;/author&gt;&lt;/authors&gt;&lt;/contributors&gt;&lt;titles&gt;&lt;title&gt;Tannin interactions with a full-length human salivary proline-rich protein display a stronger affinity than with single proline-rich repeats&lt;/title&gt;&lt;secondary-title&gt;FEBS Letters&lt;/secondary-title&gt;&lt;/titles&gt;&lt;periodical&gt;&lt;full-title&gt;FEBS Letters&lt;/full-title&gt;&lt;/periodical&gt;&lt;pages&gt;289-292&lt;/pages&gt;&lt;volume&gt;382&lt;/volume&gt;&lt;number&gt;3&lt;/number&gt;&lt;keywords&gt;&lt;keyword&gt;1H-NMR&lt;/keyword&gt;&lt;keyword&gt;Tannin&lt;/keyword&gt;&lt;keyword&gt;Salivary proline-rich protein&lt;/keyword&gt;&lt;keyword&gt;Intramolecular binding&lt;/keyword&gt;&lt;keyword&gt;Hydrophobic interaction&lt;/keyword&gt;&lt;/keywords&gt;&lt;dates&gt;&lt;year&gt;1996&lt;/year&gt;&lt;/dates&gt;&lt;isbn&gt;0014-5793&lt;/isbn&gt;&lt;urls&gt;&lt;related-urls&gt;&lt;url&gt;http://www.sciencedirect.com/science/article/pii/001457939600186X&lt;/url&gt;&lt;/related-urls&gt;&lt;/urls&gt;&lt;electronic-resource-num&gt;http://dx.doi.org/10.1016/0014-5793(96)00186-X&lt;/electronic-resource-num&gt;&lt;/record&gt;&lt;/Cite&gt;&lt;/EndNote&gt;</w:instrText>
        </w:r>
        <w:r w:rsidR="00512D09" w:rsidRPr="00577153">
          <w:rPr>
            <w:bCs/>
            <w:color w:val="000000" w:themeColor="text1"/>
          </w:rPr>
          <w:fldChar w:fldCharType="separate"/>
        </w:r>
        <w:r w:rsidR="00512D09" w:rsidRPr="006421D1">
          <w:rPr>
            <w:bCs/>
            <w:noProof/>
            <w:color w:val="000000" w:themeColor="text1"/>
            <w:vertAlign w:val="superscript"/>
          </w:rPr>
          <w:t>200</w:t>
        </w:r>
        <w:r w:rsidR="00512D09" w:rsidRPr="00577153">
          <w:rPr>
            <w:bCs/>
            <w:color w:val="000000" w:themeColor="text1"/>
          </w:rPr>
          <w:fldChar w:fldCharType="end"/>
        </w:r>
      </w:hyperlink>
    </w:p>
    <w:p w:rsidR="00654CAB" w:rsidRPr="00577153" w:rsidRDefault="00654CAB" w:rsidP="00654CAB">
      <w:pPr>
        <w:spacing w:line="480" w:lineRule="auto"/>
        <w:jc w:val="both"/>
        <w:rPr>
          <w:color w:val="000000" w:themeColor="text1"/>
        </w:rPr>
      </w:pPr>
      <w:r w:rsidRPr="00577153">
        <w:rPr>
          <w:color w:val="000000" w:themeColor="text1"/>
        </w:rPr>
        <w:t xml:space="preserve">ITC binding isotherms between tannic acid and BSA showed evidence of binding isotherms that were previously been identified as being evidence for positive cooperative binding. Firstly, </w:t>
      </w:r>
      <w:r w:rsidRPr="00577153">
        <w:rPr>
          <w:bCs/>
          <w:color w:val="000000" w:themeColor="text1"/>
        </w:rPr>
        <w:t xml:space="preserve">proteins such as BSA exhibit fairly rigid tertiary structure meaning it is unlikely that BSA would be able to “wrap around” tannins.   In addition to this, </w:t>
      </w:r>
      <w:r w:rsidRPr="00577153">
        <w:rPr>
          <w:color w:val="000000" w:themeColor="text1"/>
        </w:rPr>
        <w:t>performing the titration at 10</w:t>
      </w:r>
      <w:r w:rsidR="006F2757">
        <w:rPr>
          <w:color w:val="000000" w:themeColor="text1"/>
        </w:rPr>
        <w:t xml:space="preserve"> </w:t>
      </w:r>
      <w:r w:rsidRPr="00577153">
        <w:rPr>
          <w:color w:val="000000" w:themeColor="text1"/>
        </w:rPr>
        <w:t xml:space="preserve">°C produced a monophasic binding isotherm. Secondary structural changes monitored by </w:t>
      </w:r>
      <w:r w:rsidR="00CB3C2F" w:rsidRPr="00577153">
        <w:rPr>
          <w:color w:val="000000" w:themeColor="text1"/>
        </w:rPr>
        <w:t xml:space="preserve">Circular Dichroism </w:t>
      </w:r>
      <w:r w:rsidRPr="00577153">
        <w:rPr>
          <w:color w:val="000000" w:themeColor="text1"/>
        </w:rPr>
        <w:t>showed no variation over the temperature range suggesting that conformational change was not responsible.  This raised questions regarding the nature of the crosslinking induced positive cooperativity model. Crosslinking was occurring throughout the titration and therefore positive cooperativity should therefore be occurring independent of the 10-25 °C temperature range utilised in this study. Since there was no evidence of positive cooperativity at 10 °C other alternatives were explored.  In view of the fact that the titration of tannic or tetrameric proanthrocynadin into polyproline was monophasic, it was suggested that the biphasicity was due to crosslinking macromolecules at regions of vastly different amino acid composition, and this becomes apparent between 25 and 10</w:t>
      </w:r>
      <w:r w:rsidR="006F2757">
        <w:rPr>
          <w:color w:val="000000" w:themeColor="text1"/>
        </w:rPr>
        <w:t xml:space="preserve"> </w:t>
      </w:r>
      <w:r w:rsidRPr="00577153">
        <w:rPr>
          <w:color w:val="000000" w:themeColor="text1"/>
        </w:rPr>
        <w:t xml:space="preserve">°C due to water displacement becoming more or less favourable. </w:t>
      </w:r>
      <w:r w:rsidR="00C31B19">
        <w:rPr>
          <w:color w:val="000000" w:themeColor="text1"/>
        </w:rPr>
        <w:t xml:space="preserve">However, it is possible that the reason why tannin-protein binding isotherms are not two stage at 10 </w:t>
      </w:r>
      <w:r w:rsidR="00C31B19" w:rsidRPr="00577153">
        <w:rPr>
          <w:color w:val="000000" w:themeColor="text1"/>
        </w:rPr>
        <w:t>°C</w:t>
      </w:r>
      <w:r w:rsidR="00C31B19">
        <w:rPr>
          <w:color w:val="000000" w:themeColor="text1"/>
        </w:rPr>
        <w:t xml:space="preserve"> could be due to decreased aggregation or crosslinking. Indeed, the reason why biphasicity is not present in the tannin-polyproline binding isotherms maybe due to decreased crosslinking or aggregation in comparison to the tannin-protein interactions. </w:t>
      </w:r>
    </w:p>
    <w:p w:rsidR="00654CAB" w:rsidRPr="00577153" w:rsidRDefault="00654CAB" w:rsidP="00654CAB">
      <w:pPr>
        <w:spacing w:line="480" w:lineRule="auto"/>
        <w:jc w:val="both"/>
        <w:rPr>
          <w:color w:val="000000" w:themeColor="text1"/>
        </w:rPr>
      </w:pPr>
      <w:r w:rsidRPr="00577153">
        <w:rPr>
          <w:color w:val="000000" w:themeColor="text1"/>
        </w:rPr>
        <w:lastRenderedPageBreak/>
        <w:t xml:space="preserve">Performing the ITC experiments at different temperatures allowed a better understanding of the thermodynamics of tannin-protein interactions. Titration of octomeric </w:t>
      </w:r>
      <w:r w:rsidR="00955A82" w:rsidRPr="00577153">
        <w:rPr>
          <w:color w:val="000000" w:themeColor="text1"/>
        </w:rPr>
        <w:t>proanthocyanidin</w:t>
      </w:r>
      <w:r w:rsidRPr="00577153">
        <w:rPr>
          <w:color w:val="000000" w:themeColor="text1"/>
        </w:rPr>
        <w:t xml:space="preserve"> at 10,</w:t>
      </w:r>
      <w:r w:rsidR="008D5CBE">
        <w:rPr>
          <w:color w:val="000000" w:themeColor="text1"/>
        </w:rPr>
        <w:t xml:space="preserve"> </w:t>
      </w:r>
      <w:r w:rsidRPr="00577153">
        <w:rPr>
          <w:color w:val="000000" w:themeColor="text1"/>
        </w:rPr>
        <w:t>25 and 35 °C showed that the initial binding interactions at low molar ratios could be due to the tannin binding primarily at the hydrophilic backbone due to the increase in endothermicity with increasing temperature. At higher molar ratios, there was an increase in exothermicity with increasing temperature meaning the hydrophobic effect was operating. The molecular origins of this could be due to tannin binding to tannins already bound to the protein.</w:t>
      </w:r>
    </w:p>
    <w:p w:rsidR="00654CAB" w:rsidRPr="00577153" w:rsidRDefault="00654CAB" w:rsidP="00626B72">
      <w:pPr>
        <w:pStyle w:val="Heading2"/>
        <w:numPr>
          <w:ilvl w:val="1"/>
          <w:numId w:val="10"/>
        </w:numPr>
        <w:spacing w:line="480" w:lineRule="auto"/>
      </w:pPr>
      <w:bookmarkStart w:id="230" w:name="_Toc459130743"/>
      <w:r w:rsidRPr="00577153">
        <w:t>An Isothermal Titration Calorimetry Study of a Multisite – Electrostatic Binding Interaction between Lysozyme and Phytate</w:t>
      </w:r>
      <w:bookmarkEnd w:id="230"/>
    </w:p>
    <w:p w:rsidR="00654CAB" w:rsidRPr="00577153" w:rsidRDefault="00654CAB" w:rsidP="00654CAB">
      <w:pPr>
        <w:spacing w:line="480" w:lineRule="auto"/>
        <w:jc w:val="both"/>
        <w:rPr>
          <w:color w:val="000000" w:themeColor="text1"/>
        </w:rPr>
      </w:pPr>
      <w:r w:rsidRPr="00577153">
        <w:rPr>
          <w:color w:val="000000" w:themeColor="text1"/>
        </w:rPr>
        <w:t xml:space="preserve">Isothermal Titration Calorimetry (ITC) was used to measure phytate binding to lysozyme. Phytate is known to affect the </w:t>
      </w:r>
      <w:r w:rsidR="00955A82" w:rsidRPr="00577153">
        <w:rPr>
          <w:color w:val="000000" w:themeColor="text1"/>
        </w:rPr>
        <w:t>bioavailability</w:t>
      </w:r>
      <w:r w:rsidRPr="00577153">
        <w:rPr>
          <w:color w:val="000000" w:themeColor="text1"/>
        </w:rPr>
        <w:t xml:space="preserve"> of nutrients by binding to both exogenous and endogenous proteins and so providing a mechanistic rationale and thermodynamic values is of the upmost importance.</w:t>
      </w:r>
      <w:hyperlink w:anchor="_ENREF_250" w:tooltip="Kumar, 2010 #548" w:history="1">
        <w:r w:rsidR="00512D09" w:rsidRPr="00577153">
          <w:rPr>
            <w:color w:val="000000" w:themeColor="text1"/>
          </w:rPr>
          <w:fldChar w:fldCharType="begin"/>
        </w:r>
        <w:r w:rsidR="00512D09">
          <w:rPr>
            <w:color w:val="000000" w:themeColor="text1"/>
          </w:rPr>
          <w:instrText xml:space="preserve"> ADDIN EN.CITE &lt;EndNote&gt;&lt;Cite&gt;&lt;Author&gt;Kumar&lt;/Author&gt;&lt;Year&gt;2010&lt;/Year&gt;&lt;RecNum&gt;548&lt;/RecNum&gt;&lt;DisplayText&gt;&lt;style face="superscript"&gt;250&lt;/style&gt;&lt;/DisplayText&gt;&lt;record&gt;&lt;rec-number&gt;548&lt;/rec-number&gt;&lt;foreign-keys&gt;&lt;key app="EN" db-id="5trrespwzsdr07efd5tx2w96x22re9s0fsdt"&gt;548&lt;/key&gt;&lt;/foreign-keys&gt;&lt;ref-type name="Journal Article"&gt;17&lt;/ref-type&gt;&lt;contributors&gt;&lt;authors&gt;&lt;author&gt;Kumar, Vikas&lt;/author&gt;&lt;author&gt;Sinha, Amit K.&lt;/author&gt;&lt;author&gt;Makkar, Harinder P. S.&lt;/author&gt;&lt;author&gt;Becker, Klaus&lt;/author&gt;&lt;/authors&gt;&lt;/contributors&gt;&lt;titles&gt;&lt;title&gt;Dietary roles of phytate and phytase in human nutrition: A review&lt;/title&gt;&lt;secondary-title&gt;Food Chemistry&lt;/secondary-title&gt;&lt;/titles&gt;&lt;periodical&gt;&lt;full-title&gt;Food Chemistry&lt;/full-title&gt;&lt;/periodical&gt;&lt;pages&gt;945-959&lt;/pages&gt;&lt;volume&gt;120&lt;/volume&gt;&lt;number&gt;4&lt;/number&gt;&lt;keywords&gt;&lt;keyword&gt;Phytate&lt;/keyword&gt;&lt;keyword&gt;Phytase&lt;/keyword&gt;&lt;keyword&gt;Nutrition&lt;/keyword&gt;&lt;keyword&gt;Therapeutic uses&lt;/keyword&gt;&lt;keyword&gt;Human&lt;/keyword&gt;&lt;/keywords&gt;&lt;dates&gt;&lt;year&gt;2010&lt;/year&gt;&lt;/dates&gt;&lt;isbn&gt;0308-8146&lt;/isbn&gt;&lt;urls&gt;&lt;related-urls&gt;&lt;url&gt;http://www.sciencedirect.com/science/article/pii/S0308814609013624&lt;/url&gt;&lt;/related-urls&gt;&lt;/urls&gt;&lt;electronic-resource-num&gt;http://dx.doi.org/10.1016/j.foodchem.2009.11.052&lt;/electronic-resource-num&gt;&lt;/record&gt;&lt;/Cite&gt;&lt;/EndNote&gt;</w:instrText>
        </w:r>
        <w:r w:rsidR="00512D09" w:rsidRPr="00577153">
          <w:rPr>
            <w:color w:val="000000" w:themeColor="text1"/>
          </w:rPr>
          <w:fldChar w:fldCharType="separate"/>
        </w:r>
        <w:r w:rsidR="00512D09" w:rsidRPr="006421D1">
          <w:rPr>
            <w:noProof/>
            <w:color w:val="000000" w:themeColor="text1"/>
            <w:vertAlign w:val="superscript"/>
          </w:rPr>
          <w:t>250</w:t>
        </w:r>
        <w:r w:rsidR="00512D09" w:rsidRPr="00577153">
          <w:rPr>
            <w:color w:val="000000" w:themeColor="text1"/>
          </w:rPr>
          <w:fldChar w:fldCharType="end"/>
        </w:r>
      </w:hyperlink>
      <w:r w:rsidRPr="00577153">
        <w:rPr>
          <w:color w:val="000000" w:themeColor="text1"/>
        </w:rPr>
        <w:t xml:space="preserve"> The binding isotherm showed two stages which is normally interpreted as favourable (positive) cooperative binding of a ligand to a macromolecule.</w:t>
      </w:r>
      <w:r w:rsidR="0075172E" w:rsidRPr="00577153">
        <w:rPr>
          <w:color w:val="000000" w:themeColor="text1"/>
        </w:rPr>
        <w:fldChar w:fldCharType="begin">
          <w:fldData xml:space="preserve">PEVuZE5vdGU+PENpdGU+PEF1dGhvcj5Uw6lsbGV6LVNhbno8L0F1dGhvcj48WWVhcj4yMDA2PC9Z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</w:fldData>
        </w:fldChar>
      </w:r>
      <w:r w:rsidR="006421D1">
        <w:rPr>
          <w:color w:val="000000" w:themeColor="text1"/>
        </w:rPr>
        <w:instrText xml:space="preserve"> ADDIN EN.CITE </w:instrText>
      </w:r>
      <w:r w:rsidR="0075172E">
        <w:rPr>
          <w:color w:val="000000" w:themeColor="text1"/>
        </w:rPr>
        <w:fldChar w:fldCharType="begin">
          <w:fldData xml:space="preserve">PEVuZE5vdGU+PENpdGU+PEF1dGhvcj5Uw6lsbGV6LVNhbno8L0F1dGhvcj48WWVhcj4yMDA2PC9Z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</w:fldData>
        </w:fldChar>
      </w:r>
      <w:r w:rsidR="006421D1">
        <w:rPr>
          <w:color w:val="000000" w:themeColor="text1"/>
        </w:rPr>
        <w:instrText xml:space="preserve"> ADDIN EN.CITE.DATA </w:instrText>
      </w:r>
      <w:r w:rsidR="0075172E">
        <w:rPr>
          <w:color w:val="000000" w:themeColor="text1"/>
        </w:rPr>
      </w:r>
      <w:r w:rsidR="0075172E">
        <w:rPr>
          <w:color w:val="000000" w:themeColor="text1"/>
        </w:rPr>
        <w:fldChar w:fldCharType="end"/>
      </w:r>
      <w:r w:rsidR="0075172E" w:rsidRPr="00577153">
        <w:rPr>
          <w:color w:val="000000" w:themeColor="text1"/>
        </w:rPr>
      </w:r>
      <w:r w:rsidR="0075172E" w:rsidRPr="00577153">
        <w:rPr>
          <w:color w:val="000000" w:themeColor="text1"/>
        </w:rPr>
        <w:fldChar w:fldCharType="separate"/>
      </w:r>
      <w:hyperlink w:anchor="_ENREF_150" w:tooltip="García-Fuentes, 2011 #583" w:history="1">
        <w:r w:rsidR="00512D09" w:rsidRPr="006421D1">
          <w:rPr>
            <w:noProof/>
            <w:color w:val="000000" w:themeColor="text1"/>
            <w:vertAlign w:val="superscript"/>
          </w:rPr>
          <w:t>150</w:t>
        </w:r>
      </w:hyperlink>
      <w:r w:rsidR="006421D1" w:rsidRPr="006421D1">
        <w:rPr>
          <w:noProof/>
          <w:color w:val="000000" w:themeColor="text1"/>
          <w:vertAlign w:val="superscript"/>
        </w:rPr>
        <w:t>,</w:t>
      </w:r>
      <w:hyperlink w:anchor="_ENREF_266" w:tooltip="Muscroft-Taylor, 2010 #597" w:history="1">
        <w:r w:rsidR="00512D09" w:rsidRPr="006421D1">
          <w:rPr>
            <w:noProof/>
            <w:color w:val="000000" w:themeColor="text1"/>
            <w:vertAlign w:val="superscript"/>
          </w:rPr>
          <w:t>266</w:t>
        </w:r>
      </w:hyperlink>
      <w:r w:rsidR="006421D1" w:rsidRPr="006421D1">
        <w:rPr>
          <w:noProof/>
          <w:color w:val="000000" w:themeColor="text1"/>
          <w:vertAlign w:val="superscript"/>
        </w:rPr>
        <w:t>,</w:t>
      </w:r>
      <w:hyperlink w:anchor="_ENREF_286" w:tooltip="Téllez-Sanz, 2006 #582" w:history="1">
        <w:r w:rsidR="00512D09" w:rsidRPr="006421D1">
          <w:rPr>
            <w:noProof/>
            <w:color w:val="000000" w:themeColor="text1"/>
            <w:vertAlign w:val="superscript"/>
          </w:rPr>
          <w:t>286</w:t>
        </w:r>
      </w:hyperlink>
      <w:r w:rsidR="0075172E" w:rsidRPr="00577153">
        <w:rPr>
          <w:color w:val="000000" w:themeColor="text1"/>
        </w:rPr>
        <w:fldChar w:fldCharType="end"/>
      </w:r>
      <w:r w:rsidRPr="00577153">
        <w:rPr>
          <w:color w:val="000000" w:themeColor="text1"/>
        </w:rPr>
        <w:t xml:space="preserve"> However, Nanoparticle Tracking Analysis (NTA) identified small aggregates </w:t>
      </w:r>
      <w:r w:rsidR="006A16F9">
        <w:rPr>
          <w:color w:val="000000" w:themeColor="text1"/>
        </w:rPr>
        <w:t xml:space="preserve">(a large assembly of molecular species) </w:t>
      </w:r>
      <w:r w:rsidRPr="00577153">
        <w:rPr>
          <w:color w:val="000000" w:themeColor="text1"/>
        </w:rPr>
        <w:t xml:space="preserve">at low molar ratios used in the ITC study suggesting </w:t>
      </w:r>
      <w:r w:rsidR="006A16F9">
        <w:rPr>
          <w:color w:val="000000" w:themeColor="text1"/>
        </w:rPr>
        <w:t>a crosslinking</w:t>
      </w:r>
      <w:r w:rsidRPr="00577153">
        <w:rPr>
          <w:color w:val="000000" w:themeColor="text1"/>
        </w:rPr>
        <w:t xml:space="preserve"> event rather than positive cooperative binding.   ITC revealed the interaction to be favourable with an association constant in the micromolar range and favourable contributions from both entropy and enthalpy. The source of the favourable enthalpy was suggested to be due to electrostatic interaction between the phosphate groups on the phytate and positively charged amino acids on the protein. This was supported by performing the titrations at 100 and 300 mM ammonium acetate. At 100 mM </w:t>
      </w:r>
      <w:r w:rsidRPr="00577153">
        <w:rPr>
          <w:color w:val="000000" w:themeColor="text1"/>
        </w:rPr>
        <w:lastRenderedPageBreak/>
        <w:t>the exothermicity and the Gibbs free energy became less favourable. Whilst at 300 mM ammonium acetate the interaction was no longer present.</w:t>
      </w:r>
    </w:p>
    <w:p w:rsidR="00654CAB" w:rsidRPr="00577153" w:rsidRDefault="00654CAB" w:rsidP="00654CAB">
      <w:pPr>
        <w:spacing w:line="480" w:lineRule="auto"/>
        <w:jc w:val="both"/>
        <w:rPr>
          <w:color w:val="000000" w:themeColor="text1"/>
        </w:rPr>
      </w:pPr>
      <w:r w:rsidRPr="00577153">
        <w:rPr>
          <w:color w:val="000000" w:themeColor="text1"/>
        </w:rPr>
        <w:t>The stoichiometry of binding provided evidence of</w:t>
      </w:r>
      <w:r w:rsidR="001F66BF">
        <w:rPr>
          <w:color w:val="000000" w:themeColor="text1"/>
        </w:rPr>
        <w:t xml:space="preserve"> temperature dependent lysozyme-</w:t>
      </w:r>
      <w:r w:rsidRPr="00577153">
        <w:rPr>
          <w:color w:val="000000" w:themeColor="text1"/>
        </w:rPr>
        <w:t>phyate complex formation, being more prevalent at lower temperatures. This has implications for pig and poultry nutrition as the temperature of food and drinking water could affect bioavalibility of proteinaceous nutrients.</w:t>
      </w:r>
    </w:p>
    <w:p w:rsidR="00654CAB" w:rsidRPr="00520760" w:rsidRDefault="00654CAB" w:rsidP="00626B72">
      <w:pPr>
        <w:pStyle w:val="Heading3"/>
        <w:numPr>
          <w:ilvl w:val="2"/>
          <w:numId w:val="10"/>
        </w:numPr>
      </w:pPr>
      <w:bookmarkStart w:id="231" w:name="_Toc459130744"/>
      <w:r w:rsidRPr="00520760">
        <w:t>Future work</w:t>
      </w:r>
      <w:bookmarkEnd w:id="231"/>
    </w:p>
    <w:p w:rsidR="00654CAB" w:rsidRPr="00577153" w:rsidRDefault="00654CAB" w:rsidP="00654CAB">
      <w:pPr>
        <w:spacing w:line="480" w:lineRule="auto"/>
        <w:jc w:val="both"/>
        <w:rPr>
          <w:color w:val="000000" w:themeColor="text1"/>
        </w:rPr>
      </w:pPr>
      <w:r w:rsidRPr="00577153">
        <w:rPr>
          <w:color w:val="000000" w:themeColor="text1"/>
        </w:rPr>
        <w:t xml:space="preserve">Characterising the phytate-lysozyme complexes using the Nanoparticle Tracking Analysis (NTA) software over a wider concentration and temperature range would benefit the mechanistic rationale behind the </w:t>
      </w:r>
      <w:r w:rsidR="00955A82" w:rsidRPr="00577153">
        <w:rPr>
          <w:color w:val="000000" w:themeColor="text1"/>
        </w:rPr>
        <w:t>biphasic</w:t>
      </w:r>
      <w:r w:rsidRPr="00577153">
        <w:rPr>
          <w:color w:val="000000" w:themeColor="text1"/>
        </w:rPr>
        <w:t xml:space="preserve"> </w:t>
      </w:r>
      <w:r w:rsidR="00955A82" w:rsidRPr="00577153">
        <w:rPr>
          <w:color w:val="000000" w:themeColor="text1"/>
        </w:rPr>
        <w:t>phytate</w:t>
      </w:r>
      <w:r w:rsidRPr="00577153">
        <w:rPr>
          <w:color w:val="000000" w:themeColor="text1"/>
        </w:rPr>
        <w:t xml:space="preserve">-lysozyme binding isotherms. A much lower concentration of phytate and lysozyme would have to be used as larger particles may obscure smaller particles leading to poor particle counting. </w:t>
      </w:r>
      <w:r w:rsidR="006A16F9" w:rsidRPr="00577153">
        <w:rPr>
          <w:color w:val="000000" w:themeColor="text1"/>
        </w:rPr>
        <w:t>Therefore,</w:t>
      </w:r>
      <w:r w:rsidRPr="00577153">
        <w:rPr>
          <w:color w:val="000000" w:themeColor="text1"/>
        </w:rPr>
        <w:t xml:space="preserve"> this data will have to be supported by other techniques such as turbidity and zeta potential measurements.</w:t>
      </w:r>
    </w:p>
    <w:p w:rsidR="00654CAB" w:rsidRDefault="00654CAB" w:rsidP="00654CAB">
      <w:pPr>
        <w:spacing w:line="480" w:lineRule="auto"/>
        <w:jc w:val="both"/>
        <w:rPr>
          <w:color w:val="000000" w:themeColor="text1"/>
        </w:rPr>
      </w:pPr>
      <w:r w:rsidRPr="00577153">
        <w:rPr>
          <w:color w:val="000000" w:themeColor="text1"/>
        </w:rPr>
        <w:t>Phytase is an enzyme used to break down phytate into free phosphates and inositol. There has been conflicting evidence regarding the efficacy of this enzyme in the presence of different poultry and pig foodstuffs. This is possibly due to tannins present in the feed interacting with the enzyme and preventing its action. To determine this, ITC experiments could be performed. Tannins could be titrated into the cell containing a solution of phytase. If the tannins bind to the phytase, this could show that phytase-tannin inhibition is responsible. Performing an ITC based enzyme assay could confirm this. In this experiment, a suitable tannin concentration would be present in the buffer of both the ligand and the enzyme. Any change in the enzyme parameters, V</w:t>
      </w:r>
      <w:r w:rsidRPr="00577153">
        <w:rPr>
          <w:color w:val="000000" w:themeColor="text1"/>
          <w:vertAlign w:val="subscript"/>
        </w:rPr>
        <w:t xml:space="preserve">max </w:t>
      </w:r>
      <w:r w:rsidRPr="00577153">
        <w:rPr>
          <w:color w:val="000000" w:themeColor="text1"/>
        </w:rPr>
        <w:t>or K</w:t>
      </w:r>
      <w:r w:rsidRPr="00577153">
        <w:rPr>
          <w:color w:val="000000" w:themeColor="text1"/>
          <w:vertAlign w:val="subscript"/>
        </w:rPr>
        <w:t xml:space="preserve">m </w:t>
      </w:r>
      <w:r w:rsidRPr="00577153">
        <w:rPr>
          <w:color w:val="000000" w:themeColor="text1"/>
        </w:rPr>
        <w:t>can be calculated.</w:t>
      </w:r>
    </w:p>
    <w:p w:rsidR="00AF3E73" w:rsidRPr="00577153" w:rsidRDefault="00AF3E73" w:rsidP="00AF3E73">
      <w:pPr>
        <w:pStyle w:val="Heading2"/>
        <w:numPr>
          <w:ilvl w:val="1"/>
          <w:numId w:val="10"/>
        </w:numPr>
        <w:spacing w:line="480" w:lineRule="auto"/>
        <w:ind w:left="578" w:hanging="578"/>
        <w:rPr>
          <w:shd w:val="clear" w:color="auto" w:fill="FFFFFF"/>
        </w:rPr>
      </w:pPr>
      <w:bookmarkStart w:id="232" w:name="_Toc459130745"/>
      <w:r>
        <w:rPr>
          <w:shd w:val="clear" w:color="auto" w:fill="FFFFFF"/>
        </w:rPr>
        <w:lastRenderedPageBreak/>
        <w:t>A C</w:t>
      </w:r>
      <w:r w:rsidRPr="00577153">
        <w:rPr>
          <w:shd w:val="clear" w:color="auto" w:fill="FFFFFF"/>
        </w:rPr>
        <w:t>ontinuous Isotherma</w:t>
      </w:r>
      <w:r>
        <w:rPr>
          <w:shd w:val="clear" w:color="auto" w:fill="FFFFFF"/>
        </w:rPr>
        <w:t>l Titration Calorimetry (cITC) S</w:t>
      </w:r>
      <w:r w:rsidRPr="00577153">
        <w:rPr>
          <w:shd w:val="clear" w:color="auto" w:fill="FFFFFF"/>
        </w:rPr>
        <w:t>t</w:t>
      </w:r>
      <w:r>
        <w:rPr>
          <w:shd w:val="clear" w:color="auto" w:fill="FFFFFF"/>
        </w:rPr>
        <w:t>udy of the Interaction between Phytate and L</w:t>
      </w:r>
      <w:r w:rsidRPr="00577153">
        <w:rPr>
          <w:shd w:val="clear" w:color="auto" w:fill="FFFFFF"/>
        </w:rPr>
        <w:t>ysozyme</w:t>
      </w:r>
      <w:bookmarkEnd w:id="232"/>
    </w:p>
    <w:p w:rsidR="00AF3E73" w:rsidRDefault="00AF3E73" w:rsidP="00AF3E73">
      <w:pPr>
        <w:spacing w:line="480" w:lineRule="auto"/>
        <w:jc w:val="both"/>
        <w:rPr>
          <w:rFonts w:cs="Arial"/>
          <w:bCs/>
          <w:color w:val="000000" w:themeColor="text1"/>
          <w:shd w:val="clear" w:color="auto" w:fill="FFFFFF"/>
        </w:rPr>
      </w:pPr>
      <w:r w:rsidRPr="00577153">
        <w:rPr>
          <w:rFonts w:cs="Arial"/>
          <w:bCs/>
          <w:color w:val="000000" w:themeColor="text1"/>
          <w:shd w:val="clear" w:color="auto" w:fill="FFFFFF"/>
        </w:rPr>
        <w:t xml:space="preserve">Previous ITC studies have shown that the interaction between phytate and lysozyme is biphasic. The early molar ratios (below 1) show evidence of a crosslinking interaction with an increase in </w:t>
      </w:r>
      <w:r w:rsidR="005A26BB" w:rsidRPr="00577153">
        <w:rPr>
          <w:rFonts w:cs="Arial"/>
          <w:bCs/>
          <w:color w:val="000000" w:themeColor="text1"/>
          <w:shd w:val="clear" w:color="auto" w:fill="FFFFFF"/>
        </w:rPr>
        <w:t>exothermicity</w:t>
      </w:r>
      <w:r w:rsidRPr="00577153">
        <w:rPr>
          <w:rFonts w:cs="Arial"/>
          <w:bCs/>
          <w:color w:val="000000" w:themeColor="text1"/>
          <w:shd w:val="clear" w:color="auto" w:fill="FFFFFF"/>
        </w:rPr>
        <w:t xml:space="preserve"> with each injection, whilst at higher molar ratios (above 2), the interaction becomes decreasingly less exothermic which was attributed extensive crosslinking of large lysozyme-phytate complexes. The binding thermodynamics estimated from the first stage are erroneous due to the non-sigmoidal nature of the curve. In addition to this, the binding thermodynamics from the second stage may be an average of a series of binding events rather an interaction with the same energetics.  Continuous isothermal titration calorimetry (cITC) is a technique based on a continuous slow injection of titrant into the cell providing data points in the order of a 1000. The large number of data points means this technique is more suitable for accurately determining the binding thermodynamics of multisite interactions. The binding isotherms for sodium phytate and lysozyme at 40</w:t>
      </w:r>
      <w:r w:rsidR="006F2757">
        <w:rPr>
          <w:rFonts w:cs="Arial"/>
          <w:bCs/>
          <w:color w:val="000000" w:themeColor="text1"/>
          <w:shd w:val="clear" w:color="auto" w:fill="FFFFFF"/>
        </w:rPr>
        <w:t xml:space="preserve"> </w:t>
      </w:r>
      <w:r w:rsidRPr="00577153">
        <w:rPr>
          <w:rFonts w:cs="Arial"/>
          <w:bCs/>
          <w:color w:val="000000" w:themeColor="text1"/>
          <w:shd w:val="clear" w:color="auto" w:fill="FFFFFF"/>
        </w:rPr>
        <w:t xml:space="preserve">°C were similar in shape to the incremental ITC (iITC), but the cITC binding isotherms were noisy most likely due to the crosslinking event occurring throughout the titration. The cITC binding isotherms for </w:t>
      </w:r>
      <w:r>
        <w:rPr>
          <w:rFonts w:cs="Arial"/>
          <w:bCs/>
          <w:color w:val="000000" w:themeColor="text1"/>
          <w:shd w:val="clear" w:color="auto" w:fill="FFFFFF"/>
        </w:rPr>
        <w:t>sodium</w:t>
      </w:r>
      <w:r w:rsidRPr="00577153">
        <w:rPr>
          <w:rFonts w:cs="Arial"/>
          <w:bCs/>
          <w:color w:val="000000" w:themeColor="text1"/>
          <w:shd w:val="clear" w:color="auto" w:fill="FFFFFF"/>
        </w:rPr>
        <w:t xml:space="preserve"> phytate and lysozyme at 25 °C </w:t>
      </w:r>
      <w:r>
        <w:rPr>
          <w:rFonts w:cs="Arial"/>
          <w:bCs/>
          <w:color w:val="000000" w:themeColor="text1"/>
          <w:shd w:val="clear" w:color="auto" w:fill="FFFFFF"/>
        </w:rPr>
        <w:t xml:space="preserve">showed that positive cooperativity was not occurring. </w:t>
      </w:r>
    </w:p>
    <w:p w:rsidR="00AF3E73" w:rsidRPr="00577153" w:rsidRDefault="00AF3E73" w:rsidP="00AF3E73">
      <w:pPr>
        <w:spacing w:line="480" w:lineRule="auto"/>
        <w:jc w:val="both"/>
        <w:rPr>
          <w:rFonts w:ascii="Arial" w:hAnsi="Arial" w:cs="Arial"/>
          <w:color w:val="000000" w:themeColor="text1"/>
          <w:sz w:val="14"/>
          <w:szCs w:val="14"/>
          <w:shd w:val="clear" w:color="auto" w:fill="FFFFFF"/>
        </w:rPr>
      </w:pPr>
      <w:r>
        <w:rPr>
          <w:rFonts w:cs="Arial"/>
          <w:bCs/>
          <w:color w:val="000000" w:themeColor="text1"/>
          <w:shd w:val="clear" w:color="auto" w:fill="FFFFFF"/>
        </w:rPr>
        <w:t>The potassium phytate-lysozyme interaction</w:t>
      </w:r>
      <w:r w:rsidRPr="00577153">
        <w:rPr>
          <w:rFonts w:cs="Arial"/>
          <w:bCs/>
          <w:color w:val="000000" w:themeColor="text1"/>
          <w:shd w:val="clear" w:color="auto" w:fill="FFFFFF"/>
        </w:rPr>
        <w:t xml:space="preserve"> for both </w:t>
      </w:r>
      <w:r>
        <w:rPr>
          <w:rFonts w:cs="Arial"/>
          <w:bCs/>
          <w:color w:val="000000" w:themeColor="text1"/>
          <w:shd w:val="clear" w:color="auto" w:fill="FFFFFF"/>
        </w:rPr>
        <w:t>ciTC and iITC</w:t>
      </w:r>
      <w:r w:rsidRPr="00577153">
        <w:rPr>
          <w:rFonts w:cs="Arial"/>
          <w:bCs/>
          <w:color w:val="000000" w:themeColor="text1"/>
          <w:shd w:val="clear" w:color="auto" w:fill="FFFFFF"/>
        </w:rPr>
        <w:t xml:space="preserve"> at 10</w:t>
      </w:r>
      <w:r w:rsidR="006F2757">
        <w:rPr>
          <w:rFonts w:cs="Arial"/>
          <w:bCs/>
          <w:color w:val="000000" w:themeColor="text1"/>
          <w:shd w:val="clear" w:color="auto" w:fill="FFFFFF"/>
        </w:rPr>
        <w:t xml:space="preserve"> </w:t>
      </w:r>
      <w:r w:rsidRPr="00577153">
        <w:rPr>
          <w:rFonts w:cs="Arial"/>
          <w:bCs/>
          <w:color w:val="000000" w:themeColor="text1"/>
          <w:shd w:val="clear" w:color="auto" w:fill="FFFFFF"/>
        </w:rPr>
        <w:t xml:space="preserve">°C provided different binding isotherms. The cITC binding isotherm showed evidence of another molecular event at 2 molar ratios which was not apparent form iITC binding isotherm. It was concluded this was a change in the crosslinking phenomena.  </w:t>
      </w:r>
    </w:p>
    <w:p w:rsidR="00AF3E73" w:rsidRPr="00577153" w:rsidRDefault="00AF3E73" w:rsidP="00AF3E73">
      <w:pPr>
        <w:pStyle w:val="Heading3"/>
        <w:numPr>
          <w:ilvl w:val="2"/>
          <w:numId w:val="10"/>
        </w:numPr>
      </w:pPr>
      <w:bookmarkStart w:id="233" w:name="_Toc459130746"/>
      <w:r>
        <w:t>Future W</w:t>
      </w:r>
      <w:r w:rsidRPr="00577153">
        <w:t>ork</w:t>
      </w:r>
      <w:bookmarkEnd w:id="233"/>
    </w:p>
    <w:p w:rsidR="006A16F9" w:rsidRDefault="00AF3E73" w:rsidP="006A16F9">
      <w:pPr>
        <w:spacing w:line="480" w:lineRule="auto"/>
        <w:jc w:val="both"/>
        <w:rPr>
          <w:color w:val="000000" w:themeColor="text1"/>
        </w:rPr>
      </w:pPr>
      <w:r w:rsidRPr="00577153">
        <w:rPr>
          <w:color w:val="000000" w:themeColor="text1"/>
        </w:rPr>
        <w:t xml:space="preserve">The main issue with the cITC studies was trying to obtain thermodynamic information from binding isotherms that were noisy. </w:t>
      </w:r>
      <w:r w:rsidR="006A16F9" w:rsidRPr="00577153">
        <w:rPr>
          <w:color w:val="000000" w:themeColor="text1"/>
        </w:rPr>
        <w:t xml:space="preserve">It is possible that altering the experimental conditions </w:t>
      </w:r>
      <w:r w:rsidR="006A16F9" w:rsidRPr="00577153">
        <w:rPr>
          <w:color w:val="000000" w:themeColor="text1"/>
        </w:rPr>
        <w:lastRenderedPageBreak/>
        <w:t xml:space="preserve">such as RPM, reducing the protein concentration or longer titration times </w:t>
      </w:r>
      <w:r w:rsidR="006A16F9">
        <w:rPr>
          <w:color w:val="000000" w:themeColor="text1"/>
        </w:rPr>
        <w:t xml:space="preserve">may assist </w:t>
      </w:r>
      <w:r w:rsidRPr="00577153">
        <w:rPr>
          <w:color w:val="000000" w:themeColor="text1"/>
        </w:rPr>
        <w:t xml:space="preserve">in producing binding isotherms with less noise. </w:t>
      </w:r>
    </w:p>
    <w:p w:rsidR="00654CAB" w:rsidRPr="00577153" w:rsidRDefault="00137F62" w:rsidP="006A16F9">
      <w:pPr>
        <w:pStyle w:val="Heading3"/>
        <w:rPr>
          <w:iCs/>
        </w:rPr>
      </w:pPr>
      <w:bookmarkStart w:id="234" w:name="_Toc459130747"/>
      <w:r>
        <w:t>Determining the Specificity of Phytate-Protein I</w:t>
      </w:r>
      <w:r w:rsidR="00654CAB" w:rsidRPr="00577153">
        <w:t>nteractions</w:t>
      </w:r>
      <w:bookmarkEnd w:id="234"/>
    </w:p>
    <w:p w:rsidR="00654CAB" w:rsidRPr="00577153" w:rsidRDefault="00654CAB" w:rsidP="00654CAB">
      <w:pPr>
        <w:spacing w:line="480" w:lineRule="auto"/>
        <w:jc w:val="both"/>
        <w:rPr>
          <w:rFonts w:cs="Arial"/>
          <w:bCs/>
          <w:color w:val="000000" w:themeColor="text1"/>
          <w:shd w:val="clear" w:color="auto" w:fill="FFFFFF"/>
        </w:rPr>
      </w:pPr>
      <w:r w:rsidRPr="00577153">
        <w:rPr>
          <w:color w:val="000000" w:themeColor="text1"/>
        </w:rPr>
        <w:t>Phytate is ubiquitous in nature.</w:t>
      </w:r>
      <w:hyperlink w:anchor="_ENREF_254" w:tooltip="Irvine, 2001 #645" w:history="1">
        <w:r w:rsidR="00512D09" w:rsidRPr="00577153">
          <w:rPr>
            <w:color w:val="000000" w:themeColor="text1"/>
          </w:rPr>
          <w:fldChar w:fldCharType="begin"/>
        </w:r>
        <w:r w:rsidR="00512D09">
          <w:rPr>
            <w:color w:val="000000" w:themeColor="text1"/>
          </w:rPr>
          <w:instrText xml:space="preserve"> ADDIN EN.CITE &lt;EndNote&gt;&lt;Cite&gt;&lt;Author&gt;Irvine&lt;/Author&gt;&lt;Year&gt;2001&lt;/Year&gt;&lt;RecNum&gt;645&lt;/RecNum&gt;&lt;DisplayText&gt;&lt;style face="superscript"&gt;254&lt;/style&gt;&lt;/DisplayText&gt;&lt;record&gt;&lt;rec-number&gt;645&lt;/rec-number&gt;&lt;foreign-keys&gt;&lt;key app="EN" db-id="5trrespwzsdr07efd5tx2w96x22re9s0fsdt"&gt;645&lt;/key&gt;&lt;/foreign-keys&gt;&lt;ref-type name="Journal Article"&gt;17&lt;/ref-type&gt;&lt;contributors&gt;&lt;authors&gt;&lt;author&gt;Irvine, Robin F.&lt;/author&gt;&lt;author&gt;Schell, Michael J.&lt;/author&gt;&lt;/authors&gt;&lt;/contributors&gt;&lt;titles&gt;&lt;title&gt;Back in the water: the return of the inositol phosphates&lt;/title&gt;&lt;secondary-title&gt;Nature Reviews Molecular Cell Biology&lt;/secondary-title&gt;&lt;/titles&gt;&lt;periodical&gt;&lt;full-title&gt;Nature Reviews Molecular Cell Biology&lt;/full-title&gt;&lt;/periodical&gt;&lt;pages&gt;327-338&lt;/pages&gt;&lt;volume&gt;2&lt;/volume&gt;&lt;number&gt;5&lt;/number&gt;&lt;dates&gt;&lt;year&gt;2001&lt;/year&gt;&lt;/dates&gt;&lt;publisher&gt;Nature Publishing Group&lt;/publisher&gt;&lt;isbn&gt;1471-0072&lt;/isbn&gt;&lt;work-type&gt;10.1038/35073015&lt;/work-type&gt;&lt;urls&gt;&lt;related-urls&gt;&lt;url&gt;http://dx.doi.org/10.1038/35073015&lt;/url&gt;&lt;/related-urls&gt;&lt;/urls&gt;&lt;/record&gt;&lt;/Cite&gt;&lt;/EndNote&gt;</w:instrText>
        </w:r>
        <w:r w:rsidR="00512D09" w:rsidRPr="00577153">
          <w:rPr>
            <w:color w:val="000000" w:themeColor="text1"/>
          </w:rPr>
          <w:fldChar w:fldCharType="separate"/>
        </w:r>
        <w:r w:rsidR="00512D09" w:rsidRPr="006421D1">
          <w:rPr>
            <w:noProof/>
            <w:color w:val="000000" w:themeColor="text1"/>
            <w:vertAlign w:val="superscript"/>
          </w:rPr>
          <w:t>254</w:t>
        </w:r>
        <w:r w:rsidR="00512D09" w:rsidRPr="00577153">
          <w:rPr>
            <w:color w:val="000000" w:themeColor="text1"/>
          </w:rPr>
          <w:fldChar w:fldCharType="end"/>
        </w:r>
      </w:hyperlink>
      <w:r w:rsidRPr="00577153">
        <w:rPr>
          <w:color w:val="000000" w:themeColor="text1"/>
        </w:rPr>
        <w:t xml:space="preserve"> It is known as a phosphate storage in plants as well as a functioning antioxidant.</w:t>
      </w:r>
      <w:hyperlink w:anchor="_ENREF_331" w:tooltip="Graf, 1987 #698" w:history="1">
        <w:r w:rsidR="00512D09" w:rsidRPr="00577153">
          <w:rPr>
            <w:color w:val="000000" w:themeColor="text1"/>
          </w:rPr>
          <w:fldChar w:fldCharType="begin"/>
        </w:r>
        <w:r w:rsidR="00512D09">
          <w:rPr>
            <w:color w:val="000000" w:themeColor="text1"/>
          </w:rPr>
          <w:instrText xml:space="preserve"> ADDIN EN.CITE &lt;EndNote&gt;&lt;Cite&gt;&lt;Author&gt;Graf&lt;/Author&gt;&lt;Year&gt;1987&lt;/Year&gt;&lt;RecNum&gt;698&lt;/RecNum&gt;&lt;DisplayText&gt;&lt;style face="superscript"&gt;331&lt;/style&gt;&lt;/DisplayText&gt;&lt;record&gt;&lt;rec-number&gt;698&lt;/rec-number&gt;&lt;foreign-keys&gt;&lt;key app="EN" db-id="5trrespwzsdr07efd5tx2w96x22re9s0fsdt"&gt;698&lt;/key&gt;&lt;/foreign-keys&gt;&lt;ref-type name="Journal Article"&gt;17&lt;/ref-type&gt;&lt;contributors&gt;&lt;authors&gt;&lt;author&gt;Graf, Ernst&lt;/author&gt;&lt;author&gt;Empson, Katherine L&lt;/author&gt;&lt;author&gt;Eaton, John W&lt;/author&gt;&lt;/authors&gt;&lt;/contributors&gt;&lt;titles&gt;&lt;title&gt;Phytic acid. A natural antioxidant&lt;/title&gt;&lt;secondary-title&gt;Journal of Biological Chemistry&lt;/secondary-title&gt;&lt;/titles&gt;&lt;periodical&gt;&lt;full-title&gt;Journal of Biological Chemistry&lt;/full-title&gt;&lt;/periodical&gt;&lt;pages&gt;11647-11650&lt;/pages&gt;&lt;volume&gt;262&lt;/volume&gt;&lt;number&gt;24&lt;/number&gt;&lt;dates&gt;&lt;year&gt;1987&lt;/year&gt;&lt;/dates&gt;&lt;isbn&gt;0021-9258&lt;/isbn&gt;&lt;urls&gt;&lt;/urls&gt;&lt;/record&gt;&lt;/Cite&gt;&lt;/EndNote&gt;</w:instrText>
        </w:r>
        <w:r w:rsidR="00512D09" w:rsidRPr="00577153">
          <w:rPr>
            <w:color w:val="000000" w:themeColor="text1"/>
          </w:rPr>
          <w:fldChar w:fldCharType="separate"/>
        </w:r>
        <w:r w:rsidR="00512D09" w:rsidRPr="0057696F">
          <w:rPr>
            <w:noProof/>
            <w:color w:val="000000" w:themeColor="text1"/>
            <w:vertAlign w:val="superscript"/>
          </w:rPr>
          <w:t>331</w:t>
        </w:r>
        <w:r w:rsidR="00512D09" w:rsidRPr="00577153">
          <w:rPr>
            <w:color w:val="000000" w:themeColor="text1"/>
          </w:rPr>
          <w:fldChar w:fldCharType="end"/>
        </w:r>
      </w:hyperlink>
      <w:r w:rsidRPr="00577153">
        <w:rPr>
          <w:color w:val="000000" w:themeColor="text1"/>
        </w:rPr>
        <w:t xml:space="preserve"> In mammalian cells, phytate is known to have a cell signalling role and involved in transcription.</w:t>
      </w:r>
      <w:hyperlink w:anchor="_ENREF_254" w:tooltip="Irvine, 2001 #645" w:history="1">
        <w:r w:rsidR="00512D09" w:rsidRPr="00577153">
          <w:rPr>
            <w:color w:val="000000" w:themeColor="text1"/>
          </w:rPr>
          <w:fldChar w:fldCharType="begin"/>
        </w:r>
        <w:r w:rsidR="00512D09">
          <w:rPr>
            <w:color w:val="000000" w:themeColor="text1"/>
          </w:rPr>
          <w:instrText xml:space="preserve"> ADDIN EN.CITE &lt;EndNote&gt;&lt;Cite&gt;&lt;Author&gt;Irvine&lt;/Author&gt;&lt;Year&gt;2001&lt;/Year&gt;&lt;RecNum&gt;645&lt;/RecNum&gt;&lt;DisplayText&gt;&lt;style face="superscript"&gt;254&lt;/style&gt;&lt;/DisplayText&gt;&lt;record&gt;&lt;rec-number&gt;645&lt;/rec-number&gt;&lt;foreign-keys&gt;&lt;key app="EN" db-id="5trrespwzsdr07efd5tx2w96x22re9s0fsdt"&gt;645&lt;/key&gt;&lt;/foreign-keys&gt;&lt;ref-type name="Journal Article"&gt;17&lt;/ref-type&gt;&lt;contributors&gt;&lt;authors&gt;&lt;author&gt;Irvine, Robin F.&lt;/author&gt;&lt;author&gt;Schell, Michael J.&lt;/author&gt;&lt;/authors&gt;&lt;/contributors&gt;&lt;titles&gt;&lt;title&gt;Back in the water: the return of the inositol phosphates&lt;/title&gt;&lt;secondary-title&gt;Nature Reviews Molecular Cell Biology&lt;/secondary-title&gt;&lt;/titles&gt;&lt;periodical&gt;&lt;full-title&gt;Nature Reviews Molecular Cell Biology&lt;/full-title&gt;&lt;/periodical&gt;&lt;pages&gt;327-338&lt;/pages&gt;&lt;volume&gt;2&lt;/volume&gt;&lt;number&gt;5&lt;/number&gt;&lt;dates&gt;&lt;year&gt;2001&lt;/year&gt;&lt;/dates&gt;&lt;publisher&gt;Nature Publishing Group&lt;/publisher&gt;&lt;isbn&gt;1471-0072&lt;/isbn&gt;&lt;work-type&gt;10.1038/35073015&lt;/work-type&gt;&lt;urls&gt;&lt;related-urls&gt;&lt;url&gt;http://dx.doi.org/10.1038/35073015&lt;/url&gt;&lt;/related-urls&gt;&lt;/urls&gt;&lt;/record&gt;&lt;/Cite&gt;&lt;/EndNote&gt;</w:instrText>
        </w:r>
        <w:r w:rsidR="00512D09" w:rsidRPr="00577153">
          <w:rPr>
            <w:color w:val="000000" w:themeColor="text1"/>
          </w:rPr>
          <w:fldChar w:fldCharType="separate"/>
        </w:r>
        <w:r w:rsidR="00512D09" w:rsidRPr="006421D1">
          <w:rPr>
            <w:noProof/>
            <w:color w:val="000000" w:themeColor="text1"/>
            <w:vertAlign w:val="superscript"/>
          </w:rPr>
          <w:t>254</w:t>
        </w:r>
        <w:r w:rsidR="00512D09" w:rsidRPr="00577153">
          <w:rPr>
            <w:color w:val="000000" w:themeColor="text1"/>
          </w:rPr>
          <w:fldChar w:fldCharType="end"/>
        </w:r>
      </w:hyperlink>
      <w:r w:rsidRPr="00577153">
        <w:rPr>
          <w:color w:val="000000" w:themeColor="text1"/>
        </w:rPr>
        <w:t xml:space="preserve"> In the case of RNA maturation, the enzymes responsible are tethered by phytate allowing them to catalyse the removal of proteins from mRNA.</w:t>
      </w:r>
      <w:r w:rsidR="0075172E" w:rsidRPr="00577153">
        <w:rPr>
          <w:color w:val="000000" w:themeColor="text1"/>
        </w:rPr>
        <w:fldChar w:fldCharType="begin">
          <w:fldData xml:space="preserve">PEVuZE5vdGU+PENpdGU+PEF1dGhvcj5XZWlyaWNoPC9BdXRob3I+PFllYXI+MjAwNjwvWWVhcj48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</w:fldData>
        </w:fldChar>
      </w:r>
      <w:r w:rsidR="0057696F">
        <w:rPr>
          <w:color w:val="000000" w:themeColor="text1"/>
        </w:rPr>
        <w:instrText xml:space="preserve"> ADDIN EN.CITE </w:instrText>
      </w:r>
      <w:r w:rsidR="0075172E">
        <w:rPr>
          <w:color w:val="000000" w:themeColor="text1"/>
        </w:rPr>
        <w:fldChar w:fldCharType="begin">
          <w:fldData xml:space="preserve">PEVuZE5vdGU+PENpdGU+PEF1dGhvcj5XZWlyaWNoPC9BdXRob3I+PFllYXI+MjAwNjwvWWVhcj48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</w:fldData>
        </w:fldChar>
      </w:r>
      <w:r w:rsidR="0057696F">
        <w:rPr>
          <w:color w:val="000000" w:themeColor="text1"/>
        </w:rPr>
        <w:instrText xml:space="preserve"> ADDIN EN.CITE.DATA </w:instrText>
      </w:r>
      <w:r w:rsidR="0075172E">
        <w:rPr>
          <w:color w:val="000000" w:themeColor="text1"/>
        </w:rPr>
      </w:r>
      <w:r w:rsidR="0075172E">
        <w:rPr>
          <w:color w:val="000000" w:themeColor="text1"/>
        </w:rPr>
        <w:fldChar w:fldCharType="end"/>
      </w:r>
      <w:r w:rsidR="0075172E" w:rsidRPr="00577153">
        <w:rPr>
          <w:color w:val="000000" w:themeColor="text1"/>
        </w:rPr>
      </w:r>
      <w:r w:rsidR="0075172E" w:rsidRPr="00577153">
        <w:rPr>
          <w:color w:val="000000" w:themeColor="text1"/>
        </w:rPr>
        <w:fldChar w:fldCharType="separate"/>
      </w:r>
      <w:hyperlink w:anchor="_ENREF_318" w:tooltip="Alcazar-Roman, 2006 #655" w:history="1">
        <w:r w:rsidR="00512D09" w:rsidRPr="0057696F">
          <w:rPr>
            <w:noProof/>
            <w:color w:val="000000" w:themeColor="text1"/>
            <w:vertAlign w:val="superscript"/>
          </w:rPr>
          <w:t>318</w:t>
        </w:r>
      </w:hyperlink>
      <w:r w:rsidR="0057696F" w:rsidRPr="0057696F">
        <w:rPr>
          <w:noProof/>
          <w:color w:val="000000" w:themeColor="text1"/>
          <w:vertAlign w:val="superscript"/>
        </w:rPr>
        <w:t>,</w:t>
      </w:r>
      <w:hyperlink w:anchor="_ENREF_332" w:tooltip="Weirich, 2006 #668" w:history="1">
        <w:r w:rsidR="00512D09" w:rsidRPr="0057696F">
          <w:rPr>
            <w:noProof/>
            <w:color w:val="000000" w:themeColor="text1"/>
            <w:vertAlign w:val="superscript"/>
          </w:rPr>
          <w:t>332</w:t>
        </w:r>
      </w:hyperlink>
      <w:r w:rsidR="0075172E" w:rsidRPr="00577153">
        <w:rPr>
          <w:color w:val="000000" w:themeColor="text1"/>
        </w:rPr>
        <w:fldChar w:fldCharType="end"/>
      </w:r>
      <w:r w:rsidRPr="00577153">
        <w:rPr>
          <w:color w:val="000000" w:themeColor="text1"/>
        </w:rPr>
        <w:t xml:space="preserve"> Phytate binding to these enzymes is normally specific and involves a recognition motif on the enzymes.</w:t>
      </w:r>
      <w:r w:rsidR="0075172E" w:rsidRPr="00577153">
        <w:rPr>
          <w:color w:val="000000" w:themeColor="text1"/>
        </w:rPr>
        <w:fldChar w:fldCharType="begin">
          <w:fldData xml:space="preserve">PEVuZE5vdGU+PENpdGU+PEF1dGhvcj5BbGNhemFyLVJvbWFuPC9BdXRob3I+PFllYXI+MjAwNjwv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</w:fldData>
        </w:fldChar>
      </w:r>
      <w:r w:rsidR="0057696F">
        <w:rPr>
          <w:color w:val="000000" w:themeColor="text1"/>
        </w:rPr>
        <w:instrText xml:space="preserve"> ADDIN EN.CITE </w:instrText>
      </w:r>
      <w:r w:rsidR="0075172E">
        <w:rPr>
          <w:color w:val="000000" w:themeColor="text1"/>
        </w:rPr>
        <w:fldChar w:fldCharType="begin">
          <w:fldData xml:space="preserve">PEVuZE5vdGU+PENpdGU+PEF1dGhvcj5BbGNhemFyLVJvbWFuPC9BdXRob3I+PFllYXI+MjAwNjwv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</w:fldData>
        </w:fldChar>
      </w:r>
      <w:r w:rsidR="0057696F">
        <w:rPr>
          <w:color w:val="000000" w:themeColor="text1"/>
        </w:rPr>
        <w:instrText xml:space="preserve"> ADDIN EN.CITE.DATA </w:instrText>
      </w:r>
      <w:r w:rsidR="0075172E">
        <w:rPr>
          <w:color w:val="000000" w:themeColor="text1"/>
        </w:rPr>
      </w:r>
      <w:r w:rsidR="0075172E">
        <w:rPr>
          <w:color w:val="000000" w:themeColor="text1"/>
        </w:rPr>
        <w:fldChar w:fldCharType="end"/>
      </w:r>
      <w:r w:rsidR="0075172E" w:rsidRPr="00577153">
        <w:rPr>
          <w:color w:val="000000" w:themeColor="text1"/>
        </w:rPr>
      </w:r>
      <w:r w:rsidR="0075172E" w:rsidRPr="00577153">
        <w:rPr>
          <w:color w:val="000000" w:themeColor="text1"/>
        </w:rPr>
        <w:fldChar w:fldCharType="separate"/>
      </w:r>
      <w:hyperlink w:anchor="_ENREF_318" w:tooltip="Alcazar-Roman, 2006 #655" w:history="1">
        <w:r w:rsidR="00512D09" w:rsidRPr="0057696F">
          <w:rPr>
            <w:noProof/>
            <w:color w:val="000000" w:themeColor="text1"/>
            <w:vertAlign w:val="superscript"/>
          </w:rPr>
          <w:t>318</w:t>
        </w:r>
      </w:hyperlink>
      <w:r w:rsidR="0057696F" w:rsidRPr="0057696F">
        <w:rPr>
          <w:noProof/>
          <w:color w:val="000000" w:themeColor="text1"/>
          <w:vertAlign w:val="superscript"/>
        </w:rPr>
        <w:t>,</w:t>
      </w:r>
      <w:hyperlink w:anchor="_ENREF_332" w:tooltip="Weirich, 2006 #668" w:history="1">
        <w:r w:rsidR="00512D09" w:rsidRPr="0057696F">
          <w:rPr>
            <w:noProof/>
            <w:color w:val="000000" w:themeColor="text1"/>
            <w:vertAlign w:val="superscript"/>
          </w:rPr>
          <w:t>332</w:t>
        </w:r>
      </w:hyperlink>
      <w:r w:rsidR="0075172E" w:rsidRPr="00577153">
        <w:rPr>
          <w:color w:val="000000" w:themeColor="text1"/>
        </w:rPr>
        <w:fldChar w:fldCharType="end"/>
      </w:r>
      <w:r w:rsidRPr="00577153">
        <w:rPr>
          <w:color w:val="000000" w:themeColor="text1"/>
        </w:rPr>
        <w:t xml:space="preserve"> In the case of phytate binding to exogenous proteins such as lysozyme, the interaction is termed non-specific. Non-specific binding normally depends on the charge or hydrophobicity of the ligand – it does not depend on the structures of the two binding partners.  Albumins are major transporters of negatively charged organic compounds and mineral ions in the blood.</w:t>
      </w:r>
      <w:r w:rsidR="0075172E" w:rsidRPr="00577153">
        <w:rPr>
          <w:color w:val="000000" w:themeColor="text1"/>
        </w:rPr>
        <w:fldChar w:fldCharType="begin"/>
      </w:r>
      <w:r w:rsidR="006421D1">
        <w:rPr>
          <w:color w:val="000000" w:themeColor="text1"/>
        </w:rPr>
        <w:instrText xml:space="preserve"> ADDIN EN.CITE &lt;EndNote&gt;&lt;Cite&gt;&lt;Author&gt;Bujacz&lt;/Author&gt;&lt;Year&gt;2012&lt;/Year&gt;&lt;RecNum&gt;494&lt;/RecNum&gt;&lt;DisplayText&gt;&lt;style face="superscript"&gt;177,183&lt;/style&gt;&lt;/DisplayText&gt;&lt;record&gt;&lt;rec-number&gt;494&lt;/rec-number&gt;&lt;foreign-keys&gt;&lt;key app="EN" db-id="5trrespwzsdr07efd5tx2w96x22re9s0fsdt"&gt;494&lt;/key&gt;&lt;/foreign-keys&gt;&lt;ref-type name="Journal Article"&gt;17&lt;/ref-type&gt;&lt;contributors&gt;&lt;authors&gt;&lt;author&gt;Bujacz, Anna&lt;/author&gt;&lt;/authors&gt;&lt;/contributors&gt;&lt;titles&gt;&lt;title&gt;Structures of bovine, equine and leporine serum albumin&lt;/title&gt;&lt;secondary-title&gt;Acta Crystallographica Section D: Biological Crystallography&lt;/secondary-title&gt;&lt;/titles&gt;&lt;periodical&gt;&lt;full-title&gt;Acta Crystallographica Section D: Biological Crystallography&lt;/full-title&gt;&lt;/periodical&gt;&lt;pages&gt;1278-1289&lt;/pages&gt;&lt;volume&gt;68&lt;/volume&gt;&lt;number&gt;10&lt;/number&gt;&lt;dates&gt;&lt;year&gt;2012&lt;/year&gt;&lt;/dates&gt;&lt;isbn&gt;0907-4449&lt;/isbn&gt;&lt;urls&gt;&lt;/urls&gt;&lt;/record&gt;&lt;/Cite&gt;&lt;Cite&gt;&lt;Author&gt;Sulkowska&lt;/Author&gt;&lt;Year&gt;2002&lt;/Year&gt;&lt;RecNum&gt;207&lt;/RecNum&gt;&lt;record&gt;&lt;rec-number&gt;207&lt;/rec-number&gt;&lt;foreign-keys&gt;&lt;key app="EN" db-id="5trrespwzsdr07efd5tx2w96x22re9s0fsdt"&gt;207&lt;/key&gt;&lt;/foreign-keys&gt;&lt;ref-type name="Journal Article"&gt;17&lt;/ref-type&gt;&lt;contributors&gt;&lt;authors&gt;&lt;author&gt;Sulkowska, A.&lt;/author&gt;&lt;/authors&gt;&lt;/contributors&gt;&lt;titles&gt;&lt;title&gt;Interaction of drugs with bovine and human serum albumin&lt;/title&gt;&lt;secondary-title&gt;Journal of Molecular Structure&lt;/secondary-title&gt;&lt;/titles&gt;&lt;periodical&gt;&lt;full-title&gt;Journal of Molecular Structure&lt;/full-title&gt;&lt;/periodical&gt;&lt;pages&gt;227-232&lt;/pages&gt;&lt;volume&gt;614&lt;/volume&gt;&lt;number&gt;1&lt;/number&gt;&lt;keywords&gt;&lt;keyword&gt;Pyrimidine derivatives&lt;/keyword&gt;&lt;keyword&gt;Serum albumin-drug interactions&lt;/keyword&gt;&lt;keyword&gt;Fluorescence spectroscopy&lt;/keyword&gt;&lt;keyword&gt;Human serum albumin and bovine serum albumin bindi&lt;/keyword&gt;&lt;/keywords&gt;&lt;dates&gt;&lt;year&gt;2002&lt;/year&gt;&lt;/dates&gt;&lt;urls&gt;&lt;related-urls&gt;&lt;url&gt;http://www.ingentaconnect.com/content/els/00222860/2002/00000614/00000001/art00256&lt;/url&gt;&lt;url&gt;http://dx.doi.org/10.1016/S0022-2860(02)00256-9&lt;/url&gt;&lt;/related-urls&gt;&lt;/urls&gt;&lt;electronic-resource-num&gt;10.1016/s0022-2860(02)00256-9&lt;/electronic-resource-num&gt;&lt;/record&gt;&lt;/Cite&gt;&lt;/EndNote&gt;</w:instrText>
      </w:r>
      <w:r w:rsidR="0075172E" w:rsidRPr="00577153">
        <w:rPr>
          <w:color w:val="000000" w:themeColor="text1"/>
        </w:rPr>
        <w:fldChar w:fldCharType="separate"/>
      </w:r>
      <w:hyperlink w:anchor="_ENREF_177" w:tooltip="Sulkowska, 2002 #207" w:history="1">
        <w:r w:rsidR="00512D09" w:rsidRPr="006421D1">
          <w:rPr>
            <w:noProof/>
            <w:color w:val="000000" w:themeColor="text1"/>
            <w:vertAlign w:val="superscript"/>
          </w:rPr>
          <w:t>177</w:t>
        </w:r>
      </w:hyperlink>
      <w:r w:rsidR="006421D1" w:rsidRPr="006421D1">
        <w:rPr>
          <w:noProof/>
          <w:color w:val="000000" w:themeColor="text1"/>
          <w:vertAlign w:val="superscript"/>
        </w:rPr>
        <w:t>,</w:t>
      </w:r>
      <w:hyperlink w:anchor="_ENREF_183" w:tooltip="Bujacz, 2012 #494" w:history="1">
        <w:r w:rsidR="00512D09" w:rsidRPr="006421D1">
          <w:rPr>
            <w:noProof/>
            <w:color w:val="000000" w:themeColor="text1"/>
            <w:vertAlign w:val="superscript"/>
          </w:rPr>
          <w:t>183</w:t>
        </w:r>
      </w:hyperlink>
      <w:r w:rsidR="0075172E" w:rsidRPr="00577153">
        <w:rPr>
          <w:color w:val="000000" w:themeColor="text1"/>
        </w:rPr>
        <w:fldChar w:fldCharType="end"/>
      </w:r>
      <w:r w:rsidRPr="00577153">
        <w:rPr>
          <w:color w:val="000000" w:themeColor="text1"/>
        </w:rPr>
        <w:t xml:space="preserve"> Human </w:t>
      </w:r>
      <w:r w:rsidR="00DF5E54" w:rsidRPr="00577153">
        <w:rPr>
          <w:color w:val="000000" w:themeColor="text1"/>
        </w:rPr>
        <w:t xml:space="preserve">serum albumin </w:t>
      </w:r>
      <w:r w:rsidRPr="00577153">
        <w:rPr>
          <w:color w:val="000000" w:themeColor="text1"/>
        </w:rPr>
        <w:t xml:space="preserve">(HSA) is the variant found in human blood, whilst </w:t>
      </w:r>
      <w:r w:rsidR="00DF5E54" w:rsidRPr="00577153">
        <w:rPr>
          <w:color w:val="000000" w:themeColor="text1"/>
        </w:rPr>
        <w:t xml:space="preserve">bovine serum albumin </w:t>
      </w:r>
      <w:r w:rsidRPr="00577153">
        <w:rPr>
          <w:color w:val="000000" w:themeColor="text1"/>
        </w:rPr>
        <w:t>(BSA) is the variant found in cattle. When phytate becomes present in the blood, the albumins may bind it. Understanding this process is crucial since phytate has a role in cancer prevention and metal ion chelation.</w:t>
      </w:r>
      <w:hyperlink w:anchor="_ENREF_250" w:tooltip="Kumar, 2010 #548" w:history="1">
        <w:r w:rsidR="00512D09">
          <w:rPr>
            <w:color w:val="000000" w:themeColor="text1"/>
          </w:rPr>
          <w:fldChar w:fldCharType="begin"/>
        </w:r>
        <w:r w:rsidR="00512D09">
          <w:rPr>
            <w:color w:val="000000" w:themeColor="text1"/>
          </w:rPr>
          <w:instrText xml:space="preserve"> ADDIN EN.CITE &lt;EndNote&gt;&lt;Cite&gt;&lt;Author&gt;Kumar&lt;/Author&gt;&lt;Year&gt;2010&lt;/Year&gt;&lt;RecNum&gt;548&lt;/RecNum&gt;&lt;DisplayText&gt;&lt;style face="superscript"&gt;250&lt;/style&gt;&lt;/DisplayText&gt;&lt;record&gt;&lt;rec-number&gt;548&lt;/rec-number&gt;&lt;foreign-keys&gt;&lt;key app="EN" db-id="5trrespwzsdr07efd5tx2w96x22re9s0fsdt"&gt;548&lt;/key&gt;&lt;/foreign-keys&gt;&lt;ref-type name="Journal Article"&gt;17&lt;/ref-type&gt;&lt;contributors&gt;&lt;authors&gt;&lt;author&gt;Kumar, Vikas&lt;/author&gt;&lt;author&gt;Sinha, Amit K.&lt;/author&gt;&lt;author&gt;Makkar, Harinder P. S.&lt;/author&gt;&lt;author&gt;Becker, Klaus&lt;/author&gt;&lt;/authors&gt;&lt;/contributors&gt;&lt;titles&gt;&lt;title&gt;Dietary roles of phytate and phytase in human nutrition: A review&lt;/title&gt;&lt;secondary-title&gt;Food Chemistry&lt;/secondary-title&gt;&lt;/titles&gt;&lt;periodical&gt;&lt;full-title&gt;Food Chemistry&lt;/full-title&gt;&lt;/periodical&gt;&lt;pages&gt;945-959&lt;/pages&gt;&lt;volume&gt;120&lt;/volume&gt;&lt;number&gt;4&lt;/number&gt;&lt;keywords&gt;&lt;keyword&gt;Phytate&lt;/keyword&gt;&lt;keyword&gt;Phytase&lt;/keyword&gt;&lt;keyword&gt;Nutrition&lt;/keyword&gt;&lt;keyword&gt;Therapeutic uses&lt;/keyword&gt;&lt;keyword&gt;Human&lt;/keyword&gt;&lt;/keywords&gt;&lt;dates&gt;&lt;year&gt;2010&lt;/year&gt;&lt;/dates&gt;&lt;isbn&gt;0308-8146&lt;/isbn&gt;&lt;urls&gt;&lt;related-urls&gt;&lt;url&gt;http://www.sciencedirect.com/science/article/pii/S0308814609013624&lt;/url&gt;&lt;/related-urls&gt;&lt;/urls&gt;&lt;electronic-resource-num&gt;http://dx.doi.org/10.1016/j.foodchem.2009.11.052&lt;/electronic-resource-num&gt;&lt;/record&gt;&lt;/Cite&gt;&lt;/EndNote&gt;</w:instrText>
        </w:r>
        <w:r w:rsidR="00512D09">
          <w:rPr>
            <w:color w:val="000000" w:themeColor="text1"/>
          </w:rPr>
          <w:fldChar w:fldCharType="separate"/>
        </w:r>
        <w:r w:rsidR="00512D09" w:rsidRPr="006421D1">
          <w:rPr>
            <w:noProof/>
            <w:color w:val="000000" w:themeColor="text1"/>
            <w:vertAlign w:val="superscript"/>
          </w:rPr>
          <w:t>250</w:t>
        </w:r>
        <w:r w:rsidR="00512D09">
          <w:rPr>
            <w:color w:val="000000" w:themeColor="text1"/>
          </w:rPr>
          <w:fldChar w:fldCharType="end"/>
        </w:r>
      </w:hyperlink>
      <w:r w:rsidRPr="00577153">
        <w:rPr>
          <w:color w:val="000000" w:themeColor="text1"/>
        </w:rPr>
        <w:t xml:space="preserve">  To determine the specificity of the binding interaction between phytate and the albumins, ITC studies were carried out at two different conditions. The interaction carried out in 10 mM ammonium acetate at pH 4 at 25</w:t>
      </w:r>
      <w:r w:rsidR="006F2757">
        <w:rPr>
          <w:color w:val="000000" w:themeColor="text1"/>
        </w:rPr>
        <w:t xml:space="preserve"> </w:t>
      </w:r>
      <w:r w:rsidRPr="00577153">
        <w:rPr>
          <w:color w:val="000000" w:themeColor="text1"/>
        </w:rPr>
        <w:t xml:space="preserve">°C consisted of two stages. </w:t>
      </w:r>
      <w:r w:rsidRPr="00577153">
        <w:rPr>
          <w:rFonts w:cs="Arial"/>
          <w:bCs/>
          <w:color w:val="000000" w:themeColor="text1"/>
          <w:shd w:val="clear" w:color="auto" w:fill="FFFFFF"/>
        </w:rPr>
        <w:t xml:space="preserve">The first stage was exothermic and indicative of saturation of binding sites with saturation occurring at approximately two molar ratios for both HSA and BSA. The second stage exhibited endothermic peaks on the thermogram which was taken as a possible </w:t>
      </w:r>
      <w:r w:rsidR="00955A82" w:rsidRPr="00577153">
        <w:rPr>
          <w:rFonts w:cs="Arial"/>
          <w:bCs/>
          <w:color w:val="000000" w:themeColor="text1"/>
          <w:shd w:val="clear" w:color="auto" w:fill="FFFFFF"/>
        </w:rPr>
        <w:t>dissociation</w:t>
      </w:r>
      <w:r w:rsidRPr="00577153">
        <w:rPr>
          <w:rFonts w:cs="Arial"/>
          <w:bCs/>
          <w:color w:val="000000" w:themeColor="text1"/>
          <w:shd w:val="clear" w:color="auto" w:fill="FFFFFF"/>
        </w:rPr>
        <w:t xml:space="preserve"> event of phytate from the albumins. To determine the specificity of the binding interaction the titration was performed in phosphate buffered saline (PBS) buffer at pH 7.4 at 37 °C. Firstly, the high ionic strength of the buffer prevents non-specific interactions. Secondly, the proteins have an overall negative charge due to the isoelectric point (pI) of </w:t>
      </w:r>
      <w:r w:rsidRPr="00577153">
        <w:rPr>
          <w:rFonts w:cs="Arial"/>
          <w:bCs/>
          <w:color w:val="000000" w:themeColor="text1"/>
          <w:shd w:val="clear" w:color="auto" w:fill="FFFFFF"/>
        </w:rPr>
        <w:lastRenderedPageBreak/>
        <w:t>the protein being well below the pH of the buffer. This will also prevent non-specific interaction due to charge-charge repulsion. The interaction was completely eliminated in PBS buffer meaning that the albumins do not carry phytate around the blood stream.</w:t>
      </w:r>
    </w:p>
    <w:p w:rsidR="003F119E" w:rsidRDefault="003F119E" w:rsidP="00606C91">
      <w:pPr>
        <w:spacing w:line="480" w:lineRule="auto"/>
        <w:jc w:val="both"/>
        <w:rPr>
          <w:bCs/>
        </w:rPr>
      </w:pPr>
    </w:p>
    <w:p w:rsidR="003703F0" w:rsidRDefault="003703F0" w:rsidP="0095721B"/>
    <w:p w:rsidR="00C31AF9" w:rsidRDefault="00C31AF9" w:rsidP="0095721B"/>
    <w:p w:rsidR="00CE2A4C" w:rsidRDefault="00CE2A4C" w:rsidP="0095721B"/>
    <w:p w:rsidR="00E414C7" w:rsidRDefault="00E414C7"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B19" w:rsidRDefault="00C31B19" w:rsidP="0095721B"/>
    <w:p w:rsidR="00C31AF9" w:rsidRPr="00C31AF9" w:rsidRDefault="00C31AF9" w:rsidP="00C31AF9">
      <w:pPr>
        <w:pStyle w:val="Heading1"/>
        <w:numPr>
          <w:ilvl w:val="0"/>
          <w:numId w:val="10"/>
        </w:numPr>
        <w:jc w:val="center"/>
      </w:pPr>
      <w:bookmarkStart w:id="235" w:name="_Toc459130748"/>
      <w:r>
        <w:lastRenderedPageBreak/>
        <w:t>References</w:t>
      </w:r>
      <w:bookmarkEnd w:id="235"/>
    </w:p>
    <w:p w:rsidR="00512D09" w:rsidRPr="00610E48" w:rsidRDefault="0075172E" w:rsidP="00512D09">
      <w:pPr>
        <w:spacing w:after="0" w:line="240" w:lineRule="auto"/>
        <w:rPr>
          <w:rFonts w:ascii="Calibri" w:hAnsi="Calibri"/>
          <w:noProof/>
          <w:sz w:val="20"/>
          <w:szCs w:val="20"/>
        </w:rPr>
      </w:pPr>
      <w:r w:rsidRPr="00610E48">
        <w:rPr>
          <w:sz w:val="20"/>
          <w:szCs w:val="20"/>
        </w:rPr>
        <w:fldChar w:fldCharType="begin"/>
      </w:r>
      <w:r w:rsidR="00BC77E7" w:rsidRPr="00610E48">
        <w:rPr>
          <w:sz w:val="20"/>
          <w:szCs w:val="20"/>
        </w:rPr>
        <w:instrText xml:space="preserve"> ADDIN EN.REFLIST </w:instrText>
      </w:r>
      <w:r w:rsidRPr="00610E48">
        <w:rPr>
          <w:sz w:val="20"/>
          <w:szCs w:val="20"/>
        </w:rPr>
        <w:fldChar w:fldCharType="separate"/>
      </w:r>
      <w:bookmarkStart w:id="236" w:name="_ENREF_1"/>
      <w:r w:rsidR="00512D09" w:rsidRPr="00610E48">
        <w:rPr>
          <w:rFonts w:ascii="Calibri" w:hAnsi="Calibri"/>
          <w:noProof/>
          <w:sz w:val="20"/>
          <w:szCs w:val="20"/>
        </w:rPr>
        <w:tab/>
        <w:t>(1)</w:t>
      </w:r>
      <w:r w:rsidR="00512D09" w:rsidRPr="00610E48">
        <w:rPr>
          <w:rFonts w:ascii="Calibri" w:hAnsi="Calibri"/>
          <w:noProof/>
          <w:sz w:val="20"/>
          <w:szCs w:val="20"/>
        </w:rPr>
        <w:tab/>
        <w:t xml:space="preserve">Nilsson, T.; Niedderer, H.: Undergraduate students' conceptions of enthalpy, enthalpy change and related concepts. </w:t>
      </w:r>
      <w:r w:rsidR="00512D09" w:rsidRPr="00610E48">
        <w:rPr>
          <w:rFonts w:ascii="Calibri" w:hAnsi="Calibri"/>
          <w:i/>
          <w:noProof/>
          <w:sz w:val="20"/>
          <w:szCs w:val="20"/>
        </w:rPr>
        <w:t>Chemistry Education Research and Practice,</w:t>
      </w:r>
      <w:r w:rsidR="00512D09" w:rsidRPr="00610E48">
        <w:rPr>
          <w:rFonts w:ascii="Calibri" w:hAnsi="Calibri"/>
          <w:noProof/>
          <w:sz w:val="20"/>
          <w:szCs w:val="20"/>
        </w:rPr>
        <w:t xml:space="preserve"> </w:t>
      </w:r>
      <w:r w:rsidR="00512D09" w:rsidRPr="00610E48">
        <w:rPr>
          <w:rFonts w:ascii="Calibri" w:hAnsi="Calibri"/>
          <w:b/>
          <w:noProof/>
          <w:sz w:val="20"/>
          <w:szCs w:val="20"/>
        </w:rPr>
        <w:t>2014</w:t>
      </w:r>
      <w:r w:rsidR="00512D09" w:rsidRPr="00610E48">
        <w:rPr>
          <w:rFonts w:ascii="Calibri" w:hAnsi="Calibri"/>
          <w:noProof/>
          <w:sz w:val="20"/>
          <w:szCs w:val="20"/>
        </w:rPr>
        <w:t xml:space="preserve">, </w:t>
      </w:r>
      <w:r w:rsidR="00512D09" w:rsidRPr="00610E48">
        <w:rPr>
          <w:rFonts w:ascii="Calibri" w:hAnsi="Calibri"/>
          <w:i/>
          <w:noProof/>
          <w:sz w:val="20"/>
          <w:szCs w:val="20"/>
        </w:rPr>
        <w:t>15</w:t>
      </w:r>
      <w:r w:rsidR="00512D09" w:rsidRPr="00610E48">
        <w:rPr>
          <w:rFonts w:ascii="Calibri" w:hAnsi="Calibri"/>
          <w:noProof/>
          <w:sz w:val="20"/>
          <w:szCs w:val="20"/>
        </w:rPr>
        <w:t>, 336-353.</w:t>
      </w:r>
      <w:bookmarkEnd w:id="236"/>
    </w:p>
    <w:p w:rsidR="00512D09" w:rsidRPr="00610E48" w:rsidRDefault="00512D09" w:rsidP="00512D09">
      <w:pPr>
        <w:spacing w:after="0" w:line="240" w:lineRule="auto"/>
        <w:rPr>
          <w:rFonts w:ascii="Calibri" w:hAnsi="Calibri"/>
          <w:noProof/>
          <w:sz w:val="20"/>
          <w:szCs w:val="20"/>
        </w:rPr>
      </w:pPr>
      <w:bookmarkStart w:id="237" w:name="_ENREF_2"/>
      <w:r w:rsidRPr="00610E48">
        <w:rPr>
          <w:rFonts w:ascii="Calibri" w:hAnsi="Calibri"/>
          <w:noProof/>
          <w:sz w:val="20"/>
          <w:szCs w:val="20"/>
        </w:rPr>
        <w:tab/>
        <w:t>(2)</w:t>
      </w:r>
      <w:r w:rsidRPr="00610E48">
        <w:rPr>
          <w:rFonts w:ascii="Calibri" w:hAnsi="Calibri"/>
          <w:noProof/>
          <w:sz w:val="20"/>
          <w:szCs w:val="20"/>
        </w:rPr>
        <w:tab/>
        <w:t xml:space="preserve">Langbeheim, E.; Safran, S. A.; Yerushalmi, E.: Visualizing the Entropy Change of a Thermal Reservoir. </w:t>
      </w:r>
      <w:r w:rsidRPr="00610E48">
        <w:rPr>
          <w:rFonts w:ascii="Calibri" w:hAnsi="Calibri"/>
          <w:i/>
          <w:noProof/>
          <w:sz w:val="20"/>
          <w:szCs w:val="20"/>
        </w:rPr>
        <w:t>Journal of Chemical Education,</w:t>
      </w:r>
      <w:r w:rsidRPr="00610E48">
        <w:rPr>
          <w:rFonts w:ascii="Calibri" w:hAnsi="Calibri"/>
          <w:noProof/>
          <w:sz w:val="20"/>
          <w:szCs w:val="20"/>
        </w:rPr>
        <w:t xml:space="preserve">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91</w:t>
      </w:r>
      <w:r w:rsidRPr="00610E48">
        <w:rPr>
          <w:rFonts w:ascii="Calibri" w:hAnsi="Calibri"/>
          <w:noProof/>
          <w:sz w:val="20"/>
          <w:szCs w:val="20"/>
        </w:rPr>
        <w:t>, 380-385.</w:t>
      </w:r>
      <w:bookmarkEnd w:id="237"/>
    </w:p>
    <w:p w:rsidR="00512D09" w:rsidRPr="00610E48" w:rsidRDefault="00512D09" w:rsidP="00512D09">
      <w:pPr>
        <w:spacing w:after="0" w:line="240" w:lineRule="auto"/>
        <w:rPr>
          <w:rFonts w:ascii="Calibri" w:hAnsi="Calibri"/>
          <w:noProof/>
          <w:sz w:val="20"/>
          <w:szCs w:val="20"/>
        </w:rPr>
      </w:pPr>
      <w:bookmarkStart w:id="238" w:name="_ENREF_3"/>
      <w:r w:rsidRPr="00610E48">
        <w:rPr>
          <w:rFonts w:ascii="Calibri" w:hAnsi="Calibri"/>
          <w:noProof/>
          <w:sz w:val="20"/>
          <w:szCs w:val="20"/>
        </w:rPr>
        <w:tab/>
        <w:t>(3)</w:t>
      </w:r>
      <w:r w:rsidRPr="00610E48">
        <w:rPr>
          <w:rFonts w:ascii="Calibri" w:hAnsi="Calibri"/>
          <w:noProof/>
          <w:sz w:val="20"/>
          <w:szCs w:val="20"/>
        </w:rPr>
        <w:tab/>
        <w:t xml:space="preserve">Lambert, F. L.: Disorder - A Cracked Crutch for Supporting Entropy Discussions. </w:t>
      </w:r>
      <w:r w:rsidRPr="00610E48">
        <w:rPr>
          <w:rFonts w:ascii="Calibri" w:hAnsi="Calibri"/>
          <w:i/>
          <w:noProof/>
          <w:sz w:val="20"/>
          <w:szCs w:val="20"/>
        </w:rPr>
        <w:t>Journal of Chemical Education,</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79</w:t>
      </w:r>
      <w:r w:rsidRPr="00610E48">
        <w:rPr>
          <w:rFonts w:ascii="Calibri" w:hAnsi="Calibri"/>
          <w:noProof/>
          <w:sz w:val="20"/>
          <w:szCs w:val="20"/>
        </w:rPr>
        <w:t>, 187.</w:t>
      </w:r>
      <w:bookmarkEnd w:id="238"/>
    </w:p>
    <w:p w:rsidR="00512D09" w:rsidRPr="00610E48" w:rsidRDefault="00512D09" w:rsidP="00512D09">
      <w:pPr>
        <w:spacing w:after="0" w:line="240" w:lineRule="auto"/>
        <w:rPr>
          <w:rFonts w:ascii="Calibri" w:hAnsi="Calibri"/>
          <w:noProof/>
          <w:sz w:val="20"/>
          <w:szCs w:val="20"/>
        </w:rPr>
      </w:pPr>
      <w:bookmarkStart w:id="239" w:name="_ENREF_4"/>
      <w:r w:rsidRPr="00610E48">
        <w:rPr>
          <w:rFonts w:ascii="Calibri" w:hAnsi="Calibri"/>
          <w:noProof/>
          <w:sz w:val="20"/>
          <w:szCs w:val="20"/>
        </w:rPr>
        <w:tab/>
        <w:t>(4)</w:t>
      </w:r>
      <w:r w:rsidRPr="00610E48">
        <w:rPr>
          <w:rFonts w:ascii="Calibri" w:hAnsi="Calibri"/>
          <w:noProof/>
          <w:sz w:val="20"/>
          <w:szCs w:val="20"/>
        </w:rPr>
        <w:tab/>
        <w:t>Isaacs, N. S.: Physical organic chemistry. Second ed.; Longman Scientific &amp; Technical; Wiley &amp; Sons, 1995; pp 98.</w:t>
      </w:r>
      <w:bookmarkEnd w:id="239"/>
    </w:p>
    <w:p w:rsidR="00512D09" w:rsidRPr="00610E48" w:rsidRDefault="00512D09" w:rsidP="00512D09">
      <w:pPr>
        <w:spacing w:after="0" w:line="240" w:lineRule="auto"/>
        <w:rPr>
          <w:rFonts w:ascii="Calibri" w:hAnsi="Calibri"/>
          <w:noProof/>
          <w:sz w:val="20"/>
          <w:szCs w:val="20"/>
        </w:rPr>
      </w:pPr>
      <w:bookmarkStart w:id="240" w:name="_ENREF_5"/>
      <w:r w:rsidRPr="00610E48">
        <w:rPr>
          <w:rFonts w:ascii="Calibri" w:hAnsi="Calibri"/>
          <w:noProof/>
          <w:sz w:val="20"/>
          <w:szCs w:val="20"/>
        </w:rPr>
        <w:tab/>
        <w:t>(5)</w:t>
      </w:r>
      <w:r w:rsidRPr="00610E48">
        <w:rPr>
          <w:rFonts w:ascii="Calibri" w:hAnsi="Calibri"/>
          <w:noProof/>
          <w:sz w:val="20"/>
          <w:szCs w:val="20"/>
        </w:rPr>
        <w:tab/>
        <w:t xml:space="preserve">Alonso, H.; Bliznyuk, A. A.; Gready, J. E.: Combining docking and molecular dynamic simulations in drug design. </w:t>
      </w:r>
      <w:r w:rsidRPr="00610E48">
        <w:rPr>
          <w:rFonts w:ascii="Calibri" w:hAnsi="Calibri"/>
          <w:i/>
          <w:noProof/>
          <w:sz w:val="20"/>
          <w:szCs w:val="20"/>
        </w:rPr>
        <w:t>Medicinal Research Reviews,</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26</w:t>
      </w:r>
      <w:r w:rsidRPr="00610E48">
        <w:rPr>
          <w:rFonts w:ascii="Calibri" w:hAnsi="Calibri"/>
          <w:noProof/>
          <w:sz w:val="20"/>
          <w:szCs w:val="20"/>
        </w:rPr>
        <w:t>, 531-568.</w:t>
      </w:r>
      <w:bookmarkEnd w:id="240"/>
    </w:p>
    <w:p w:rsidR="00512D09" w:rsidRPr="00610E48" w:rsidRDefault="00512D09" w:rsidP="00512D09">
      <w:pPr>
        <w:spacing w:after="0" w:line="240" w:lineRule="auto"/>
        <w:rPr>
          <w:rFonts w:ascii="Calibri" w:hAnsi="Calibri"/>
          <w:noProof/>
          <w:sz w:val="20"/>
          <w:szCs w:val="20"/>
        </w:rPr>
      </w:pPr>
      <w:bookmarkStart w:id="241" w:name="_ENREF_6"/>
      <w:r w:rsidRPr="00610E48">
        <w:rPr>
          <w:rFonts w:ascii="Calibri" w:hAnsi="Calibri"/>
          <w:noProof/>
          <w:sz w:val="20"/>
          <w:szCs w:val="20"/>
        </w:rPr>
        <w:tab/>
        <w:t>(6)</w:t>
      </w:r>
      <w:r w:rsidRPr="00610E48">
        <w:rPr>
          <w:rFonts w:ascii="Calibri" w:hAnsi="Calibri"/>
          <w:noProof/>
          <w:sz w:val="20"/>
          <w:szCs w:val="20"/>
        </w:rPr>
        <w:tab/>
        <w:t xml:space="preserve">Holdgate, G. A.; Gill, A. L.: Kinetic efficiency: the missing metric for enhancing compound quality? </w:t>
      </w:r>
      <w:r w:rsidRPr="00610E48">
        <w:rPr>
          <w:rFonts w:ascii="Calibri" w:hAnsi="Calibri"/>
          <w:i/>
          <w:noProof/>
          <w:sz w:val="20"/>
          <w:szCs w:val="20"/>
        </w:rPr>
        <w:t>Drug discovery today,</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16</w:t>
      </w:r>
      <w:r w:rsidRPr="00610E48">
        <w:rPr>
          <w:rFonts w:ascii="Calibri" w:hAnsi="Calibri"/>
          <w:noProof/>
          <w:sz w:val="20"/>
          <w:szCs w:val="20"/>
        </w:rPr>
        <w:t>, 910-933.</w:t>
      </w:r>
      <w:bookmarkEnd w:id="241"/>
    </w:p>
    <w:p w:rsidR="00512D09" w:rsidRPr="00610E48" w:rsidRDefault="00512D09" w:rsidP="00512D09">
      <w:pPr>
        <w:spacing w:after="0" w:line="240" w:lineRule="auto"/>
        <w:rPr>
          <w:rFonts w:ascii="Calibri" w:hAnsi="Calibri"/>
          <w:noProof/>
          <w:sz w:val="20"/>
          <w:szCs w:val="20"/>
        </w:rPr>
      </w:pPr>
      <w:bookmarkStart w:id="242" w:name="_ENREF_7"/>
      <w:r w:rsidRPr="00610E48">
        <w:rPr>
          <w:rFonts w:ascii="Calibri" w:hAnsi="Calibri"/>
          <w:noProof/>
          <w:sz w:val="20"/>
          <w:szCs w:val="20"/>
        </w:rPr>
        <w:tab/>
        <w:t>(7)</w:t>
      </w:r>
      <w:r w:rsidRPr="00610E48">
        <w:rPr>
          <w:rFonts w:ascii="Calibri" w:hAnsi="Calibri"/>
          <w:noProof/>
          <w:sz w:val="20"/>
          <w:szCs w:val="20"/>
        </w:rPr>
        <w:tab/>
        <w:t xml:space="preserve">Chaires, J. B.: Calorimetry and thermodynamics in drug design. </w:t>
      </w:r>
      <w:r w:rsidRPr="00610E48">
        <w:rPr>
          <w:rFonts w:ascii="Calibri" w:hAnsi="Calibri"/>
          <w:i/>
          <w:noProof/>
          <w:sz w:val="20"/>
          <w:szCs w:val="20"/>
        </w:rPr>
        <w:t>Annual review of biophysics,</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37</w:t>
      </w:r>
      <w:r w:rsidRPr="00610E48">
        <w:rPr>
          <w:rFonts w:ascii="Calibri" w:hAnsi="Calibri"/>
          <w:noProof/>
          <w:sz w:val="20"/>
          <w:szCs w:val="20"/>
        </w:rPr>
        <w:t>, 135-51.</w:t>
      </w:r>
      <w:bookmarkEnd w:id="242"/>
    </w:p>
    <w:p w:rsidR="00512D09" w:rsidRPr="00610E48" w:rsidRDefault="00512D09" w:rsidP="00512D09">
      <w:pPr>
        <w:spacing w:after="0" w:line="240" w:lineRule="auto"/>
        <w:rPr>
          <w:rFonts w:ascii="Calibri" w:hAnsi="Calibri"/>
          <w:noProof/>
          <w:sz w:val="20"/>
          <w:szCs w:val="20"/>
        </w:rPr>
      </w:pPr>
      <w:bookmarkStart w:id="243" w:name="_ENREF_8"/>
      <w:r w:rsidRPr="00610E48">
        <w:rPr>
          <w:rFonts w:ascii="Calibri" w:hAnsi="Calibri"/>
          <w:noProof/>
          <w:sz w:val="20"/>
          <w:szCs w:val="20"/>
        </w:rPr>
        <w:tab/>
        <w:t>(8)</w:t>
      </w:r>
      <w:r w:rsidRPr="00610E48">
        <w:rPr>
          <w:rFonts w:ascii="Calibri" w:hAnsi="Calibri"/>
          <w:noProof/>
          <w:sz w:val="20"/>
          <w:szCs w:val="20"/>
        </w:rPr>
        <w:tab/>
        <w:t xml:space="preserve">Freire, E.: Isothermal titration calorimetry: controlling binding forces in lead optimization. </w:t>
      </w:r>
      <w:r w:rsidRPr="00610E48">
        <w:rPr>
          <w:rFonts w:ascii="Calibri" w:hAnsi="Calibri"/>
          <w:i/>
          <w:noProof/>
          <w:sz w:val="20"/>
          <w:szCs w:val="20"/>
        </w:rPr>
        <w:t>Drug Discovery Today: Technologies,</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1</w:t>
      </w:r>
      <w:r w:rsidRPr="00610E48">
        <w:rPr>
          <w:rFonts w:ascii="Calibri" w:hAnsi="Calibri"/>
          <w:noProof/>
          <w:sz w:val="20"/>
          <w:szCs w:val="20"/>
        </w:rPr>
        <w:t>, 295-299.</w:t>
      </w:r>
      <w:bookmarkEnd w:id="243"/>
    </w:p>
    <w:p w:rsidR="00512D09" w:rsidRPr="00610E48" w:rsidRDefault="00512D09" w:rsidP="00512D09">
      <w:pPr>
        <w:spacing w:after="0" w:line="240" w:lineRule="auto"/>
        <w:rPr>
          <w:rFonts w:ascii="Calibri" w:hAnsi="Calibri"/>
          <w:noProof/>
          <w:sz w:val="20"/>
          <w:szCs w:val="20"/>
        </w:rPr>
      </w:pPr>
      <w:bookmarkStart w:id="244" w:name="_ENREF_9"/>
      <w:r w:rsidRPr="00610E48">
        <w:rPr>
          <w:rFonts w:ascii="Calibri" w:hAnsi="Calibri"/>
          <w:noProof/>
          <w:sz w:val="20"/>
          <w:szCs w:val="20"/>
        </w:rPr>
        <w:tab/>
        <w:t>(9)</w:t>
      </w:r>
      <w:r w:rsidRPr="00610E48">
        <w:rPr>
          <w:rFonts w:ascii="Calibri" w:hAnsi="Calibri"/>
          <w:noProof/>
          <w:sz w:val="20"/>
          <w:szCs w:val="20"/>
        </w:rPr>
        <w:tab/>
        <w:t xml:space="preserve">Duan, J. J. W.; Chen, L. H.; Wasserman, Z. R.; Lu, Z. H.; Liu, R. Q.; Covington, M. B.; Qian, M. X.; Hardman, K. D.; Magolda, R. L.; Newton, R. C.; Christ, D. D.; Wexler, R. R.; Decicco, C. P.: Discovery of gamma-lactam hydroxamic acids as selective inhibitors of tumor necrosis factor alpha converting enzyme: Design, synthesis, and structure-activity relationships. </w:t>
      </w:r>
      <w:r w:rsidRPr="00610E48">
        <w:rPr>
          <w:rFonts w:ascii="Calibri" w:hAnsi="Calibri"/>
          <w:i/>
          <w:noProof/>
          <w:sz w:val="20"/>
          <w:szCs w:val="20"/>
        </w:rPr>
        <w:t>Journal of medicinal chemistry,</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45</w:t>
      </w:r>
      <w:r w:rsidRPr="00610E48">
        <w:rPr>
          <w:rFonts w:ascii="Calibri" w:hAnsi="Calibri"/>
          <w:noProof/>
          <w:sz w:val="20"/>
          <w:szCs w:val="20"/>
        </w:rPr>
        <w:t>, 4954-4957.</w:t>
      </w:r>
      <w:bookmarkEnd w:id="244"/>
    </w:p>
    <w:p w:rsidR="00512D09" w:rsidRPr="00610E48" w:rsidRDefault="00512D09" w:rsidP="00512D09">
      <w:pPr>
        <w:spacing w:after="0" w:line="240" w:lineRule="auto"/>
        <w:rPr>
          <w:rFonts w:ascii="Calibri" w:hAnsi="Calibri"/>
          <w:noProof/>
          <w:sz w:val="20"/>
          <w:szCs w:val="20"/>
        </w:rPr>
      </w:pPr>
      <w:bookmarkStart w:id="245" w:name="_ENREF_10"/>
      <w:r w:rsidRPr="00610E48">
        <w:rPr>
          <w:rFonts w:ascii="Calibri" w:hAnsi="Calibri"/>
          <w:noProof/>
          <w:sz w:val="20"/>
          <w:szCs w:val="20"/>
        </w:rPr>
        <w:tab/>
        <w:t>(10)</w:t>
      </w:r>
      <w:r w:rsidRPr="00610E48">
        <w:rPr>
          <w:rFonts w:ascii="Calibri" w:hAnsi="Calibri"/>
          <w:noProof/>
          <w:sz w:val="20"/>
          <w:szCs w:val="20"/>
        </w:rPr>
        <w:tab/>
        <w:t xml:space="preserve">Freire, E.: Do enthalpy and entropy distinguish first in class from best in class? </w:t>
      </w:r>
      <w:r w:rsidRPr="00610E48">
        <w:rPr>
          <w:rFonts w:ascii="Calibri" w:hAnsi="Calibri"/>
          <w:i/>
          <w:noProof/>
          <w:sz w:val="20"/>
          <w:szCs w:val="20"/>
        </w:rPr>
        <w:t>Drug discovery today,</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13</w:t>
      </w:r>
      <w:r w:rsidRPr="00610E48">
        <w:rPr>
          <w:rFonts w:ascii="Calibri" w:hAnsi="Calibri"/>
          <w:noProof/>
          <w:sz w:val="20"/>
          <w:szCs w:val="20"/>
        </w:rPr>
        <w:t>, 869-74.</w:t>
      </w:r>
      <w:bookmarkEnd w:id="245"/>
    </w:p>
    <w:p w:rsidR="00512D09" w:rsidRPr="00610E48" w:rsidRDefault="00512D09" w:rsidP="00512D09">
      <w:pPr>
        <w:spacing w:after="0" w:line="240" w:lineRule="auto"/>
        <w:rPr>
          <w:rFonts w:ascii="Calibri" w:hAnsi="Calibri"/>
          <w:noProof/>
          <w:sz w:val="20"/>
          <w:szCs w:val="20"/>
        </w:rPr>
      </w:pPr>
      <w:bookmarkStart w:id="246" w:name="_ENREF_11"/>
      <w:r w:rsidRPr="00610E48">
        <w:rPr>
          <w:rFonts w:ascii="Calibri" w:hAnsi="Calibri"/>
          <w:noProof/>
          <w:sz w:val="20"/>
          <w:szCs w:val="20"/>
        </w:rPr>
        <w:tab/>
        <w:t>(11)</w:t>
      </w:r>
      <w:r w:rsidRPr="00610E48">
        <w:rPr>
          <w:rFonts w:ascii="Calibri" w:hAnsi="Calibri"/>
          <w:noProof/>
          <w:sz w:val="20"/>
          <w:szCs w:val="20"/>
        </w:rPr>
        <w:tab/>
        <w:t xml:space="preserve">Freire, E.: A Thermodynamic Guide to Affinity Optimization of Drug Candidates. In </w:t>
      </w:r>
      <w:r w:rsidRPr="00610E48">
        <w:rPr>
          <w:rFonts w:ascii="Calibri" w:hAnsi="Calibri"/>
          <w:i/>
          <w:noProof/>
          <w:sz w:val="20"/>
          <w:szCs w:val="20"/>
        </w:rPr>
        <w:t>Proteomics and Protein-Protein Interactions</w:t>
      </w:r>
      <w:r w:rsidRPr="00610E48">
        <w:rPr>
          <w:rFonts w:ascii="Calibri" w:hAnsi="Calibri"/>
          <w:noProof/>
          <w:sz w:val="20"/>
          <w:szCs w:val="20"/>
        </w:rPr>
        <w:t>; Waksman, G., Ed.; Springer US, 2005; Vol. 3; pp 291-307.</w:t>
      </w:r>
      <w:bookmarkEnd w:id="246"/>
    </w:p>
    <w:p w:rsidR="00512D09" w:rsidRPr="00610E48" w:rsidRDefault="00512D09" w:rsidP="00512D09">
      <w:pPr>
        <w:spacing w:after="0" w:line="240" w:lineRule="auto"/>
        <w:rPr>
          <w:rFonts w:ascii="Calibri" w:hAnsi="Calibri"/>
          <w:noProof/>
          <w:sz w:val="20"/>
          <w:szCs w:val="20"/>
        </w:rPr>
      </w:pPr>
      <w:bookmarkStart w:id="247" w:name="_ENREF_12"/>
      <w:r w:rsidRPr="00610E48">
        <w:rPr>
          <w:rFonts w:ascii="Calibri" w:hAnsi="Calibri"/>
          <w:noProof/>
          <w:sz w:val="20"/>
          <w:szCs w:val="20"/>
        </w:rPr>
        <w:tab/>
        <w:t>(12)</w:t>
      </w:r>
      <w:r w:rsidRPr="00610E48">
        <w:rPr>
          <w:rFonts w:ascii="Calibri" w:hAnsi="Calibri"/>
          <w:noProof/>
          <w:sz w:val="20"/>
          <w:szCs w:val="20"/>
        </w:rPr>
        <w:tab/>
        <w:t xml:space="preserve">Lam, P.; Jadhav, P.; Eyermann, C.; Hodge, C.; Ru, Y.; Bacheler, L.; Meek, J.; Otto, M.; Rayner, M.; Wong, Y.; et, a.: Rational design of potent, bioavailable, nonpeptide cyclic ureas as HIV protease inhibitors. </w:t>
      </w:r>
      <w:r w:rsidRPr="00610E48">
        <w:rPr>
          <w:rFonts w:ascii="Calibri" w:hAnsi="Calibri"/>
          <w:i/>
          <w:noProof/>
          <w:sz w:val="20"/>
          <w:szCs w:val="20"/>
        </w:rPr>
        <w:t>Science,</w:t>
      </w:r>
      <w:r w:rsidRPr="00610E48">
        <w:rPr>
          <w:rFonts w:ascii="Calibri" w:hAnsi="Calibri"/>
          <w:noProof/>
          <w:sz w:val="20"/>
          <w:szCs w:val="20"/>
        </w:rPr>
        <w:t xml:space="preserve"> </w:t>
      </w:r>
      <w:r w:rsidRPr="00610E48">
        <w:rPr>
          <w:rFonts w:ascii="Calibri" w:hAnsi="Calibri"/>
          <w:b/>
          <w:noProof/>
          <w:sz w:val="20"/>
          <w:szCs w:val="20"/>
        </w:rPr>
        <w:t>1994</w:t>
      </w:r>
      <w:r w:rsidRPr="00610E48">
        <w:rPr>
          <w:rFonts w:ascii="Calibri" w:hAnsi="Calibri"/>
          <w:noProof/>
          <w:sz w:val="20"/>
          <w:szCs w:val="20"/>
        </w:rPr>
        <w:t xml:space="preserve">, </w:t>
      </w:r>
      <w:r w:rsidRPr="00610E48">
        <w:rPr>
          <w:rFonts w:ascii="Calibri" w:hAnsi="Calibri"/>
          <w:i/>
          <w:noProof/>
          <w:sz w:val="20"/>
          <w:szCs w:val="20"/>
        </w:rPr>
        <w:t>263</w:t>
      </w:r>
      <w:r w:rsidRPr="00610E48">
        <w:rPr>
          <w:rFonts w:ascii="Calibri" w:hAnsi="Calibri"/>
          <w:noProof/>
          <w:sz w:val="20"/>
          <w:szCs w:val="20"/>
        </w:rPr>
        <w:t>, 380-384.</w:t>
      </w:r>
      <w:bookmarkEnd w:id="247"/>
    </w:p>
    <w:p w:rsidR="00512D09" w:rsidRPr="00610E48" w:rsidRDefault="00512D09" w:rsidP="00512D09">
      <w:pPr>
        <w:spacing w:after="0" w:line="240" w:lineRule="auto"/>
        <w:rPr>
          <w:rFonts w:ascii="Calibri" w:hAnsi="Calibri"/>
          <w:noProof/>
          <w:sz w:val="20"/>
          <w:szCs w:val="20"/>
        </w:rPr>
      </w:pPr>
      <w:bookmarkStart w:id="248" w:name="_ENREF_13"/>
      <w:r w:rsidRPr="00610E48">
        <w:rPr>
          <w:rFonts w:ascii="Calibri" w:hAnsi="Calibri"/>
          <w:noProof/>
          <w:sz w:val="20"/>
          <w:szCs w:val="20"/>
        </w:rPr>
        <w:tab/>
        <w:t>(13)</w:t>
      </w:r>
      <w:r w:rsidRPr="00610E48">
        <w:rPr>
          <w:rFonts w:ascii="Calibri" w:hAnsi="Calibri"/>
          <w:noProof/>
          <w:sz w:val="20"/>
          <w:szCs w:val="20"/>
        </w:rPr>
        <w:tab/>
        <w:t xml:space="preserve">Lumry, R.; Rajender, S.: Enthalpy–entropy compensation phenomena in water solutions of proteins and small molecules: A ubiquitous properly of water. </w:t>
      </w:r>
      <w:r w:rsidRPr="00610E48">
        <w:rPr>
          <w:rFonts w:ascii="Calibri" w:hAnsi="Calibri"/>
          <w:i/>
          <w:noProof/>
          <w:sz w:val="20"/>
          <w:szCs w:val="20"/>
        </w:rPr>
        <w:t>Biopolymers,</w:t>
      </w:r>
      <w:r w:rsidRPr="00610E48">
        <w:rPr>
          <w:rFonts w:ascii="Calibri" w:hAnsi="Calibri"/>
          <w:noProof/>
          <w:sz w:val="20"/>
          <w:szCs w:val="20"/>
        </w:rPr>
        <w:t xml:space="preserve"> </w:t>
      </w:r>
      <w:r w:rsidRPr="00610E48">
        <w:rPr>
          <w:rFonts w:ascii="Calibri" w:hAnsi="Calibri"/>
          <w:b/>
          <w:noProof/>
          <w:sz w:val="20"/>
          <w:szCs w:val="20"/>
        </w:rPr>
        <w:t>1970</w:t>
      </w:r>
      <w:r w:rsidRPr="00610E48">
        <w:rPr>
          <w:rFonts w:ascii="Calibri" w:hAnsi="Calibri"/>
          <w:noProof/>
          <w:sz w:val="20"/>
          <w:szCs w:val="20"/>
        </w:rPr>
        <w:t xml:space="preserve">, </w:t>
      </w:r>
      <w:r w:rsidRPr="00610E48">
        <w:rPr>
          <w:rFonts w:ascii="Calibri" w:hAnsi="Calibri"/>
          <w:i/>
          <w:noProof/>
          <w:sz w:val="20"/>
          <w:szCs w:val="20"/>
        </w:rPr>
        <w:t>9</w:t>
      </w:r>
      <w:r w:rsidRPr="00610E48">
        <w:rPr>
          <w:rFonts w:ascii="Calibri" w:hAnsi="Calibri"/>
          <w:noProof/>
          <w:sz w:val="20"/>
          <w:szCs w:val="20"/>
        </w:rPr>
        <w:t>, 1125-1227.</w:t>
      </w:r>
      <w:bookmarkEnd w:id="248"/>
    </w:p>
    <w:p w:rsidR="00512D09" w:rsidRPr="00610E48" w:rsidRDefault="00512D09" w:rsidP="00512D09">
      <w:pPr>
        <w:spacing w:after="0" w:line="240" w:lineRule="auto"/>
        <w:rPr>
          <w:rFonts w:ascii="Calibri" w:hAnsi="Calibri"/>
          <w:noProof/>
          <w:sz w:val="20"/>
          <w:szCs w:val="20"/>
        </w:rPr>
      </w:pPr>
      <w:bookmarkStart w:id="249" w:name="_ENREF_14"/>
      <w:r w:rsidRPr="00610E48">
        <w:rPr>
          <w:rFonts w:ascii="Calibri" w:hAnsi="Calibri"/>
          <w:noProof/>
          <w:sz w:val="20"/>
          <w:szCs w:val="20"/>
        </w:rPr>
        <w:tab/>
        <w:t>(14)</w:t>
      </w:r>
      <w:r w:rsidRPr="00610E48">
        <w:rPr>
          <w:rFonts w:ascii="Calibri" w:hAnsi="Calibri"/>
          <w:noProof/>
          <w:sz w:val="20"/>
          <w:szCs w:val="20"/>
        </w:rPr>
        <w:tab/>
        <w:t xml:space="preserve">Grunwald, E.; Steel, C.: Solvent reorganization and thermodynamic enthalpy-entropy compensation.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1995</w:t>
      </w:r>
      <w:r w:rsidRPr="00610E48">
        <w:rPr>
          <w:rFonts w:ascii="Calibri" w:hAnsi="Calibri"/>
          <w:noProof/>
          <w:sz w:val="20"/>
          <w:szCs w:val="20"/>
        </w:rPr>
        <w:t xml:space="preserve">, </w:t>
      </w:r>
      <w:r w:rsidRPr="00610E48">
        <w:rPr>
          <w:rFonts w:ascii="Calibri" w:hAnsi="Calibri"/>
          <w:i/>
          <w:noProof/>
          <w:sz w:val="20"/>
          <w:szCs w:val="20"/>
        </w:rPr>
        <w:t>117</w:t>
      </w:r>
      <w:r w:rsidRPr="00610E48">
        <w:rPr>
          <w:rFonts w:ascii="Calibri" w:hAnsi="Calibri"/>
          <w:noProof/>
          <w:sz w:val="20"/>
          <w:szCs w:val="20"/>
        </w:rPr>
        <w:t>, 5687-5692.</w:t>
      </w:r>
      <w:bookmarkEnd w:id="249"/>
    </w:p>
    <w:p w:rsidR="00512D09" w:rsidRPr="00610E48" w:rsidRDefault="00512D09" w:rsidP="00512D09">
      <w:pPr>
        <w:spacing w:after="0" w:line="240" w:lineRule="auto"/>
        <w:rPr>
          <w:rFonts w:ascii="Calibri" w:hAnsi="Calibri"/>
          <w:noProof/>
          <w:sz w:val="20"/>
          <w:szCs w:val="20"/>
        </w:rPr>
      </w:pPr>
      <w:bookmarkStart w:id="250" w:name="_ENREF_15"/>
      <w:r w:rsidRPr="00610E48">
        <w:rPr>
          <w:rFonts w:ascii="Calibri" w:hAnsi="Calibri"/>
          <w:noProof/>
          <w:sz w:val="20"/>
          <w:szCs w:val="20"/>
        </w:rPr>
        <w:tab/>
        <w:t>(15)</w:t>
      </w:r>
      <w:r w:rsidRPr="00610E48">
        <w:rPr>
          <w:rFonts w:ascii="Calibri" w:hAnsi="Calibri"/>
          <w:noProof/>
          <w:sz w:val="20"/>
          <w:szCs w:val="20"/>
        </w:rPr>
        <w:tab/>
        <w:t xml:space="preserve">Whitesides, G. M.; Krishnamurthy, V. M.: Designing ligands to bind proteins. </w:t>
      </w:r>
      <w:r w:rsidRPr="00610E48">
        <w:rPr>
          <w:rFonts w:ascii="Calibri" w:hAnsi="Calibri"/>
          <w:i/>
          <w:noProof/>
          <w:sz w:val="20"/>
          <w:szCs w:val="20"/>
        </w:rPr>
        <w:t>Quarterly Reviews of Biophysics,</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38</w:t>
      </w:r>
      <w:r w:rsidRPr="00610E48">
        <w:rPr>
          <w:rFonts w:ascii="Calibri" w:hAnsi="Calibri"/>
          <w:noProof/>
          <w:sz w:val="20"/>
          <w:szCs w:val="20"/>
        </w:rPr>
        <w:t>, 385-395.</w:t>
      </w:r>
      <w:bookmarkEnd w:id="250"/>
    </w:p>
    <w:p w:rsidR="00512D09" w:rsidRPr="00610E48" w:rsidRDefault="00512D09" w:rsidP="00512D09">
      <w:pPr>
        <w:spacing w:after="0" w:line="240" w:lineRule="auto"/>
        <w:rPr>
          <w:rFonts w:ascii="Calibri" w:hAnsi="Calibri"/>
          <w:noProof/>
          <w:sz w:val="20"/>
          <w:szCs w:val="20"/>
        </w:rPr>
      </w:pPr>
      <w:bookmarkStart w:id="251" w:name="_ENREF_16"/>
      <w:r w:rsidRPr="00610E48">
        <w:rPr>
          <w:rFonts w:ascii="Calibri" w:hAnsi="Calibri"/>
          <w:noProof/>
          <w:sz w:val="20"/>
          <w:szCs w:val="20"/>
        </w:rPr>
        <w:tab/>
        <w:t>(16)</w:t>
      </w:r>
      <w:r w:rsidRPr="00610E48">
        <w:rPr>
          <w:rFonts w:ascii="Calibri" w:hAnsi="Calibri"/>
          <w:noProof/>
          <w:sz w:val="20"/>
          <w:szCs w:val="20"/>
        </w:rPr>
        <w:tab/>
        <w:t xml:space="preserve">Frank, H. S.; Evans, M. W.: Free Volume and Entropy in Condensed Systems .3. Entropy in Binary Liquid Mixtures - Partial Molal Entropy in Dilute Solutions - Structure and Thermodynamics in Aqueous Electrolytes. </w:t>
      </w:r>
      <w:r w:rsidRPr="00610E48">
        <w:rPr>
          <w:rFonts w:ascii="Calibri" w:hAnsi="Calibri"/>
          <w:i/>
          <w:noProof/>
          <w:sz w:val="20"/>
          <w:szCs w:val="20"/>
        </w:rPr>
        <w:t>Journal of Chemical Physics,</w:t>
      </w:r>
      <w:r w:rsidRPr="00610E48">
        <w:rPr>
          <w:rFonts w:ascii="Calibri" w:hAnsi="Calibri"/>
          <w:noProof/>
          <w:sz w:val="20"/>
          <w:szCs w:val="20"/>
        </w:rPr>
        <w:t xml:space="preserve"> </w:t>
      </w:r>
      <w:r w:rsidRPr="00610E48">
        <w:rPr>
          <w:rFonts w:ascii="Calibri" w:hAnsi="Calibri"/>
          <w:b/>
          <w:noProof/>
          <w:sz w:val="20"/>
          <w:szCs w:val="20"/>
        </w:rPr>
        <w:t>1945</w:t>
      </w:r>
      <w:r w:rsidRPr="00610E48">
        <w:rPr>
          <w:rFonts w:ascii="Calibri" w:hAnsi="Calibri"/>
          <w:noProof/>
          <w:sz w:val="20"/>
          <w:szCs w:val="20"/>
        </w:rPr>
        <w:t xml:space="preserve">, </w:t>
      </w:r>
      <w:r w:rsidRPr="00610E48">
        <w:rPr>
          <w:rFonts w:ascii="Calibri" w:hAnsi="Calibri"/>
          <w:i/>
          <w:noProof/>
          <w:sz w:val="20"/>
          <w:szCs w:val="20"/>
        </w:rPr>
        <w:t>13</w:t>
      </w:r>
      <w:r w:rsidRPr="00610E48">
        <w:rPr>
          <w:rFonts w:ascii="Calibri" w:hAnsi="Calibri"/>
          <w:noProof/>
          <w:sz w:val="20"/>
          <w:szCs w:val="20"/>
        </w:rPr>
        <w:t>, 507-532.</w:t>
      </w:r>
      <w:bookmarkEnd w:id="251"/>
    </w:p>
    <w:p w:rsidR="00512D09" w:rsidRPr="00610E48" w:rsidRDefault="00512D09" w:rsidP="00512D09">
      <w:pPr>
        <w:spacing w:after="0" w:line="240" w:lineRule="auto"/>
        <w:rPr>
          <w:rFonts w:ascii="Calibri" w:hAnsi="Calibri"/>
          <w:noProof/>
          <w:sz w:val="20"/>
          <w:szCs w:val="20"/>
        </w:rPr>
      </w:pPr>
      <w:bookmarkStart w:id="252" w:name="_ENREF_17"/>
      <w:r w:rsidRPr="00610E48">
        <w:rPr>
          <w:rFonts w:ascii="Calibri" w:hAnsi="Calibri"/>
          <w:noProof/>
          <w:sz w:val="20"/>
          <w:szCs w:val="20"/>
        </w:rPr>
        <w:tab/>
        <w:t>(17)</w:t>
      </w:r>
      <w:r w:rsidRPr="00610E48">
        <w:rPr>
          <w:rFonts w:ascii="Calibri" w:hAnsi="Calibri"/>
          <w:noProof/>
          <w:sz w:val="20"/>
          <w:szCs w:val="20"/>
        </w:rPr>
        <w:tab/>
        <w:t xml:space="preserve">Chaplin, M.: Water Structure and Science. In </w:t>
      </w:r>
      <w:r w:rsidRPr="00610E48">
        <w:rPr>
          <w:rFonts w:ascii="Calibri" w:hAnsi="Calibri"/>
          <w:i/>
          <w:noProof/>
          <w:sz w:val="20"/>
          <w:szCs w:val="20"/>
        </w:rPr>
        <w:t>Hydrogen bonding in water</w:t>
      </w:r>
      <w:r w:rsidRPr="00610E48">
        <w:rPr>
          <w:rFonts w:ascii="Calibri" w:hAnsi="Calibri"/>
          <w:noProof/>
          <w:sz w:val="20"/>
          <w:szCs w:val="20"/>
        </w:rPr>
        <w:t>, 2000;.</w:t>
      </w:r>
      <w:bookmarkEnd w:id="252"/>
      <w:r w:rsidR="00452DB9" w:rsidRPr="00610E48">
        <w:rPr>
          <w:rFonts w:ascii="Arial" w:hAnsi="Arial" w:cs="Arial"/>
          <w:sz w:val="20"/>
          <w:szCs w:val="20"/>
        </w:rPr>
        <w:t xml:space="preserve"> </w:t>
      </w:r>
      <w:r w:rsidR="00452DB9" w:rsidRPr="00610E48">
        <w:rPr>
          <w:sz w:val="20"/>
          <w:szCs w:val="20"/>
        </w:rPr>
        <w:t>Available at: http://</w:t>
      </w:r>
      <w:r w:rsidR="00452DB9" w:rsidRPr="00610E48">
        <w:rPr>
          <w:sz w:val="20"/>
          <w:szCs w:val="20"/>
          <w:u w:val="single"/>
        </w:rPr>
        <w:t xml:space="preserve">www1.lsbu.ac.uk/water/water_hydrogen_bonding.html </w:t>
      </w:r>
      <w:r w:rsidR="00452DB9" w:rsidRPr="00610E48">
        <w:rPr>
          <w:sz w:val="20"/>
          <w:szCs w:val="20"/>
        </w:rPr>
        <w:t>(Accessed: 28/07/2016)</w:t>
      </w:r>
    </w:p>
    <w:p w:rsidR="00512D09" w:rsidRPr="00610E48" w:rsidRDefault="00512D09" w:rsidP="00512D09">
      <w:pPr>
        <w:spacing w:after="0" w:line="240" w:lineRule="auto"/>
        <w:rPr>
          <w:rFonts w:ascii="Calibri" w:hAnsi="Calibri"/>
          <w:noProof/>
          <w:sz w:val="20"/>
          <w:szCs w:val="20"/>
        </w:rPr>
      </w:pPr>
      <w:bookmarkStart w:id="253" w:name="_ENREF_18"/>
      <w:r w:rsidRPr="00610E48">
        <w:rPr>
          <w:rFonts w:ascii="Calibri" w:hAnsi="Calibri"/>
          <w:noProof/>
          <w:sz w:val="20"/>
          <w:szCs w:val="20"/>
        </w:rPr>
        <w:tab/>
        <w:t>(18)</w:t>
      </w:r>
      <w:r w:rsidRPr="00610E48">
        <w:rPr>
          <w:rFonts w:ascii="Calibri" w:hAnsi="Calibri"/>
          <w:noProof/>
          <w:sz w:val="20"/>
          <w:szCs w:val="20"/>
        </w:rPr>
        <w:tab/>
        <w:t xml:space="preserve">Baldwin, R. L.: Temperature dependence of the hydrophobic interaction in protein folding.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1986</w:t>
      </w:r>
      <w:r w:rsidRPr="00610E48">
        <w:rPr>
          <w:rFonts w:ascii="Calibri" w:hAnsi="Calibri"/>
          <w:noProof/>
          <w:sz w:val="20"/>
          <w:szCs w:val="20"/>
        </w:rPr>
        <w:t xml:space="preserve">, </w:t>
      </w:r>
      <w:r w:rsidRPr="00610E48">
        <w:rPr>
          <w:rFonts w:ascii="Calibri" w:hAnsi="Calibri"/>
          <w:i/>
          <w:noProof/>
          <w:sz w:val="20"/>
          <w:szCs w:val="20"/>
        </w:rPr>
        <w:t>83</w:t>
      </w:r>
      <w:r w:rsidRPr="00610E48">
        <w:rPr>
          <w:rFonts w:ascii="Calibri" w:hAnsi="Calibri"/>
          <w:noProof/>
          <w:sz w:val="20"/>
          <w:szCs w:val="20"/>
        </w:rPr>
        <w:t>, 8069-8072.</w:t>
      </w:r>
      <w:bookmarkEnd w:id="253"/>
    </w:p>
    <w:p w:rsidR="00512D09" w:rsidRPr="00610E48" w:rsidRDefault="00512D09" w:rsidP="00512D09">
      <w:pPr>
        <w:spacing w:after="0" w:line="240" w:lineRule="auto"/>
        <w:rPr>
          <w:rFonts w:ascii="Calibri" w:hAnsi="Calibri"/>
          <w:noProof/>
          <w:sz w:val="20"/>
          <w:szCs w:val="20"/>
        </w:rPr>
      </w:pPr>
      <w:bookmarkStart w:id="254" w:name="_ENREF_19"/>
      <w:r w:rsidRPr="00610E48">
        <w:rPr>
          <w:rFonts w:ascii="Calibri" w:hAnsi="Calibri"/>
          <w:noProof/>
          <w:sz w:val="20"/>
          <w:szCs w:val="20"/>
        </w:rPr>
        <w:tab/>
        <w:t>(19)</w:t>
      </w:r>
      <w:r w:rsidRPr="00610E48">
        <w:rPr>
          <w:rFonts w:ascii="Calibri" w:hAnsi="Calibri"/>
          <w:noProof/>
          <w:sz w:val="20"/>
          <w:szCs w:val="20"/>
        </w:rPr>
        <w:tab/>
        <w:t xml:space="preserve">Franks, F.; Gent, M.; Johnson, H. H.: 505. The solubility of benzene in water. </w:t>
      </w:r>
      <w:r w:rsidRPr="00610E48">
        <w:rPr>
          <w:rFonts w:ascii="Calibri" w:hAnsi="Calibri"/>
          <w:i/>
          <w:noProof/>
          <w:sz w:val="20"/>
          <w:szCs w:val="20"/>
        </w:rPr>
        <w:t>Journal of the Chemical Society (Resumed),</w:t>
      </w:r>
      <w:r w:rsidRPr="00610E48">
        <w:rPr>
          <w:rFonts w:ascii="Calibri" w:hAnsi="Calibri"/>
          <w:noProof/>
          <w:sz w:val="20"/>
          <w:szCs w:val="20"/>
        </w:rPr>
        <w:t xml:space="preserve"> </w:t>
      </w:r>
      <w:r w:rsidRPr="00610E48">
        <w:rPr>
          <w:rFonts w:ascii="Calibri" w:hAnsi="Calibri"/>
          <w:b/>
          <w:noProof/>
          <w:sz w:val="20"/>
          <w:szCs w:val="20"/>
        </w:rPr>
        <w:t>1963</w:t>
      </w:r>
      <w:r w:rsidRPr="00610E48">
        <w:rPr>
          <w:rFonts w:ascii="Calibri" w:hAnsi="Calibri"/>
          <w:noProof/>
          <w:sz w:val="20"/>
          <w:szCs w:val="20"/>
        </w:rPr>
        <w:t>, 2716-2723.</w:t>
      </w:r>
      <w:bookmarkEnd w:id="254"/>
    </w:p>
    <w:p w:rsidR="00512D09" w:rsidRPr="00610E48" w:rsidRDefault="00512D09" w:rsidP="00512D09">
      <w:pPr>
        <w:spacing w:after="0" w:line="240" w:lineRule="auto"/>
        <w:rPr>
          <w:rFonts w:ascii="Calibri" w:hAnsi="Calibri"/>
          <w:noProof/>
          <w:sz w:val="20"/>
          <w:szCs w:val="20"/>
        </w:rPr>
      </w:pPr>
      <w:bookmarkStart w:id="255" w:name="_ENREF_20"/>
      <w:r w:rsidRPr="00610E48">
        <w:rPr>
          <w:rFonts w:ascii="Calibri" w:hAnsi="Calibri"/>
          <w:noProof/>
          <w:sz w:val="20"/>
          <w:szCs w:val="20"/>
        </w:rPr>
        <w:tab/>
        <w:t>(20)</w:t>
      </w:r>
      <w:r w:rsidRPr="00610E48">
        <w:rPr>
          <w:rFonts w:ascii="Calibri" w:hAnsi="Calibri"/>
          <w:noProof/>
          <w:sz w:val="20"/>
          <w:szCs w:val="20"/>
        </w:rPr>
        <w:tab/>
        <w:t xml:space="preserve">Davis, J. G.; Gierszal, K. P.; Wang, P.; Ben-Amotz, D.: Water structural transformation at molecular hydrophobic interfaces. </w:t>
      </w:r>
      <w:r w:rsidRPr="00610E48">
        <w:rPr>
          <w:rFonts w:ascii="Calibri" w:hAnsi="Calibri"/>
          <w:i/>
          <w:noProof/>
          <w:sz w:val="20"/>
          <w:szCs w:val="20"/>
        </w:rPr>
        <w:t>Nature,</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491</w:t>
      </w:r>
      <w:r w:rsidRPr="00610E48">
        <w:rPr>
          <w:rFonts w:ascii="Calibri" w:hAnsi="Calibri"/>
          <w:noProof/>
          <w:sz w:val="20"/>
          <w:szCs w:val="20"/>
        </w:rPr>
        <w:t>, 582-585.</w:t>
      </w:r>
      <w:bookmarkEnd w:id="255"/>
    </w:p>
    <w:p w:rsidR="00512D09" w:rsidRPr="00610E48" w:rsidRDefault="00512D09" w:rsidP="00512D09">
      <w:pPr>
        <w:spacing w:after="0" w:line="240" w:lineRule="auto"/>
        <w:rPr>
          <w:rFonts w:ascii="Calibri" w:hAnsi="Calibri"/>
          <w:noProof/>
          <w:sz w:val="20"/>
          <w:szCs w:val="20"/>
        </w:rPr>
      </w:pPr>
      <w:bookmarkStart w:id="256" w:name="_ENREF_21"/>
      <w:r w:rsidRPr="00610E48">
        <w:rPr>
          <w:rFonts w:ascii="Calibri" w:hAnsi="Calibri"/>
          <w:noProof/>
          <w:sz w:val="20"/>
          <w:szCs w:val="20"/>
        </w:rPr>
        <w:tab/>
        <w:t>(21)</w:t>
      </w:r>
      <w:r w:rsidRPr="00610E48">
        <w:rPr>
          <w:rFonts w:ascii="Calibri" w:hAnsi="Calibri"/>
          <w:noProof/>
          <w:sz w:val="20"/>
          <w:szCs w:val="20"/>
        </w:rPr>
        <w:tab/>
        <w:t xml:space="preserve">Kauzmann, W.: The Three Dimensional Structures of Proteins. </w:t>
      </w:r>
      <w:r w:rsidRPr="00610E48">
        <w:rPr>
          <w:rFonts w:ascii="Calibri" w:hAnsi="Calibri"/>
          <w:i/>
          <w:noProof/>
          <w:sz w:val="20"/>
          <w:szCs w:val="20"/>
        </w:rPr>
        <w:t>Biophysical Journal,</w:t>
      </w:r>
      <w:r w:rsidRPr="00610E48">
        <w:rPr>
          <w:rFonts w:ascii="Calibri" w:hAnsi="Calibri"/>
          <w:noProof/>
          <w:sz w:val="20"/>
          <w:szCs w:val="20"/>
        </w:rPr>
        <w:t xml:space="preserve"> </w:t>
      </w:r>
      <w:r w:rsidRPr="00610E48">
        <w:rPr>
          <w:rFonts w:ascii="Calibri" w:hAnsi="Calibri"/>
          <w:b/>
          <w:noProof/>
          <w:sz w:val="20"/>
          <w:szCs w:val="20"/>
        </w:rPr>
        <w:t>1964</w:t>
      </w:r>
      <w:r w:rsidRPr="00610E48">
        <w:rPr>
          <w:rFonts w:ascii="Calibri" w:hAnsi="Calibri"/>
          <w:noProof/>
          <w:sz w:val="20"/>
          <w:szCs w:val="20"/>
        </w:rPr>
        <w:t xml:space="preserve">, </w:t>
      </w:r>
      <w:r w:rsidRPr="00610E48">
        <w:rPr>
          <w:rFonts w:ascii="Calibri" w:hAnsi="Calibri"/>
          <w:i/>
          <w:noProof/>
          <w:sz w:val="20"/>
          <w:szCs w:val="20"/>
        </w:rPr>
        <w:t>4</w:t>
      </w:r>
      <w:r w:rsidRPr="00610E48">
        <w:rPr>
          <w:rFonts w:ascii="Calibri" w:hAnsi="Calibri"/>
          <w:noProof/>
          <w:sz w:val="20"/>
          <w:szCs w:val="20"/>
        </w:rPr>
        <w:t>, 43-54.</w:t>
      </w:r>
      <w:bookmarkEnd w:id="256"/>
    </w:p>
    <w:p w:rsidR="00512D09" w:rsidRPr="00610E48" w:rsidRDefault="00512D09" w:rsidP="00512D09">
      <w:pPr>
        <w:spacing w:after="0" w:line="240" w:lineRule="auto"/>
        <w:rPr>
          <w:rFonts w:ascii="Calibri" w:hAnsi="Calibri"/>
          <w:noProof/>
          <w:sz w:val="20"/>
          <w:szCs w:val="20"/>
        </w:rPr>
      </w:pPr>
      <w:bookmarkStart w:id="257" w:name="_ENREF_22"/>
      <w:r w:rsidRPr="00610E48">
        <w:rPr>
          <w:rFonts w:ascii="Calibri" w:hAnsi="Calibri"/>
          <w:noProof/>
          <w:sz w:val="20"/>
          <w:szCs w:val="20"/>
        </w:rPr>
        <w:tab/>
        <w:t>(22)</w:t>
      </w:r>
      <w:r w:rsidRPr="00610E48">
        <w:rPr>
          <w:rFonts w:ascii="Calibri" w:hAnsi="Calibri"/>
          <w:noProof/>
          <w:sz w:val="20"/>
          <w:szCs w:val="20"/>
        </w:rPr>
        <w:tab/>
        <w:t xml:space="preserve">Mirejovsky, D.; Arnett, E. M.: Heat capacities of solution for alcohols in polar solvents and the new view of hydrophobic effects.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1983</w:t>
      </w:r>
      <w:r w:rsidRPr="00610E48">
        <w:rPr>
          <w:rFonts w:ascii="Calibri" w:hAnsi="Calibri"/>
          <w:noProof/>
          <w:sz w:val="20"/>
          <w:szCs w:val="20"/>
        </w:rPr>
        <w:t xml:space="preserve">, </w:t>
      </w:r>
      <w:r w:rsidRPr="00610E48">
        <w:rPr>
          <w:rFonts w:ascii="Calibri" w:hAnsi="Calibri"/>
          <w:i/>
          <w:noProof/>
          <w:sz w:val="20"/>
          <w:szCs w:val="20"/>
        </w:rPr>
        <w:t>105</w:t>
      </w:r>
      <w:r w:rsidRPr="00610E48">
        <w:rPr>
          <w:rFonts w:ascii="Calibri" w:hAnsi="Calibri"/>
          <w:noProof/>
          <w:sz w:val="20"/>
          <w:szCs w:val="20"/>
        </w:rPr>
        <w:t>, 1112-1117.</w:t>
      </w:r>
      <w:bookmarkEnd w:id="257"/>
    </w:p>
    <w:p w:rsidR="00512D09" w:rsidRPr="00610E48" w:rsidRDefault="00512D09" w:rsidP="00512D09">
      <w:pPr>
        <w:spacing w:after="0" w:line="240" w:lineRule="auto"/>
        <w:rPr>
          <w:rFonts w:ascii="Calibri" w:hAnsi="Calibri"/>
          <w:noProof/>
          <w:sz w:val="20"/>
          <w:szCs w:val="20"/>
        </w:rPr>
      </w:pPr>
      <w:bookmarkStart w:id="258" w:name="_ENREF_23"/>
      <w:r w:rsidRPr="00610E48">
        <w:rPr>
          <w:rFonts w:ascii="Calibri" w:hAnsi="Calibri"/>
          <w:noProof/>
          <w:sz w:val="20"/>
          <w:szCs w:val="20"/>
        </w:rPr>
        <w:lastRenderedPageBreak/>
        <w:tab/>
        <w:t>(23)</w:t>
      </w:r>
      <w:r w:rsidRPr="00610E48">
        <w:rPr>
          <w:rFonts w:ascii="Calibri" w:hAnsi="Calibri"/>
          <w:noProof/>
          <w:sz w:val="20"/>
          <w:szCs w:val="20"/>
        </w:rPr>
        <w:tab/>
        <w:t xml:space="preserve">Biela, A.; Nasief, N. N.; Betz, M.; Heine, A.; Hangauer, D.; Klebe, G.: Dissecting the Hydrophobic Effect on the Molecular Level: The Role of Water, Enthalpy, and Entropy in Ligand Binding to Thermolysin. </w:t>
      </w:r>
      <w:r w:rsidRPr="00610E48">
        <w:rPr>
          <w:rFonts w:ascii="Calibri" w:hAnsi="Calibri"/>
          <w:i/>
          <w:noProof/>
          <w:sz w:val="20"/>
          <w:szCs w:val="20"/>
        </w:rPr>
        <w:t>Angewandte Chemie International Edition,</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52</w:t>
      </w:r>
      <w:r w:rsidRPr="00610E48">
        <w:rPr>
          <w:rFonts w:ascii="Calibri" w:hAnsi="Calibri"/>
          <w:noProof/>
          <w:sz w:val="20"/>
          <w:szCs w:val="20"/>
        </w:rPr>
        <w:t>, 1822-1828.</w:t>
      </w:r>
      <w:bookmarkEnd w:id="258"/>
    </w:p>
    <w:p w:rsidR="00512D09" w:rsidRPr="00610E48" w:rsidRDefault="00512D09" w:rsidP="00512D09">
      <w:pPr>
        <w:spacing w:after="0" w:line="240" w:lineRule="auto"/>
        <w:rPr>
          <w:rFonts w:ascii="Calibri" w:hAnsi="Calibri"/>
          <w:noProof/>
          <w:sz w:val="20"/>
          <w:szCs w:val="20"/>
        </w:rPr>
      </w:pPr>
      <w:bookmarkStart w:id="259" w:name="_ENREF_24"/>
      <w:r w:rsidRPr="00610E48">
        <w:rPr>
          <w:rFonts w:ascii="Calibri" w:hAnsi="Calibri"/>
          <w:noProof/>
          <w:sz w:val="20"/>
          <w:szCs w:val="20"/>
        </w:rPr>
        <w:tab/>
        <w:t>(24)</w:t>
      </w:r>
      <w:r w:rsidRPr="00610E48">
        <w:rPr>
          <w:rFonts w:ascii="Calibri" w:hAnsi="Calibri"/>
          <w:noProof/>
          <w:sz w:val="20"/>
          <w:szCs w:val="20"/>
        </w:rPr>
        <w:tab/>
        <w:t xml:space="preserve">Böcskei, Z.; Findlay, J. B. C.; North, A. C. T.; Phillips, S. E. V.; Somers, W. S.; Wright, C. E.; Lionetti, C.; Tirindelli, R.; Cavaggioni, A.: Crystallization of and preliminary X-ray data for the mouse major urinary protein and rat α-2u globulin.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1991</w:t>
      </w:r>
      <w:r w:rsidRPr="00610E48">
        <w:rPr>
          <w:rFonts w:ascii="Calibri" w:hAnsi="Calibri"/>
          <w:noProof/>
          <w:sz w:val="20"/>
          <w:szCs w:val="20"/>
        </w:rPr>
        <w:t xml:space="preserve">, </w:t>
      </w:r>
      <w:r w:rsidRPr="00610E48">
        <w:rPr>
          <w:rFonts w:ascii="Calibri" w:hAnsi="Calibri"/>
          <w:i/>
          <w:noProof/>
          <w:sz w:val="20"/>
          <w:szCs w:val="20"/>
        </w:rPr>
        <w:t>218</w:t>
      </w:r>
      <w:r w:rsidRPr="00610E48">
        <w:rPr>
          <w:rFonts w:ascii="Calibri" w:hAnsi="Calibri"/>
          <w:noProof/>
          <w:sz w:val="20"/>
          <w:szCs w:val="20"/>
        </w:rPr>
        <w:t>, 699-701.</w:t>
      </w:r>
      <w:bookmarkEnd w:id="259"/>
    </w:p>
    <w:p w:rsidR="00512D09" w:rsidRPr="00610E48" w:rsidRDefault="00512D09" w:rsidP="00512D09">
      <w:pPr>
        <w:spacing w:after="0" w:line="240" w:lineRule="auto"/>
        <w:rPr>
          <w:rFonts w:ascii="Calibri" w:hAnsi="Calibri"/>
          <w:noProof/>
          <w:sz w:val="20"/>
          <w:szCs w:val="20"/>
        </w:rPr>
      </w:pPr>
      <w:bookmarkStart w:id="260" w:name="_ENREF_25"/>
      <w:r w:rsidRPr="00610E48">
        <w:rPr>
          <w:rFonts w:ascii="Calibri" w:hAnsi="Calibri"/>
          <w:noProof/>
          <w:sz w:val="20"/>
          <w:szCs w:val="20"/>
        </w:rPr>
        <w:tab/>
        <w:t>(25)</w:t>
      </w:r>
      <w:r w:rsidRPr="00610E48">
        <w:rPr>
          <w:rFonts w:ascii="Calibri" w:hAnsi="Calibri"/>
          <w:noProof/>
          <w:sz w:val="20"/>
          <w:szCs w:val="20"/>
        </w:rPr>
        <w:tab/>
        <w:t xml:space="preserve">Bingham, R. J.; Findlay, J. B. C.; Hsieh, S.-Y.; Kalverda, A. P.; Kjellberg, A.; Perazzolo, C.; Phillips, S. E. V.; Seshadri, K.; Trinh, C. H.; Turnbull, W. B.; Bodenhausen, G.; Homans, S. W.: Thermodynamics of Binding of 2-Methoxy-3-isopropylpyrazine and 2-Methoxy-3-isobutylpyrazine to the Major Urinary Protein.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126</w:t>
      </w:r>
      <w:r w:rsidRPr="00610E48">
        <w:rPr>
          <w:rFonts w:ascii="Calibri" w:hAnsi="Calibri"/>
          <w:noProof/>
          <w:sz w:val="20"/>
          <w:szCs w:val="20"/>
        </w:rPr>
        <w:t>, 1675-1681.</w:t>
      </w:r>
      <w:bookmarkEnd w:id="260"/>
    </w:p>
    <w:p w:rsidR="00512D09" w:rsidRPr="00610E48" w:rsidRDefault="00512D09" w:rsidP="00512D09">
      <w:pPr>
        <w:spacing w:after="0" w:line="240" w:lineRule="auto"/>
        <w:rPr>
          <w:rFonts w:ascii="Calibri" w:hAnsi="Calibri"/>
          <w:noProof/>
          <w:sz w:val="20"/>
          <w:szCs w:val="20"/>
        </w:rPr>
      </w:pPr>
      <w:bookmarkStart w:id="261" w:name="_ENREF_26"/>
      <w:r w:rsidRPr="00610E48">
        <w:rPr>
          <w:rFonts w:ascii="Calibri" w:hAnsi="Calibri"/>
          <w:noProof/>
          <w:sz w:val="20"/>
          <w:szCs w:val="20"/>
        </w:rPr>
        <w:tab/>
        <w:t>(26)</w:t>
      </w:r>
      <w:r w:rsidRPr="00610E48">
        <w:rPr>
          <w:rFonts w:ascii="Calibri" w:hAnsi="Calibri"/>
          <w:noProof/>
          <w:sz w:val="20"/>
          <w:szCs w:val="20"/>
        </w:rPr>
        <w:tab/>
        <w:t xml:space="preserve">Barratt, E.; Bingham, R. J.; Warner, D. J.; Laughton, C. A.; Phillips, S. E. V.; Homans, S. W.: Van der Waals Interactions Dominate Ligand−Protein Association in a Protein Binding Site Occluded from Solvent Water.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127</w:t>
      </w:r>
      <w:r w:rsidRPr="00610E48">
        <w:rPr>
          <w:rFonts w:ascii="Calibri" w:hAnsi="Calibri"/>
          <w:noProof/>
          <w:sz w:val="20"/>
          <w:szCs w:val="20"/>
        </w:rPr>
        <w:t>, 11827-11834.</w:t>
      </w:r>
      <w:bookmarkEnd w:id="261"/>
    </w:p>
    <w:p w:rsidR="00512D09" w:rsidRPr="00610E48" w:rsidRDefault="00512D09" w:rsidP="00512D09">
      <w:pPr>
        <w:spacing w:after="0" w:line="240" w:lineRule="auto"/>
        <w:rPr>
          <w:rFonts w:ascii="Calibri" w:hAnsi="Calibri"/>
          <w:noProof/>
          <w:sz w:val="20"/>
          <w:szCs w:val="20"/>
        </w:rPr>
      </w:pPr>
      <w:bookmarkStart w:id="262" w:name="_ENREF_27"/>
      <w:r w:rsidRPr="00610E48">
        <w:rPr>
          <w:rFonts w:ascii="Calibri" w:hAnsi="Calibri"/>
          <w:noProof/>
          <w:sz w:val="20"/>
          <w:szCs w:val="20"/>
        </w:rPr>
        <w:tab/>
        <w:t>(27)</w:t>
      </w:r>
      <w:r w:rsidRPr="00610E48">
        <w:rPr>
          <w:rFonts w:ascii="Calibri" w:hAnsi="Calibri"/>
          <w:noProof/>
          <w:sz w:val="20"/>
          <w:szCs w:val="20"/>
        </w:rPr>
        <w:tab/>
        <w:t xml:space="preserve">Syme, N. R.; Dennis, C.; Bronowska, A.; Paesen, G. C.; Homans, S. W.: Comparison of Entropic Contributions to Binding in a “Hydrophilic” versus “Hydrophobic” Ligand−Protein Interaction.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132</w:t>
      </w:r>
      <w:r w:rsidRPr="00610E48">
        <w:rPr>
          <w:rFonts w:ascii="Calibri" w:hAnsi="Calibri"/>
          <w:noProof/>
          <w:sz w:val="20"/>
          <w:szCs w:val="20"/>
        </w:rPr>
        <w:t>, 8682-8689.</w:t>
      </w:r>
      <w:bookmarkEnd w:id="262"/>
    </w:p>
    <w:p w:rsidR="00512D09" w:rsidRPr="00610E48" w:rsidRDefault="00512D09" w:rsidP="00512D09">
      <w:pPr>
        <w:spacing w:after="0" w:line="240" w:lineRule="auto"/>
        <w:rPr>
          <w:rFonts w:ascii="Calibri" w:hAnsi="Calibri"/>
          <w:noProof/>
          <w:sz w:val="20"/>
          <w:szCs w:val="20"/>
        </w:rPr>
      </w:pPr>
      <w:bookmarkStart w:id="263" w:name="_ENREF_28"/>
      <w:r w:rsidRPr="00610E48">
        <w:rPr>
          <w:rFonts w:ascii="Calibri" w:hAnsi="Calibri"/>
          <w:noProof/>
          <w:sz w:val="20"/>
          <w:szCs w:val="20"/>
        </w:rPr>
        <w:tab/>
        <w:t>(28)</w:t>
      </w:r>
      <w:r w:rsidRPr="00610E48">
        <w:rPr>
          <w:rFonts w:ascii="Calibri" w:hAnsi="Calibri"/>
          <w:noProof/>
          <w:sz w:val="20"/>
          <w:szCs w:val="20"/>
        </w:rPr>
        <w:tab/>
        <w:t xml:space="preserve">Lafont, V.; Armstrong, A. A.; Ohtaka, H.; Kiso, Y.; Mario Amzel, L.; Freire, E.: Compensating Enthalpic and Entropic Changes Hinder Binding Affinity Optimization. </w:t>
      </w:r>
      <w:r w:rsidRPr="00610E48">
        <w:rPr>
          <w:rFonts w:ascii="Calibri" w:hAnsi="Calibri"/>
          <w:i/>
          <w:noProof/>
          <w:sz w:val="20"/>
          <w:szCs w:val="20"/>
        </w:rPr>
        <w:t>Chemical biology &amp; drug design,</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69</w:t>
      </w:r>
      <w:r w:rsidRPr="00610E48">
        <w:rPr>
          <w:rFonts w:ascii="Calibri" w:hAnsi="Calibri"/>
          <w:noProof/>
          <w:sz w:val="20"/>
          <w:szCs w:val="20"/>
        </w:rPr>
        <w:t>, 413-422.</w:t>
      </w:r>
      <w:bookmarkEnd w:id="263"/>
    </w:p>
    <w:p w:rsidR="00512D09" w:rsidRPr="00610E48" w:rsidRDefault="00512D09" w:rsidP="00512D09">
      <w:pPr>
        <w:spacing w:after="0" w:line="240" w:lineRule="auto"/>
        <w:rPr>
          <w:rFonts w:ascii="Calibri" w:hAnsi="Calibri"/>
          <w:noProof/>
          <w:sz w:val="20"/>
          <w:szCs w:val="20"/>
        </w:rPr>
      </w:pPr>
      <w:bookmarkStart w:id="264" w:name="_ENREF_29"/>
      <w:r w:rsidRPr="00610E48">
        <w:rPr>
          <w:rFonts w:ascii="Calibri" w:hAnsi="Calibri"/>
          <w:noProof/>
          <w:sz w:val="20"/>
          <w:szCs w:val="20"/>
        </w:rPr>
        <w:tab/>
        <w:t>(29)</w:t>
      </w:r>
      <w:r w:rsidRPr="00610E48">
        <w:rPr>
          <w:rFonts w:ascii="Calibri" w:hAnsi="Calibri"/>
          <w:noProof/>
          <w:sz w:val="20"/>
          <w:szCs w:val="20"/>
        </w:rPr>
        <w:tab/>
        <w:t xml:space="preserve">Krishnamurthy, V. M.; Kaufman, G. K.; Urbach, A. R.; Gitlin, I.; Gudiksen, K. L.; Weibel, D. B.; Whitesides, G. M.: Carbonic Anhydrase as a Model for Biophysical and Physical-Organic Studies of Proteins and Protein−Ligand Binding. </w:t>
      </w:r>
      <w:r w:rsidRPr="00610E48">
        <w:rPr>
          <w:rFonts w:ascii="Calibri" w:hAnsi="Calibri"/>
          <w:i/>
          <w:noProof/>
          <w:sz w:val="20"/>
          <w:szCs w:val="20"/>
        </w:rPr>
        <w:t>Chemical Reviews,</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108</w:t>
      </w:r>
      <w:r w:rsidRPr="00610E48">
        <w:rPr>
          <w:rFonts w:ascii="Calibri" w:hAnsi="Calibri"/>
          <w:noProof/>
          <w:sz w:val="20"/>
          <w:szCs w:val="20"/>
        </w:rPr>
        <w:t>, 946-1051.</w:t>
      </w:r>
      <w:bookmarkEnd w:id="264"/>
    </w:p>
    <w:p w:rsidR="00512D09" w:rsidRPr="00610E48" w:rsidRDefault="00512D09" w:rsidP="00512D09">
      <w:pPr>
        <w:spacing w:after="0" w:line="240" w:lineRule="auto"/>
        <w:rPr>
          <w:rFonts w:ascii="Calibri" w:hAnsi="Calibri"/>
          <w:noProof/>
          <w:sz w:val="20"/>
          <w:szCs w:val="20"/>
        </w:rPr>
      </w:pPr>
      <w:bookmarkStart w:id="265" w:name="_ENREF_30"/>
      <w:r w:rsidRPr="00610E48">
        <w:rPr>
          <w:rFonts w:ascii="Calibri" w:hAnsi="Calibri"/>
          <w:noProof/>
          <w:sz w:val="20"/>
          <w:szCs w:val="20"/>
        </w:rPr>
        <w:tab/>
        <w:t>(30)</w:t>
      </w:r>
      <w:r w:rsidRPr="00610E48">
        <w:rPr>
          <w:rFonts w:ascii="Calibri" w:hAnsi="Calibri"/>
          <w:noProof/>
          <w:sz w:val="20"/>
          <w:szCs w:val="20"/>
        </w:rPr>
        <w:tab/>
        <w:t xml:space="preserve">Mecinović, J.; Snyder, P. W.; Mirica, K. A.; Bai, S.; Mack, E. T.; Kwant, R. L.; Moustakas, D. T.; Héroux, A.; Whitesides, G. M.: Fluoroalkyl and Alkyl Chains Have Similar Hydrophobicities in Binding to the “Hydrophobic Wall” of Carbonic Anhydrase.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133</w:t>
      </w:r>
      <w:r w:rsidRPr="00610E48">
        <w:rPr>
          <w:rFonts w:ascii="Calibri" w:hAnsi="Calibri"/>
          <w:noProof/>
          <w:sz w:val="20"/>
          <w:szCs w:val="20"/>
        </w:rPr>
        <w:t>, 14017-14026.</w:t>
      </w:r>
      <w:bookmarkEnd w:id="265"/>
    </w:p>
    <w:p w:rsidR="00512D09" w:rsidRPr="00610E48" w:rsidRDefault="00512D09" w:rsidP="00512D09">
      <w:pPr>
        <w:spacing w:after="0" w:line="240" w:lineRule="auto"/>
        <w:rPr>
          <w:rFonts w:ascii="Calibri" w:hAnsi="Calibri"/>
          <w:noProof/>
          <w:sz w:val="20"/>
          <w:szCs w:val="20"/>
        </w:rPr>
      </w:pPr>
      <w:bookmarkStart w:id="266" w:name="_ENREF_31"/>
      <w:r w:rsidRPr="00610E48">
        <w:rPr>
          <w:rFonts w:ascii="Calibri" w:hAnsi="Calibri"/>
          <w:noProof/>
          <w:sz w:val="20"/>
          <w:szCs w:val="20"/>
        </w:rPr>
        <w:tab/>
        <w:t>(31)</w:t>
      </w:r>
      <w:r w:rsidRPr="00610E48">
        <w:rPr>
          <w:rFonts w:ascii="Calibri" w:hAnsi="Calibri"/>
          <w:noProof/>
          <w:sz w:val="20"/>
          <w:szCs w:val="20"/>
        </w:rPr>
        <w:tab/>
        <w:t xml:space="preserve">Guex, N.; Peitsch, M. C.: SWISS-MODEL and the Swiss-PdbViewer: an environment for comparative protein modeling. </w:t>
      </w:r>
      <w:r w:rsidRPr="00610E48">
        <w:rPr>
          <w:rFonts w:ascii="Calibri" w:hAnsi="Calibri"/>
          <w:i/>
          <w:noProof/>
          <w:sz w:val="20"/>
          <w:szCs w:val="20"/>
        </w:rPr>
        <w:t>Electrophoresis,</w:t>
      </w:r>
      <w:r w:rsidRPr="00610E48">
        <w:rPr>
          <w:rFonts w:ascii="Calibri" w:hAnsi="Calibri"/>
          <w:noProof/>
          <w:sz w:val="20"/>
          <w:szCs w:val="20"/>
        </w:rPr>
        <w:t xml:space="preserve"> </w:t>
      </w:r>
      <w:r w:rsidRPr="00610E48">
        <w:rPr>
          <w:rFonts w:ascii="Calibri" w:hAnsi="Calibri"/>
          <w:b/>
          <w:noProof/>
          <w:sz w:val="20"/>
          <w:szCs w:val="20"/>
        </w:rPr>
        <w:t>1997</w:t>
      </w:r>
      <w:r w:rsidRPr="00610E48">
        <w:rPr>
          <w:rFonts w:ascii="Calibri" w:hAnsi="Calibri"/>
          <w:noProof/>
          <w:sz w:val="20"/>
          <w:szCs w:val="20"/>
        </w:rPr>
        <w:t xml:space="preserve">, </w:t>
      </w:r>
      <w:r w:rsidRPr="00610E48">
        <w:rPr>
          <w:rFonts w:ascii="Calibri" w:hAnsi="Calibri"/>
          <w:i/>
          <w:noProof/>
          <w:sz w:val="20"/>
          <w:szCs w:val="20"/>
        </w:rPr>
        <w:t>18</w:t>
      </w:r>
      <w:r w:rsidRPr="00610E48">
        <w:rPr>
          <w:rFonts w:ascii="Calibri" w:hAnsi="Calibri"/>
          <w:noProof/>
          <w:sz w:val="20"/>
          <w:szCs w:val="20"/>
        </w:rPr>
        <w:t>, 2714-23.</w:t>
      </w:r>
      <w:bookmarkEnd w:id="266"/>
    </w:p>
    <w:p w:rsidR="00512D09" w:rsidRPr="00610E48" w:rsidRDefault="00512D09" w:rsidP="00512D09">
      <w:pPr>
        <w:spacing w:after="0" w:line="240" w:lineRule="auto"/>
        <w:rPr>
          <w:rFonts w:ascii="Calibri" w:hAnsi="Calibri"/>
          <w:noProof/>
          <w:sz w:val="20"/>
          <w:szCs w:val="20"/>
        </w:rPr>
      </w:pPr>
      <w:bookmarkStart w:id="267" w:name="_ENREF_32"/>
      <w:r w:rsidRPr="00610E48">
        <w:rPr>
          <w:rFonts w:ascii="Calibri" w:hAnsi="Calibri"/>
          <w:noProof/>
          <w:sz w:val="20"/>
          <w:szCs w:val="20"/>
        </w:rPr>
        <w:tab/>
        <w:t>(32)</w:t>
      </w:r>
      <w:r w:rsidRPr="00610E48">
        <w:rPr>
          <w:rFonts w:ascii="Calibri" w:hAnsi="Calibri"/>
          <w:noProof/>
          <w:sz w:val="20"/>
          <w:szCs w:val="20"/>
        </w:rPr>
        <w:tab/>
        <w:t xml:space="preserve">Lockett, M. R.; Lange, H.; Breiten, B.; Heroux, A.; Sherman, W.; Rappoport, D.; Yau, P. O.; Snyder, P. W.; Whitesides, G. M.: The Binding of Benzoarylsulfonamide Ligands to Human Carbonic Anhydrase is Insensitive to Formal Fluorination of the Ligand. </w:t>
      </w:r>
      <w:r w:rsidRPr="00610E48">
        <w:rPr>
          <w:rFonts w:ascii="Calibri" w:hAnsi="Calibri"/>
          <w:i/>
          <w:noProof/>
          <w:sz w:val="20"/>
          <w:szCs w:val="20"/>
        </w:rPr>
        <w:t>Angewandte Chemie International Edition,</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52</w:t>
      </w:r>
      <w:r w:rsidRPr="00610E48">
        <w:rPr>
          <w:rFonts w:ascii="Calibri" w:hAnsi="Calibri"/>
          <w:noProof/>
          <w:sz w:val="20"/>
          <w:szCs w:val="20"/>
        </w:rPr>
        <w:t>, 7714-7717.</w:t>
      </w:r>
      <w:bookmarkEnd w:id="267"/>
    </w:p>
    <w:p w:rsidR="00512D09" w:rsidRPr="00610E48" w:rsidRDefault="00512D09" w:rsidP="00512D09">
      <w:pPr>
        <w:spacing w:after="0" w:line="240" w:lineRule="auto"/>
        <w:rPr>
          <w:rFonts w:ascii="Calibri" w:hAnsi="Calibri"/>
          <w:noProof/>
          <w:sz w:val="20"/>
          <w:szCs w:val="20"/>
        </w:rPr>
      </w:pPr>
      <w:bookmarkStart w:id="268" w:name="_ENREF_33"/>
      <w:r w:rsidRPr="00610E48">
        <w:rPr>
          <w:rFonts w:ascii="Calibri" w:hAnsi="Calibri"/>
          <w:noProof/>
          <w:sz w:val="20"/>
          <w:szCs w:val="20"/>
        </w:rPr>
        <w:tab/>
        <w:t>(33)</w:t>
      </w:r>
      <w:r w:rsidRPr="00610E48">
        <w:rPr>
          <w:rFonts w:ascii="Calibri" w:hAnsi="Calibri"/>
          <w:noProof/>
          <w:sz w:val="20"/>
          <w:szCs w:val="20"/>
        </w:rPr>
        <w:tab/>
        <w:t xml:space="preserve">Biffinger, J. C.; Kim, H. W.; DiMagno, S. G.: The polar hydrophobicity of fluorinated compounds. </w:t>
      </w:r>
      <w:r w:rsidRPr="00610E48">
        <w:rPr>
          <w:rFonts w:ascii="Calibri" w:hAnsi="Calibri"/>
          <w:i/>
          <w:noProof/>
          <w:sz w:val="20"/>
          <w:szCs w:val="20"/>
        </w:rPr>
        <w:t>Chembiochem : a European journal of chemical biology,</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5</w:t>
      </w:r>
      <w:r w:rsidRPr="00610E48">
        <w:rPr>
          <w:rFonts w:ascii="Calibri" w:hAnsi="Calibri"/>
          <w:noProof/>
          <w:sz w:val="20"/>
          <w:szCs w:val="20"/>
        </w:rPr>
        <w:t>, 622-7.</w:t>
      </w:r>
      <w:bookmarkEnd w:id="268"/>
    </w:p>
    <w:p w:rsidR="00512D09" w:rsidRPr="00610E48" w:rsidRDefault="00512D09" w:rsidP="00512D09">
      <w:pPr>
        <w:spacing w:after="0" w:line="240" w:lineRule="auto"/>
        <w:rPr>
          <w:rFonts w:ascii="Calibri" w:hAnsi="Calibri"/>
          <w:noProof/>
          <w:sz w:val="20"/>
          <w:szCs w:val="20"/>
        </w:rPr>
      </w:pPr>
      <w:bookmarkStart w:id="269" w:name="_ENREF_34"/>
      <w:r w:rsidRPr="00610E48">
        <w:rPr>
          <w:rFonts w:ascii="Calibri" w:hAnsi="Calibri"/>
          <w:noProof/>
          <w:sz w:val="20"/>
          <w:szCs w:val="20"/>
        </w:rPr>
        <w:tab/>
        <w:t>(34)</w:t>
      </w:r>
      <w:r w:rsidRPr="00610E48">
        <w:rPr>
          <w:rFonts w:ascii="Calibri" w:hAnsi="Calibri"/>
          <w:noProof/>
          <w:sz w:val="20"/>
          <w:szCs w:val="20"/>
        </w:rPr>
        <w:tab/>
        <w:t xml:space="preserve">Gao, J.; Qiao, S.; Whitesides, G. M.: Increasing Binding Constants of Ligands to Carbonic Anhydrase by Using "Greasy Tails". </w:t>
      </w:r>
      <w:r w:rsidRPr="00610E48">
        <w:rPr>
          <w:rFonts w:ascii="Calibri" w:hAnsi="Calibri"/>
          <w:i/>
          <w:noProof/>
          <w:sz w:val="20"/>
          <w:szCs w:val="20"/>
        </w:rPr>
        <w:t>J Med Chem,</w:t>
      </w:r>
      <w:r w:rsidRPr="00610E48">
        <w:rPr>
          <w:rFonts w:ascii="Calibri" w:hAnsi="Calibri"/>
          <w:noProof/>
          <w:sz w:val="20"/>
          <w:szCs w:val="20"/>
        </w:rPr>
        <w:t xml:space="preserve"> </w:t>
      </w:r>
      <w:r w:rsidRPr="00610E48">
        <w:rPr>
          <w:rFonts w:ascii="Calibri" w:hAnsi="Calibri"/>
          <w:b/>
          <w:noProof/>
          <w:sz w:val="20"/>
          <w:szCs w:val="20"/>
        </w:rPr>
        <w:t>1995</w:t>
      </w:r>
      <w:r w:rsidRPr="00610E48">
        <w:rPr>
          <w:rFonts w:ascii="Calibri" w:hAnsi="Calibri"/>
          <w:noProof/>
          <w:sz w:val="20"/>
          <w:szCs w:val="20"/>
        </w:rPr>
        <w:t xml:space="preserve">, </w:t>
      </w:r>
      <w:r w:rsidRPr="00610E48">
        <w:rPr>
          <w:rFonts w:ascii="Calibri" w:hAnsi="Calibri"/>
          <w:i/>
          <w:noProof/>
          <w:sz w:val="20"/>
          <w:szCs w:val="20"/>
        </w:rPr>
        <w:t>38</w:t>
      </w:r>
      <w:r w:rsidRPr="00610E48">
        <w:rPr>
          <w:rFonts w:ascii="Calibri" w:hAnsi="Calibri"/>
          <w:noProof/>
          <w:sz w:val="20"/>
          <w:szCs w:val="20"/>
        </w:rPr>
        <w:t>, 2292-2301.</w:t>
      </w:r>
      <w:bookmarkEnd w:id="269"/>
    </w:p>
    <w:p w:rsidR="00512D09" w:rsidRPr="00610E48" w:rsidRDefault="00512D09" w:rsidP="00512D09">
      <w:pPr>
        <w:spacing w:after="0" w:line="240" w:lineRule="auto"/>
        <w:rPr>
          <w:rFonts w:ascii="Calibri" w:hAnsi="Calibri"/>
          <w:noProof/>
          <w:sz w:val="20"/>
          <w:szCs w:val="20"/>
        </w:rPr>
      </w:pPr>
      <w:bookmarkStart w:id="270" w:name="_ENREF_35"/>
      <w:r w:rsidRPr="00610E48">
        <w:rPr>
          <w:rFonts w:ascii="Calibri" w:hAnsi="Calibri"/>
          <w:noProof/>
          <w:sz w:val="20"/>
          <w:szCs w:val="20"/>
        </w:rPr>
        <w:tab/>
        <w:t>(35)</w:t>
      </w:r>
      <w:r w:rsidRPr="00610E48">
        <w:rPr>
          <w:rFonts w:ascii="Calibri" w:hAnsi="Calibri"/>
          <w:noProof/>
          <w:sz w:val="20"/>
          <w:szCs w:val="20"/>
        </w:rPr>
        <w:tab/>
        <w:t xml:space="preserve">Huang, Y.; Rizzo, R. C.: A water-based mechanism of specificity and resistance for lapatinib with ErbB family kinases.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51</w:t>
      </w:r>
      <w:r w:rsidRPr="00610E48">
        <w:rPr>
          <w:rFonts w:ascii="Calibri" w:hAnsi="Calibri"/>
          <w:noProof/>
          <w:sz w:val="20"/>
          <w:szCs w:val="20"/>
        </w:rPr>
        <w:t>, 2390-406.</w:t>
      </w:r>
      <w:bookmarkEnd w:id="270"/>
    </w:p>
    <w:p w:rsidR="00512D09" w:rsidRPr="00610E48" w:rsidRDefault="00512D09" w:rsidP="00512D09">
      <w:pPr>
        <w:spacing w:after="0" w:line="240" w:lineRule="auto"/>
        <w:rPr>
          <w:rFonts w:ascii="Calibri" w:hAnsi="Calibri"/>
          <w:noProof/>
          <w:sz w:val="20"/>
          <w:szCs w:val="20"/>
        </w:rPr>
      </w:pPr>
      <w:bookmarkStart w:id="271" w:name="_ENREF_36"/>
      <w:r w:rsidRPr="00610E48">
        <w:rPr>
          <w:rFonts w:ascii="Calibri" w:hAnsi="Calibri"/>
          <w:noProof/>
          <w:sz w:val="20"/>
          <w:szCs w:val="20"/>
        </w:rPr>
        <w:tab/>
        <w:t>(36)</w:t>
      </w:r>
      <w:r w:rsidRPr="00610E48">
        <w:rPr>
          <w:rFonts w:ascii="Calibri" w:hAnsi="Calibri"/>
          <w:noProof/>
          <w:sz w:val="20"/>
          <w:szCs w:val="20"/>
        </w:rPr>
        <w:tab/>
        <w:t xml:space="preserve">Vega, S.; Kang, L. W.; Velazquez-Campoy, A.; Kiso, Y.; Amzel, L. M.; Freire, E.: A structural and thermodynamic escape mechanism from a drug resistant mutation of the HIV-1 protease. </w:t>
      </w:r>
      <w:r w:rsidRPr="00610E48">
        <w:rPr>
          <w:rFonts w:ascii="Calibri" w:hAnsi="Calibri"/>
          <w:i/>
          <w:noProof/>
          <w:sz w:val="20"/>
          <w:szCs w:val="20"/>
        </w:rPr>
        <w:t>Proteins,</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55</w:t>
      </w:r>
      <w:r w:rsidRPr="00610E48">
        <w:rPr>
          <w:rFonts w:ascii="Calibri" w:hAnsi="Calibri"/>
          <w:noProof/>
          <w:sz w:val="20"/>
          <w:szCs w:val="20"/>
        </w:rPr>
        <w:t>, 594-602.</w:t>
      </w:r>
      <w:bookmarkEnd w:id="271"/>
    </w:p>
    <w:p w:rsidR="00512D09" w:rsidRPr="00610E48" w:rsidRDefault="00512D09" w:rsidP="00512D09">
      <w:pPr>
        <w:spacing w:after="0" w:line="240" w:lineRule="auto"/>
        <w:rPr>
          <w:rFonts w:ascii="Calibri" w:hAnsi="Calibri"/>
          <w:noProof/>
          <w:sz w:val="20"/>
          <w:szCs w:val="20"/>
        </w:rPr>
      </w:pPr>
      <w:bookmarkStart w:id="272" w:name="_ENREF_37"/>
      <w:r w:rsidRPr="00610E48">
        <w:rPr>
          <w:rFonts w:ascii="Calibri" w:hAnsi="Calibri"/>
          <w:noProof/>
          <w:sz w:val="20"/>
          <w:szCs w:val="20"/>
        </w:rPr>
        <w:tab/>
        <w:t>(37)</w:t>
      </w:r>
      <w:r w:rsidRPr="00610E48">
        <w:rPr>
          <w:rFonts w:ascii="Calibri" w:hAnsi="Calibri"/>
          <w:noProof/>
          <w:sz w:val="20"/>
          <w:szCs w:val="20"/>
        </w:rPr>
        <w:tab/>
        <w:t xml:space="preserve">King, N. M.; Prabu-Jeyabalan, M.; Bandaranayake, R. M.; Nalam, M. N.; Nalivaika, E. A.; Ozen, A.; Haliloglu, T.; Yilmaz, N. K.; Schiffer, C. A.: Extreme entropy-enthalpy compensation in a drug-resistant variant of HIV-1 protease. </w:t>
      </w:r>
      <w:r w:rsidRPr="00610E48">
        <w:rPr>
          <w:rFonts w:ascii="Calibri" w:hAnsi="Calibri"/>
          <w:i/>
          <w:noProof/>
          <w:sz w:val="20"/>
          <w:szCs w:val="20"/>
        </w:rPr>
        <w:t>ACS chemical biology,</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7</w:t>
      </w:r>
      <w:r w:rsidRPr="00610E48">
        <w:rPr>
          <w:rFonts w:ascii="Calibri" w:hAnsi="Calibri"/>
          <w:noProof/>
          <w:sz w:val="20"/>
          <w:szCs w:val="20"/>
        </w:rPr>
        <w:t>, 1536-46.</w:t>
      </w:r>
      <w:bookmarkEnd w:id="272"/>
    </w:p>
    <w:p w:rsidR="00512D09" w:rsidRPr="00610E48" w:rsidRDefault="00512D09" w:rsidP="00512D09">
      <w:pPr>
        <w:spacing w:after="0" w:line="240" w:lineRule="auto"/>
        <w:rPr>
          <w:rFonts w:ascii="Calibri" w:hAnsi="Calibri"/>
          <w:noProof/>
          <w:sz w:val="20"/>
          <w:szCs w:val="20"/>
        </w:rPr>
      </w:pPr>
      <w:bookmarkStart w:id="273" w:name="_ENREF_38"/>
      <w:r w:rsidRPr="00610E48">
        <w:rPr>
          <w:rFonts w:ascii="Calibri" w:hAnsi="Calibri"/>
          <w:noProof/>
          <w:sz w:val="20"/>
          <w:szCs w:val="20"/>
        </w:rPr>
        <w:tab/>
        <w:t>(38)</w:t>
      </w:r>
      <w:r w:rsidRPr="00610E48">
        <w:rPr>
          <w:rFonts w:ascii="Calibri" w:hAnsi="Calibri"/>
          <w:noProof/>
          <w:sz w:val="20"/>
          <w:szCs w:val="20"/>
        </w:rPr>
        <w:tab/>
        <w:t xml:space="preserve">Muzammil, S.; Armstrong, A. A.; Kang, L. W.; Jakalian, A.; Bonneau, P. R.; Schmelmer, V.; Amzel, L. M.; Freire, E.: Unique thermodynamic response of tipranavir to human immunodeficiency virus type 1 protease drug resistance mutations. </w:t>
      </w:r>
      <w:r w:rsidRPr="00610E48">
        <w:rPr>
          <w:rFonts w:ascii="Calibri" w:hAnsi="Calibri"/>
          <w:i/>
          <w:noProof/>
          <w:sz w:val="20"/>
          <w:szCs w:val="20"/>
        </w:rPr>
        <w:t>Journal of virology,</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81</w:t>
      </w:r>
      <w:r w:rsidRPr="00610E48">
        <w:rPr>
          <w:rFonts w:ascii="Calibri" w:hAnsi="Calibri"/>
          <w:noProof/>
          <w:sz w:val="20"/>
          <w:szCs w:val="20"/>
        </w:rPr>
        <w:t>, 5144-54.</w:t>
      </w:r>
      <w:bookmarkEnd w:id="273"/>
    </w:p>
    <w:p w:rsidR="00512D09" w:rsidRPr="00610E48" w:rsidRDefault="00512D09" w:rsidP="00512D09">
      <w:pPr>
        <w:spacing w:after="0" w:line="240" w:lineRule="auto"/>
        <w:rPr>
          <w:rFonts w:ascii="Calibri" w:hAnsi="Calibri"/>
          <w:noProof/>
          <w:sz w:val="20"/>
          <w:szCs w:val="20"/>
        </w:rPr>
      </w:pPr>
      <w:bookmarkStart w:id="274" w:name="_ENREF_39"/>
      <w:r w:rsidRPr="00610E48">
        <w:rPr>
          <w:rFonts w:ascii="Calibri" w:hAnsi="Calibri"/>
          <w:noProof/>
          <w:sz w:val="20"/>
          <w:szCs w:val="20"/>
        </w:rPr>
        <w:tab/>
        <w:t>(39)</w:t>
      </w:r>
      <w:r w:rsidRPr="00610E48">
        <w:rPr>
          <w:rFonts w:ascii="Calibri" w:hAnsi="Calibri"/>
          <w:noProof/>
          <w:sz w:val="20"/>
          <w:szCs w:val="20"/>
        </w:rPr>
        <w:tab/>
        <w:t xml:space="preserve">Taylor, J. D.; Ababou, A.; Fawaz, R. R.; Hobbs, C. J.; Williams, M. A.; Ladbury, J. E.: Structure, dynamics, and binding thermodynamics of the v-Src SH2 domain: Implications for drug design. </w:t>
      </w:r>
      <w:r w:rsidRPr="00610E48">
        <w:rPr>
          <w:rFonts w:ascii="Calibri" w:hAnsi="Calibri"/>
          <w:i/>
          <w:noProof/>
          <w:sz w:val="20"/>
          <w:szCs w:val="20"/>
        </w:rPr>
        <w:t>Proteins: Structure, Function, and Bioinformatics,</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73</w:t>
      </w:r>
      <w:r w:rsidRPr="00610E48">
        <w:rPr>
          <w:rFonts w:ascii="Calibri" w:hAnsi="Calibri"/>
          <w:noProof/>
          <w:sz w:val="20"/>
          <w:szCs w:val="20"/>
        </w:rPr>
        <w:t>, 929-940.</w:t>
      </w:r>
      <w:bookmarkEnd w:id="274"/>
    </w:p>
    <w:p w:rsidR="00512D09" w:rsidRPr="00610E48" w:rsidRDefault="00512D09" w:rsidP="00512D09">
      <w:pPr>
        <w:spacing w:after="0" w:line="240" w:lineRule="auto"/>
        <w:rPr>
          <w:rFonts w:ascii="Calibri" w:hAnsi="Calibri"/>
          <w:noProof/>
          <w:sz w:val="20"/>
          <w:szCs w:val="20"/>
        </w:rPr>
      </w:pPr>
      <w:bookmarkStart w:id="275" w:name="_ENREF_40"/>
      <w:r w:rsidRPr="00610E48">
        <w:rPr>
          <w:rFonts w:ascii="Calibri" w:hAnsi="Calibri"/>
          <w:noProof/>
          <w:sz w:val="20"/>
          <w:szCs w:val="20"/>
        </w:rPr>
        <w:tab/>
        <w:t>(40)</w:t>
      </w:r>
      <w:r w:rsidRPr="00610E48">
        <w:rPr>
          <w:rFonts w:ascii="Calibri" w:hAnsi="Calibri"/>
          <w:noProof/>
          <w:sz w:val="20"/>
          <w:szCs w:val="20"/>
        </w:rPr>
        <w:tab/>
        <w:t xml:space="preserve">Perrakis, A.; Morris, R.; Lamzin, V. S.: Automated protein model building combined with iterative structure refinement. </w:t>
      </w:r>
      <w:r w:rsidRPr="00610E48">
        <w:rPr>
          <w:rFonts w:ascii="Calibri" w:hAnsi="Calibri"/>
          <w:i/>
          <w:noProof/>
          <w:sz w:val="20"/>
          <w:szCs w:val="20"/>
        </w:rPr>
        <w:t>Nature Structural &amp; Molecular Biology,</w:t>
      </w:r>
      <w:r w:rsidRPr="00610E48">
        <w:rPr>
          <w:rFonts w:ascii="Calibri" w:hAnsi="Calibri"/>
          <w:noProof/>
          <w:sz w:val="20"/>
          <w:szCs w:val="20"/>
        </w:rPr>
        <w:t xml:space="preserve"> </w:t>
      </w:r>
      <w:r w:rsidRPr="00610E48">
        <w:rPr>
          <w:rFonts w:ascii="Calibri" w:hAnsi="Calibri"/>
          <w:b/>
          <w:noProof/>
          <w:sz w:val="20"/>
          <w:szCs w:val="20"/>
        </w:rPr>
        <w:t>1999</w:t>
      </w:r>
      <w:r w:rsidRPr="00610E48">
        <w:rPr>
          <w:rFonts w:ascii="Calibri" w:hAnsi="Calibri"/>
          <w:noProof/>
          <w:sz w:val="20"/>
          <w:szCs w:val="20"/>
        </w:rPr>
        <w:t xml:space="preserve">, </w:t>
      </w:r>
      <w:r w:rsidRPr="00610E48">
        <w:rPr>
          <w:rFonts w:ascii="Calibri" w:hAnsi="Calibri"/>
          <w:i/>
          <w:noProof/>
          <w:sz w:val="20"/>
          <w:szCs w:val="20"/>
        </w:rPr>
        <w:t>6</w:t>
      </w:r>
      <w:r w:rsidRPr="00610E48">
        <w:rPr>
          <w:rFonts w:ascii="Calibri" w:hAnsi="Calibri"/>
          <w:noProof/>
          <w:sz w:val="20"/>
          <w:szCs w:val="20"/>
        </w:rPr>
        <w:t>, 458-463.</w:t>
      </w:r>
      <w:bookmarkEnd w:id="275"/>
    </w:p>
    <w:p w:rsidR="00512D09" w:rsidRPr="00610E48" w:rsidRDefault="00512D09" w:rsidP="00512D09">
      <w:pPr>
        <w:spacing w:after="0" w:line="240" w:lineRule="auto"/>
        <w:rPr>
          <w:rFonts w:ascii="Calibri" w:hAnsi="Calibri"/>
          <w:noProof/>
          <w:sz w:val="20"/>
          <w:szCs w:val="20"/>
        </w:rPr>
      </w:pPr>
      <w:bookmarkStart w:id="276" w:name="_ENREF_41"/>
      <w:r w:rsidRPr="00610E48">
        <w:rPr>
          <w:rFonts w:ascii="Calibri" w:hAnsi="Calibri"/>
          <w:noProof/>
          <w:sz w:val="20"/>
          <w:szCs w:val="20"/>
        </w:rPr>
        <w:tab/>
        <w:t>(41)</w:t>
      </w:r>
      <w:r w:rsidRPr="00610E48">
        <w:rPr>
          <w:rFonts w:ascii="Calibri" w:hAnsi="Calibri"/>
          <w:noProof/>
          <w:sz w:val="20"/>
          <w:szCs w:val="20"/>
        </w:rPr>
        <w:tab/>
        <w:t xml:space="preserve">Nakasako, M.: Large-scale networks of hydration water molecules around bovine beta-trypsin revealed by cryogenic X-ray crystal structure analysis.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1999</w:t>
      </w:r>
      <w:r w:rsidRPr="00610E48">
        <w:rPr>
          <w:rFonts w:ascii="Calibri" w:hAnsi="Calibri"/>
          <w:noProof/>
          <w:sz w:val="20"/>
          <w:szCs w:val="20"/>
        </w:rPr>
        <w:t xml:space="preserve">, </w:t>
      </w:r>
      <w:r w:rsidRPr="00610E48">
        <w:rPr>
          <w:rFonts w:ascii="Calibri" w:hAnsi="Calibri"/>
          <w:i/>
          <w:noProof/>
          <w:sz w:val="20"/>
          <w:szCs w:val="20"/>
        </w:rPr>
        <w:t>289</w:t>
      </w:r>
      <w:r w:rsidRPr="00610E48">
        <w:rPr>
          <w:rFonts w:ascii="Calibri" w:hAnsi="Calibri"/>
          <w:noProof/>
          <w:sz w:val="20"/>
          <w:szCs w:val="20"/>
        </w:rPr>
        <w:t>, 547-564.</w:t>
      </w:r>
      <w:bookmarkEnd w:id="276"/>
    </w:p>
    <w:p w:rsidR="00512D09" w:rsidRPr="00610E48" w:rsidRDefault="00512D09" w:rsidP="00512D09">
      <w:pPr>
        <w:spacing w:after="0" w:line="240" w:lineRule="auto"/>
        <w:rPr>
          <w:rFonts w:ascii="Calibri" w:hAnsi="Calibri"/>
          <w:noProof/>
          <w:sz w:val="20"/>
          <w:szCs w:val="20"/>
        </w:rPr>
      </w:pPr>
      <w:bookmarkStart w:id="277" w:name="_ENREF_42"/>
      <w:r w:rsidRPr="00610E48">
        <w:rPr>
          <w:rFonts w:ascii="Calibri" w:hAnsi="Calibri"/>
          <w:noProof/>
          <w:sz w:val="20"/>
          <w:szCs w:val="20"/>
        </w:rPr>
        <w:lastRenderedPageBreak/>
        <w:tab/>
        <w:t>(42)</w:t>
      </w:r>
      <w:r w:rsidRPr="00610E48">
        <w:rPr>
          <w:rFonts w:ascii="Calibri" w:hAnsi="Calibri"/>
          <w:noProof/>
          <w:sz w:val="20"/>
          <w:szCs w:val="20"/>
        </w:rPr>
        <w:tab/>
        <w:t xml:space="preserve">Ladbury, J. E.: Just add water! The effect of water on the specificity of protein-ligand binding sites and its potential application to drug design. </w:t>
      </w:r>
      <w:r w:rsidRPr="00610E48">
        <w:rPr>
          <w:rFonts w:ascii="Calibri" w:hAnsi="Calibri"/>
          <w:i/>
          <w:noProof/>
          <w:sz w:val="20"/>
          <w:szCs w:val="20"/>
        </w:rPr>
        <w:t>Chemistry &amp; Biology,</w:t>
      </w:r>
      <w:r w:rsidRPr="00610E48">
        <w:rPr>
          <w:rFonts w:ascii="Calibri" w:hAnsi="Calibri"/>
          <w:noProof/>
          <w:sz w:val="20"/>
          <w:szCs w:val="20"/>
        </w:rPr>
        <w:t xml:space="preserve"> </w:t>
      </w:r>
      <w:r w:rsidRPr="00610E48">
        <w:rPr>
          <w:rFonts w:ascii="Calibri" w:hAnsi="Calibri"/>
          <w:b/>
          <w:noProof/>
          <w:sz w:val="20"/>
          <w:szCs w:val="20"/>
        </w:rPr>
        <w:t>1996</w:t>
      </w:r>
      <w:r w:rsidRPr="00610E48">
        <w:rPr>
          <w:rFonts w:ascii="Calibri" w:hAnsi="Calibri"/>
          <w:noProof/>
          <w:sz w:val="20"/>
          <w:szCs w:val="20"/>
        </w:rPr>
        <w:t xml:space="preserve">, </w:t>
      </w:r>
      <w:r w:rsidRPr="00610E48">
        <w:rPr>
          <w:rFonts w:ascii="Calibri" w:hAnsi="Calibri"/>
          <w:i/>
          <w:noProof/>
          <w:sz w:val="20"/>
          <w:szCs w:val="20"/>
        </w:rPr>
        <w:t>3</w:t>
      </w:r>
      <w:r w:rsidRPr="00610E48">
        <w:rPr>
          <w:rFonts w:ascii="Calibri" w:hAnsi="Calibri"/>
          <w:noProof/>
          <w:sz w:val="20"/>
          <w:szCs w:val="20"/>
        </w:rPr>
        <w:t>, 973-980.</w:t>
      </w:r>
      <w:bookmarkEnd w:id="277"/>
    </w:p>
    <w:p w:rsidR="00512D09" w:rsidRPr="00610E48" w:rsidRDefault="00512D09" w:rsidP="00512D09">
      <w:pPr>
        <w:spacing w:after="0" w:line="240" w:lineRule="auto"/>
        <w:rPr>
          <w:rFonts w:ascii="Calibri" w:hAnsi="Calibri"/>
          <w:noProof/>
          <w:sz w:val="20"/>
          <w:szCs w:val="20"/>
        </w:rPr>
      </w:pPr>
      <w:bookmarkStart w:id="278" w:name="_ENREF_43"/>
      <w:r w:rsidRPr="00610E48">
        <w:rPr>
          <w:rFonts w:ascii="Calibri" w:hAnsi="Calibri"/>
          <w:noProof/>
          <w:sz w:val="20"/>
          <w:szCs w:val="20"/>
        </w:rPr>
        <w:tab/>
        <w:t>(43)</w:t>
      </w:r>
      <w:r w:rsidRPr="00610E48">
        <w:rPr>
          <w:rFonts w:ascii="Calibri" w:hAnsi="Calibri"/>
          <w:noProof/>
          <w:sz w:val="20"/>
          <w:szCs w:val="20"/>
        </w:rPr>
        <w:tab/>
        <w:t xml:space="preserve">Xiang, Q.: Isoequilibrium Relationship, and Enthalpy-Entropy Compensation. </w:t>
      </w:r>
      <w:r w:rsidRPr="00610E48">
        <w:rPr>
          <w:rFonts w:ascii="Calibri" w:hAnsi="Calibri"/>
          <w:i/>
          <w:noProof/>
          <w:sz w:val="20"/>
          <w:szCs w:val="20"/>
        </w:rPr>
        <w:t>Chemical Reviews,</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101</w:t>
      </w:r>
      <w:r w:rsidRPr="00610E48">
        <w:rPr>
          <w:rFonts w:ascii="Calibri" w:hAnsi="Calibri"/>
          <w:noProof/>
          <w:sz w:val="20"/>
          <w:szCs w:val="20"/>
        </w:rPr>
        <w:t>, 673-695.</w:t>
      </w:r>
      <w:bookmarkEnd w:id="278"/>
    </w:p>
    <w:p w:rsidR="00512D09" w:rsidRPr="00610E48" w:rsidRDefault="00512D09" w:rsidP="00512D09">
      <w:pPr>
        <w:spacing w:after="0" w:line="240" w:lineRule="auto"/>
        <w:rPr>
          <w:rFonts w:ascii="Calibri" w:hAnsi="Calibri"/>
          <w:noProof/>
          <w:sz w:val="20"/>
          <w:szCs w:val="20"/>
        </w:rPr>
      </w:pPr>
      <w:bookmarkStart w:id="279" w:name="_ENREF_44"/>
      <w:r w:rsidRPr="00610E48">
        <w:rPr>
          <w:rFonts w:ascii="Calibri" w:hAnsi="Calibri"/>
          <w:noProof/>
          <w:sz w:val="20"/>
          <w:szCs w:val="20"/>
        </w:rPr>
        <w:tab/>
        <w:t>(44)</w:t>
      </w:r>
      <w:r w:rsidRPr="00610E48">
        <w:rPr>
          <w:rFonts w:ascii="Calibri" w:hAnsi="Calibri"/>
          <w:noProof/>
          <w:sz w:val="20"/>
          <w:szCs w:val="20"/>
        </w:rPr>
        <w:tab/>
        <w:t xml:space="preserve">Niehues, G.; Heyden, M.; Schmidt, D. A.; Havenith, M.: Exploring hydrophobicity by THz absorption spectroscopy of solvated amino acids. </w:t>
      </w:r>
      <w:r w:rsidRPr="00610E48">
        <w:rPr>
          <w:rFonts w:ascii="Calibri" w:hAnsi="Calibri"/>
          <w:i/>
          <w:noProof/>
          <w:sz w:val="20"/>
          <w:szCs w:val="20"/>
        </w:rPr>
        <w:t>Faraday Discussions,</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150</w:t>
      </w:r>
      <w:r w:rsidRPr="00610E48">
        <w:rPr>
          <w:rFonts w:ascii="Calibri" w:hAnsi="Calibri"/>
          <w:noProof/>
          <w:sz w:val="20"/>
          <w:szCs w:val="20"/>
        </w:rPr>
        <w:t>, 193-207.</w:t>
      </w:r>
      <w:bookmarkEnd w:id="279"/>
    </w:p>
    <w:p w:rsidR="00512D09" w:rsidRPr="00610E48" w:rsidRDefault="00512D09" w:rsidP="00512D09">
      <w:pPr>
        <w:spacing w:after="0" w:line="240" w:lineRule="auto"/>
        <w:rPr>
          <w:rFonts w:ascii="Calibri" w:hAnsi="Calibri"/>
          <w:noProof/>
          <w:sz w:val="20"/>
          <w:szCs w:val="20"/>
        </w:rPr>
      </w:pPr>
      <w:bookmarkStart w:id="280" w:name="_ENREF_45"/>
      <w:r w:rsidRPr="00610E48">
        <w:rPr>
          <w:rFonts w:ascii="Calibri" w:hAnsi="Calibri"/>
          <w:noProof/>
          <w:sz w:val="20"/>
          <w:szCs w:val="20"/>
        </w:rPr>
        <w:tab/>
        <w:t>(45)</w:t>
      </w:r>
      <w:r w:rsidRPr="00610E48">
        <w:rPr>
          <w:rFonts w:ascii="Calibri" w:hAnsi="Calibri"/>
          <w:noProof/>
          <w:sz w:val="20"/>
          <w:szCs w:val="20"/>
        </w:rPr>
        <w:tab/>
        <w:t xml:space="preserve">Makhatadze, G. I.; Privalov, P. L.: Heat capacity of proteins: I. Partial molar heat capacity of individual amino acid residues in aqueous solution: Hydration effect.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1990</w:t>
      </w:r>
      <w:r w:rsidRPr="00610E48">
        <w:rPr>
          <w:rFonts w:ascii="Calibri" w:hAnsi="Calibri"/>
          <w:noProof/>
          <w:sz w:val="20"/>
          <w:szCs w:val="20"/>
        </w:rPr>
        <w:t xml:space="preserve">, </w:t>
      </w:r>
      <w:r w:rsidRPr="00610E48">
        <w:rPr>
          <w:rFonts w:ascii="Calibri" w:hAnsi="Calibri"/>
          <w:i/>
          <w:noProof/>
          <w:sz w:val="20"/>
          <w:szCs w:val="20"/>
        </w:rPr>
        <w:t>213</w:t>
      </w:r>
      <w:r w:rsidRPr="00610E48">
        <w:rPr>
          <w:rFonts w:ascii="Calibri" w:hAnsi="Calibri"/>
          <w:noProof/>
          <w:sz w:val="20"/>
          <w:szCs w:val="20"/>
        </w:rPr>
        <w:t>, 375-384.</w:t>
      </w:r>
      <w:bookmarkEnd w:id="280"/>
    </w:p>
    <w:p w:rsidR="00512D09" w:rsidRPr="00610E48" w:rsidRDefault="00512D09" w:rsidP="00512D09">
      <w:pPr>
        <w:spacing w:after="0" w:line="240" w:lineRule="auto"/>
        <w:rPr>
          <w:rFonts w:ascii="Calibri" w:hAnsi="Calibri"/>
          <w:noProof/>
          <w:sz w:val="20"/>
          <w:szCs w:val="20"/>
        </w:rPr>
      </w:pPr>
      <w:bookmarkStart w:id="281" w:name="_ENREF_46"/>
      <w:r w:rsidRPr="00610E48">
        <w:rPr>
          <w:rFonts w:ascii="Calibri" w:hAnsi="Calibri"/>
          <w:noProof/>
          <w:sz w:val="20"/>
          <w:szCs w:val="20"/>
        </w:rPr>
        <w:tab/>
        <w:t>(46)</w:t>
      </w:r>
      <w:r w:rsidRPr="00610E48">
        <w:rPr>
          <w:rFonts w:ascii="Calibri" w:hAnsi="Calibri"/>
          <w:noProof/>
          <w:sz w:val="20"/>
          <w:szCs w:val="20"/>
        </w:rPr>
        <w:tab/>
        <w:t xml:space="preserve">Breiten, B.; Lockett, M. R.; Sherman, W.; Fujita, S.; Al-Sayah, M.; Lange, H.; Bowers, C. M.; Heroux, A.; Krilov, G.; Whitesides, G. M.: Water Networks Contribute to Enthalpy/Entropy Compensation in Protein–Ligand Binding.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135</w:t>
      </w:r>
      <w:r w:rsidRPr="00610E48">
        <w:rPr>
          <w:rFonts w:ascii="Calibri" w:hAnsi="Calibri"/>
          <w:noProof/>
          <w:sz w:val="20"/>
          <w:szCs w:val="20"/>
        </w:rPr>
        <w:t>, 15579-15584.</w:t>
      </w:r>
      <w:bookmarkEnd w:id="281"/>
    </w:p>
    <w:p w:rsidR="00512D09" w:rsidRPr="00610E48" w:rsidRDefault="00512D09" w:rsidP="00512D09">
      <w:pPr>
        <w:spacing w:after="0" w:line="240" w:lineRule="auto"/>
        <w:rPr>
          <w:rFonts w:ascii="Calibri" w:hAnsi="Calibri"/>
          <w:noProof/>
          <w:sz w:val="20"/>
          <w:szCs w:val="20"/>
        </w:rPr>
      </w:pPr>
      <w:bookmarkStart w:id="282" w:name="_ENREF_47"/>
      <w:r w:rsidRPr="00610E48">
        <w:rPr>
          <w:rFonts w:ascii="Calibri" w:hAnsi="Calibri"/>
          <w:noProof/>
          <w:sz w:val="20"/>
          <w:szCs w:val="20"/>
        </w:rPr>
        <w:tab/>
        <w:t>(47)</w:t>
      </w:r>
      <w:r w:rsidRPr="00610E48">
        <w:rPr>
          <w:rFonts w:ascii="Calibri" w:hAnsi="Calibri"/>
          <w:noProof/>
          <w:sz w:val="20"/>
          <w:szCs w:val="20"/>
        </w:rPr>
        <w:tab/>
        <w:t xml:space="preserve">Cornish-Bowden, A.: Enthalpy-entropy compensation: a phantom phenomenon. </w:t>
      </w:r>
      <w:r w:rsidRPr="00610E48">
        <w:rPr>
          <w:rFonts w:ascii="Calibri" w:hAnsi="Calibri"/>
          <w:i/>
          <w:noProof/>
          <w:sz w:val="20"/>
          <w:szCs w:val="20"/>
        </w:rPr>
        <w:t>Journal of Biosciences,</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27</w:t>
      </w:r>
      <w:r w:rsidRPr="00610E48">
        <w:rPr>
          <w:rFonts w:ascii="Calibri" w:hAnsi="Calibri"/>
          <w:noProof/>
          <w:sz w:val="20"/>
          <w:szCs w:val="20"/>
        </w:rPr>
        <w:t>, 121-126.</w:t>
      </w:r>
      <w:bookmarkEnd w:id="282"/>
    </w:p>
    <w:p w:rsidR="00512D09" w:rsidRPr="00610E48" w:rsidRDefault="00512D09" w:rsidP="00512D09">
      <w:pPr>
        <w:spacing w:after="0" w:line="240" w:lineRule="auto"/>
        <w:rPr>
          <w:rFonts w:ascii="Calibri" w:hAnsi="Calibri"/>
          <w:noProof/>
          <w:sz w:val="20"/>
          <w:szCs w:val="20"/>
        </w:rPr>
      </w:pPr>
      <w:bookmarkStart w:id="283" w:name="_ENREF_48"/>
      <w:r w:rsidRPr="00610E48">
        <w:rPr>
          <w:rFonts w:ascii="Calibri" w:hAnsi="Calibri"/>
          <w:noProof/>
          <w:sz w:val="20"/>
          <w:szCs w:val="20"/>
        </w:rPr>
        <w:tab/>
        <w:t>(48)</w:t>
      </w:r>
      <w:r w:rsidRPr="00610E48">
        <w:rPr>
          <w:rFonts w:ascii="Calibri" w:hAnsi="Calibri"/>
          <w:noProof/>
          <w:sz w:val="20"/>
          <w:szCs w:val="20"/>
        </w:rPr>
        <w:tab/>
        <w:t xml:space="preserve">Chodera, J. D.; Mobley, D. L.: Entropy-enthalpy compensation: role and ramifications in biomolecular ligand recognition and design. </w:t>
      </w:r>
      <w:r w:rsidRPr="00610E48">
        <w:rPr>
          <w:rFonts w:ascii="Calibri" w:hAnsi="Calibri"/>
          <w:i/>
          <w:noProof/>
          <w:sz w:val="20"/>
          <w:szCs w:val="20"/>
        </w:rPr>
        <w:t>Annual review of biophysics,</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42</w:t>
      </w:r>
      <w:r w:rsidRPr="00610E48">
        <w:rPr>
          <w:rFonts w:ascii="Calibri" w:hAnsi="Calibri"/>
          <w:noProof/>
          <w:sz w:val="20"/>
          <w:szCs w:val="20"/>
        </w:rPr>
        <w:t>, 121-42.</w:t>
      </w:r>
      <w:bookmarkEnd w:id="283"/>
    </w:p>
    <w:p w:rsidR="00512D09" w:rsidRPr="00610E48" w:rsidRDefault="00512D09" w:rsidP="00512D09">
      <w:pPr>
        <w:spacing w:after="0" w:line="240" w:lineRule="auto"/>
        <w:rPr>
          <w:rFonts w:ascii="Calibri" w:hAnsi="Calibri"/>
          <w:noProof/>
          <w:sz w:val="20"/>
          <w:szCs w:val="20"/>
        </w:rPr>
      </w:pPr>
      <w:bookmarkStart w:id="284" w:name="_ENREF_49"/>
      <w:r w:rsidRPr="00610E48">
        <w:rPr>
          <w:rFonts w:ascii="Calibri" w:hAnsi="Calibri"/>
          <w:noProof/>
          <w:sz w:val="20"/>
          <w:szCs w:val="20"/>
        </w:rPr>
        <w:tab/>
        <w:t>(49)</w:t>
      </w:r>
      <w:r w:rsidRPr="00610E48">
        <w:rPr>
          <w:rFonts w:ascii="Calibri" w:hAnsi="Calibri"/>
          <w:noProof/>
          <w:sz w:val="20"/>
          <w:szCs w:val="20"/>
        </w:rPr>
        <w:tab/>
        <w:t xml:space="preserve">Tellinghuisen, J.; Chodera, J. D.: Systematic errors in isothermal titration calorimetry: Concentrations and baselines. </w:t>
      </w:r>
      <w:r w:rsidRPr="00610E48">
        <w:rPr>
          <w:rFonts w:ascii="Calibri" w:hAnsi="Calibri"/>
          <w:i/>
          <w:noProof/>
          <w:sz w:val="20"/>
          <w:szCs w:val="20"/>
        </w:rPr>
        <w:t>Analytical biochemistry,</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414</w:t>
      </w:r>
      <w:r w:rsidRPr="00610E48">
        <w:rPr>
          <w:rFonts w:ascii="Calibri" w:hAnsi="Calibri"/>
          <w:noProof/>
          <w:sz w:val="20"/>
          <w:szCs w:val="20"/>
        </w:rPr>
        <w:t>, 297-299.</w:t>
      </w:r>
      <w:bookmarkEnd w:id="284"/>
    </w:p>
    <w:p w:rsidR="00512D09" w:rsidRPr="00610E48" w:rsidRDefault="00512D09" w:rsidP="00512D09">
      <w:pPr>
        <w:spacing w:after="0" w:line="240" w:lineRule="auto"/>
        <w:rPr>
          <w:rFonts w:ascii="Calibri" w:hAnsi="Calibri"/>
          <w:noProof/>
          <w:sz w:val="20"/>
          <w:szCs w:val="20"/>
        </w:rPr>
      </w:pPr>
      <w:bookmarkStart w:id="285" w:name="_ENREF_50"/>
      <w:r w:rsidRPr="00610E48">
        <w:rPr>
          <w:rFonts w:ascii="Calibri" w:hAnsi="Calibri"/>
          <w:noProof/>
          <w:sz w:val="20"/>
          <w:szCs w:val="20"/>
        </w:rPr>
        <w:tab/>
        <w:t>(50)</w:t>
      </w:r>
      <w:r w:rsidRPr="00610E48">
        <w:rPr>
          <w:rFonts w:ascii="Calibri" w:hAnsi="Calibri"/>
          <w:noProof/>
          <w:sz w:val="20"/>
          <w:szCs w:val="20"/>
        </w:rPr>
        <w:tab/>
        <w:t xml:space="preserve">Myszka, D. G.; Abdiche, Y. N.; Arisaka, F.; Byron, O.; Eisenstein, E.; Hensley, P.; Thomson, J. A.; Lombardo, C. R.; Schwarz, F.; Stafford, W.; Doyle, M. L.: The ABRF-MIRG’02 Study: Assembly State, Thermodynamic, and Kinetic Analysis of an Enzyme/Inhibitor Interaction. </w:t>
      </w:r>
      <w:r w:rsidRPr="00610E48">
        <w:rPr>
          <w:rFonts w:ascii="Calibri" w:hAnsi="Calibri"/>
          <w:i/>
          <w:noProof/>
          <w:sz w:val="20"/>
          <w:szCs w:val="20"/>
        </w:rPr>
        <w:t>Journal of Biomolecular Techniques : JBT,</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14</w:t>
      </w:r>
      <w:r w:rsidRPr="00610E48">
        <w:rPr>
          <w:rFonts w:ascii="Calibri" w:hAnsi="Calibri"/>
          <w:noProof/>
          <w:sz w:val="20"/>
          <w:szCs w:val="20"/>
        </w:rPr>
        <w:t>, 247-269.</w:t>
      </w:r>
      <w:bookmarkEnd w:id="285"/>
    </w:p>
    <w:p w:rsidR="00512D09" w:rsidRPr="00610E48" w:rsidRDefault="00512D09" w:rsidP="00512D09">
      <w:pPr>
        <w:spacing w:after="0" w:line="240" w:lineRule="auto"/>
        <w:rPr>
          <w:rFonts w:ascii="Calibri" w:hAnsi="Calibri"/>
          <w:noProof/>
          <w:sz w:val="20"/>
          <w:szCs w:val="20"/>
        </w:rPr>
      </w:pPr>
      <w:bookmarkStart w:id="286" w:name="_ENREF_51"/>
      <w:r w:rsidRPr="00610E48">
        <w:rPr>
          <w:rFonts w:ascii="Calibri" w:hAnsi="Calibri"/>
          <w:noProof/>
          <w:sz w:val="20"/>
          <w:szCs w:val="20"/>
        </w:rPr>
        <w:tab/>
        <w:t>(51)</w:t>
      </w:r>
      <w:r w:rsidRPr="00610E48">
        <w:rPr>
          <w:rFonts w:ascii="Calibri" w:hAnsi="Calibri"/>
          <w:noProof/>
          <w:sz w:val="20"/>
          <w:szCs w:val="20"/>
        </w:rPr>
        <w:tab/>
        <w:t xml:space="preserve">Higo, J.; Nakasako, M.: Hydration structure of human lysozyme investigated by molecular dynamics simulation and cryogenic X-ray crystal structure analyses: On the correlation between crystal water sites, solvent density, and solvent dipole. </w:t>
      </w:r>
      <w:r w:rsidRPr="00610E48">
        <w:rPr>
          <w:rFonts w:ascii="Calibri" w:hAnsi="Calibri"/>
          <w:i/>
          <w:noProof/>
          <w:sz w:val="20"/>
          <w:szCs w:val="20"/>
        </w:rPr>
        <w:t>Journal of Computational Chemistry,</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23</w:t>
      </w:r>
      <w:r w:rsidRPr="00610E48">
        <w:rPr>
          <w:rFonts w:ascii="Calibri" w:hAnsi="Calibri"/>
          <w:noProof/>
          <w:sz w:val="20"/>
          <w:szCs w:val="20"/>
        </w:rPr>
        <w:t>, 1323-1336.</w:t>
      </w:r>
      <w:bookmarkEnd w:id="286"/>
    </w:p>
    <w:p w:rsidR="00512D09" w:rsidRPr="00610E48" w:rsidRDefault="00512D09" w:rsidP="00512D09">
      <w:pPr>
        <w:spacing w:after="0" w:line="240" w:lineRule="auto"/>
        <w:rPr>
          <w:rFonts w:ascii="Calibri" w:hAnsi="Calibri"/>
          <w:noProof/>
          <w:sz w:val="20"/>
          <w:szCs w:val="20"/>
        </w:rPr>
      </w:pPr>
      <w:bookmarkStart w:id="287" w:name="_ENREF_52"/>
      <w:r w:rsidRPr="00610E48">
        <w:rPr>
          <w:rFonts w:ascii="Calibri" w:hAnsi="Calibri"/>
          <w:noProof/>
          <w:sz w:val="20"/>
          <w:szCs w:val="20"/>
        </w:rPr>
        <w:tab/>
        <w:t>(52)</w:t>
      </w:r>
      <w:r w:rsidRPr="00610E48">
        <w:rPr>
          <w:rFonts w:ascii="Calibri" w:hAnsi="Calibri"/>
          <w:noProof/>
          <w:sz w:val="20"/>
          <w:szCs w:val="20"/>
        </w:rPr>
        <w:tab/>
        <w:t xml:space="preserve">Oleinikova, A.; Sasisanker, P.; Weingartner, H.: What can really be learned from dielectric spectroscopy of protein solutions? A case study of ribonuclease A. </w:t>
      </w:r>
      <w:r w:rsidRPr="00610E48">
        <w:rPr>
          <w:rFonts w:ascii="Calibri" w:hAnsi="Calibri"/>
          <w:i/>
          <w:noProof/>
          <w:sz w:val="20"/>
          <w:szCs w:val="20"/>
        </w:rPr>
        <w:t>Journal of Physical Chemistry B,</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108</w:t>
      </w:r>
      <w:r w:rsidRPr="00610E48">
        <w:rPr>
          <w:rFonts w:ascii="Calibri" w:hAnsi="Calibri"/>
          <w:noProof/>
          <w:sz w:val="20"/>
          <w:szCs w:val="20"/>
        </w:rPr>
        <w:t>, 8467-8474.</w:t>
      </w:r>
      <w:bookmarkEnd w:id="287"/>
    </w:p>
    <w:p w:rsidR="00512D09" w:rsidRPr="00610E48" w:rsidRDefault="00512D09" w:rsidP="00512D09">
      <w:pPr>
        <w:spacing w:after="0" w:line="240" w:lineRule="auto"/>
        <w:rPr>
          <w:rFonts w:ascii="Calibri" w:hAnsi="Calibri"/>
          <w:noProof/>
          <w:sz w:val="20"/>
          <w:szCs w:val="20"/>
        </w:rPr>
      </w:pPr>
      <w:bookmarkStart w:id="288" w:name="_ENREF_53"/>
      <w:r w:rsidRPr="00610E48">
        <w:rPr>
          <w:rFonts w:ascii="Calibri" w:hAnsi="Calibri"/>
          <w:noProof/>
          <w:sz w:val="20"/>
          <w:szCs w:val="20"/>
        </w:rPr>
        <w:tab/>
        <w:t>(53)</w:t>
      </w:r>
      <w:r w:rsidRPr="00610E48">
        <w:rPr>
          <w:rFonts w:ascii="Calibri" w:hAnsi="Calibri"/>
          <w:noProof/>
          <w:sz w:val="20"/>
          <w:szCs w:val="20"/>
        </w:rPr>
        <w:tab/>
        <w:t xml:space="preserve">Yokomizo, T.; Higo, J.; Nakasako, M.: Patterns and networks of hydrogen-bonds in the hydration structure of human lysozyme. </w:t>
      </w:r>
      <w:r w:rsidRPr="00610E48">
        <w:rPr>
          <w:rFonts w:ascii="Calibri" w:hAnsi="Calibri"/>
          <w:i/>
          <w:noProof/>
          <w:sz w:val="20"/>
          <w:szCs w:val="20"/>
        </w:rPr>
        <w:t>Chemical Physics Letters,</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410</w:t>
      </w:r>
      <w:r w:rsidRPr="00610E48">
        <w:rPr>
          <w:rFonts w:ascii="Calibri" w:hAnsi="Calibri"/>
          <w:noProof/>
          <w:sz w:val="20"/>
          <w:szCs w:val="20"/>
        </w:rPr>
        <w:t>, 31-35.</w:t>
      </w:r>
      <w:bookmarkEnd w:id="288"/>
    </w:p>
    <w:p w:rsidR="00512D09" w:rsidRPr="00610E48" w:rsidRDefault="00512D09" w:rsidP="00512D09">
      <w:pPr>
        <w:spacing w:after="0" w:line="240" w:lineRule="auto"/>
        <w:rPr>
          <w:rFonts w:ascii="Calibri" w:hAnsi="Calibri"/>
          <w:noProof/>
          <w:sz w:val="20"/>
          <w:szCs w:val="20"/>
        </w:rPr>
      </w:pPr>
      <w:bookmarkStart w:id="289" w:name="_ENREF_54"/>
      <w:r w:rsidRPr="00610E48">
        <w:rPr>
          <w:rFonts w:ascii="Calibri" w:hAnsi="Calibri"/>
          <w:noProof/>
          <w:sz w:val="20"/>
          <w:szCs w:val="20"/>
        </w:rPr>
        <w:tab/>
        <w:t>(54)</w:t>
      </w:r>
      <w:r w:rsidRPr="00610E48">
        <w:rPr>
          <w:rFonts w:ascii="Calibri" w:hAnsi="Calibri"/>
          <w:noProof/>
          <w:sz w:val="20"/>
          <w:szCs w:val="20"/>
        </w:rPr>
        <w:tab/>
        <w:t xml:space="preserve">Heyden, M.; Havenith, M.: Combining THz spectroscopy and MD simulations to study protein-hydration coupling. </w:t>
      </w:r>
      <w:r w:rsidRPr="00610E48">
        <w:rPr>
          <w:rFonts w:ascii="Calibri" w:hAnsi="Calibri"/>
          <w:i/>
          <w:noProof/>
          <w:sz w:val="20"/>
          <w:szCs w:val="20"/>
        </w:rPr>
        <w:t>Methods,</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52</w:t>
      </w:r>
      <w:r w:rsidRPr="00610E48">
        <w:rPr>
          <w:rFonts w:ascii="Calibri" w:hAnsi="Calibri"/>
          <w:noProof/>
          <w:sz w:val="20"/>
          <w:szCs w:val="20"/>
        </w:rPr>
        <w:t>, 74-83.</w:t>
      </w:r>
      <w:bookmarkEnd w:id="289"/>
    </w:p>
    <w:p w:rsidR="00512D09" w:rsidRPr="00610E48" w:rsidRDefault="00512D09" w:rsidP="00512D09">
      <w:pPr>
        <w:spacing w:after="0" w:line="240" w:lineRule="auto"/>
        <w:rPr>
          <w:rFonts w:ascii="Calibri" w:hAnsi="Calibri"/>
          <w:noProof/>
          <w:sz w:val="20"/>
          <w:szCs w:val="20"/>
        </w:rPr>
      </w:pPr>
      <w:bookmarkStart w:id="290" w:name="_ENREF_55"/>
      <w:r w:rsidRPr="00610E48">
        <w:rPr>
          <w:rFonts w:ascii="Calibri" w:hAnsi="Calibri"/>
          <w:noProof/>
          <w:sz w:val="20"/>
          <w:szCs w:val="20"/>
        </w:rPr>
        <w:tab/>
        <w:t>(55)</w:t>
      </w:r>
      <w:r w:rsidRPr="00610E48">
        <w:rPr>
          <w:rFonts w:ascii="Calibri" w:hAnsi="Calibri"/>
          <w:noProof/>
          <w:sz w:val="20"/>
          <w:szCs w:val="20"/>
        </w:rPr>
        <w:tab/>
        <w:t xml:space="preserve">He, Y.; Ku, P. I.; Knab, J. R.; Chen, J. Y.; Markelz, A. G.: Protein Dynamical Transition Does Not Require Protein Structure. </w:t>
      </w:r>
      <w:r w:rsidRPr="00610E48">
        <w:rPr>
          <w:rFonts w:ascii="Calibri" w:hAnsi="Calibri"/>
          <w:i/>
          <w:noProof/>
          <w:sz w:val="20"/>
          <w:szCs w:val="20"/>
        </w:rPr>
        <w:t>Physical Review Letters,</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101</w:t>
      </w:r>
      <w:r w:rsidRPr="00610E48">
        <w:rPr>
          <w:rFonts w:ascii="Calibri" w:hAnsi="Calibri"/>
          <w:noProof/>
          <w:sz w:val="20"/>
          <w:szCs w:val="20"/>
        </w:rPr>
        <w:t>, 178103.</w:t>
      </w:r>
      <w:bookmarkEnd w:id="290"/>
    </w:p>
    <w:p w:rsidR="00512D09" w:rsidRPr="00610E48" w:rsidRDefault="00512D09" w:rsidP="00512D09">
      <w:pPr>
        <w:spacing w:after="0" w:line="240" w:lineRule="auto"/>
        <w:rPr>
          <w:rFonts w:ascii="Calibri" w:hAnsi="Calibri"/>
          <w:noProof/>
          <w:sz w:val="20"/>
          <w:szCs w:val="20"/>
        </w:rPr>
      </w:pPr>
      <w:bookmarkStart w:id="291" w:name="_ENREF_56"/>
      <w:r w:rsidRPr="00610E48">
        <w:rPr>
          <w:rFonts w:ascii="Calibri" w:hAnsi="Calibri"/>
          <w:noProof/>
          <w:sz w:val="20"/>
          <w:szCs w:val="20"/>
        </w:rPr>
        <w:tab/>
        <w:t>(56)</w:t>
      </w:r>
      <w:r w:rsidRPr="00610E48">
        <w:rPr>
          <w:rFonts w:ascii="Calibri" w:hAnsi="Calibri"/>
          <w:noProof/>
          <w:sz w:val="20"/>
          <w:szCs w:val="20"/>
        </w:rPr>
        <w:tab/>
        <w:t xml:space="preserve">Falconer, R. J.; Markelz, A. G.: Terahertz Spectroscopic Analysis of Peptides and Proteins. </w:t>
      </w:r>
      <w:r w:rsidRPr="00610E48">
        <w:rPr>
          <w:rFonts w:ascii="Calibri" w:hAnsi="Calibri"/>
          <w:i/>
          <w:noProof/>
          <w:sz w:val="20"/>
          <w:szCs w:val="20"/>
        </w:rPr>
        <w:t>Journal of Infrared Millimeter and Terahertz Waves,</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33</w:t>
      </w:r>
      <w:r w:rsidRPr="00610E48">
        <w:rPr>
          <w:rFonts w:ascii="Calibri" w:hAnsi="Calibri"/>
          <w:noProof/>
          <w:sz w:val="20"/>
          <w:szCs w:val="20"/>
        </w:rPr>
        <w:t>, 973-988.</w:t>
      </w:r>
      <w:bookmarkEnd w:id="291"/>
    </w:p>
    <w:p w:rsidR="00512D09" w:rsidRPr="00610E48" w:rsidRDefault="00512D09" w:rsidP="00512D09">
      <w:pPr>
        <w:spacing w:after="0" w:line="240" w:lineRule="auto"/>
        <w:rPr>
          <w:rFonts w:ascii="Calibri" w:hAnsi="Calibri"/>
          <w:noProof/>
          <w:sz w:val="20"/>
          <w:szCs w:val="20"/>
        </w:rPr>
      </w:pPr>
      <w:bookmarkStart w:id="292" w:name="_ENREF_57"/>
      <w:r w:rsidRPr="00610E48">
        <w:rPr>
          <w:rFonts w:ascii="Calibri" w:hAnsi="Calibri"/>
          <w:noProof/>
          <w:sz w:val="20"/>
          <w:szCs w:val="20"/>
        </w:rPr>
        <w:tab/>
        <w:t>(57)</w:t>
      </w:r>
      <w:r w:rsidRPr="00610E48">
        <w:rPr>
          <w:rFonts w:ascii="Calibri" w:hAnsi="Calibri"/>
          <w:noProof/>
          <w:sz w:val="20"/>
          <w:szCs w:val="20"/>
        </w:rPr>
        <w:tab/>
        <w:t xml:space="preserve">Xu, J.; Plaxco, K. W.; Allen, S. J.: Collective Dynamics of Lysozyme in Water:  Terahertz Absorption Spectroscopy and Comparison with Theory.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110</w:t>
      </w:r>
      <w:r w:rsidRPr="00610E48">
        <w:rPr>
          <w:rFonts w:ascii="Calibri" w:hAnsi="Calibri"/>
          <w:noProof/>
          <w:sz w:val="20"/>
          <w:szCs w:val="20"/>
        </w:rPr>
        <w:t>, 24255-24259.</w:t>
      </w:r>
      <w:bookmarkEnd w:id="292"/>
    </w:p>
    <w:p w:rsidR="00512D09" w:rsidRPr="00610E48" w:rsidRDefault="00512D09" w:rsidP="00512D09">
      <w:pPr>
        <w:spacing w:after="0" w:line="240" w:lineRule="auto"/>
        <w:rPr>
          <w:rFonts w:ascii="Calibri" w:hAnsi="Calibri"/>
          <w:noProof/>
          <w:sz w:val="20"/>
          <w:szCs w:val="20"/>
        </w:rPr>
      </w:pPr>
      <w:bookmarkStart w:id="293" w:name="_ENREF_58"/>
      <w:r w:rsidRPr="00610E48">
        <w:rPr>
          <w:rFonts w:ascii="Calibri" w:hAnsi="Calibri"/>
          <w:noProof/>
          <w:sz w:val="20"/>
          <w:szCs w:val="20"/>
        </w:rPr>
        <w:tab/>
        <w:t>(58)</w:t>
      </w:r>
      <w:r w:rsidRPr="00610E48">
        <w:rPr>
          <w:rFonts w:ascii="Calibri" w:hAnsi="Calibri"/>
          <w:noProof/>
          <w:sz w:val="20"/>
          <w:szCs w:val="20"/>
        </w:rPr>
        <w:tab/>
        <w:t xml:space="preserve">Heyden, M.; Sun, J.; Funkner, S.; Mathias, G.; Forbert, H.; Havenith, M.; Marx, D.: Dissecting the THz spectrum of liquid water from first principles via correlations in time and space.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107</w:t>
      </w:r>
      <w:r w:rsidRPr="00610E48">
        <w:rPr>
          <w:rFonts w:ascii="Calibri" w:hAnsi="Calibri"/>
          <w:noProof/>
          <w:sz w:val="20"/>
          <w:szCs w:val="20"/>
        </w:rPr>
        <w:t>, 12068-12073.</w:t>
      </w:r>
      <w:bookmarkEnd w:id="293"/>
    </w:p>
    <w:p w:rsidR="00512D09" w:rsidRPr="00610E48" w:rsidRDefault="00512D09" w:rsidP="00512D09">
      <w:pPr>
        <w:spacing w:after="0" w:line="240" w:lineRule="auto"/>
        <w:rPr>
          <w:rFonts w:ascii="Calibri" w:hAnsi="Calibri"/>
          <w:noProof/>
          <w:sz w:val="20"/>
          <w:szCs w:val="20"/>
        </w:rPr>
      </w:pPr>
      <w:bookmarkStart w:id="294" w:name="_ENREF_59"/>
      <w:r w:rsidRPr="00610E48">
        <w:rPr>
          <w:rFonts w:ascii="Calibri" w:hAnsi="Calibri"/>
          <w:noProof/>
          <w:sz w:val="20"/>
          <w:szCs w:val="20"/>
        </w:rPr>
        <w:tab/>
        <w:t>(59)</w:t>
      </w:r>
      <w:r w:rsidRPr="00610E48">
        <w:rPr>
          <w:rFonts w:ascii="Calibri" w:hAnsi="Calibri"/>
          <w:noProof/>
          <w:sz w:val="20"/>
          <w:szCs w:val="20"/>
        </w:rPr>
        <w:tab/>
        <w:t xml:space="preserve">Miura, N.; Yamada, H.; Moon, A.: Intermolecular vibrational study in liquid water and ice by using far infrared spectroscopy with synchrotron radiation of MIRRORCLE 20. </w:t>
      </w:r>
      <w:r w:rsidRPr="00610E48">
        <w:rPr>
          <w:rFonts w:ascii="Calibri" w:hAnsi="Calibri"/>
          <w:i/>
          <w:noProof/>
          <w:sz w:val="20"/>
          <w:szCs w:val="20"/>
        </w:rPr>
        <w:t>Spectrochimica Acta Part A: Molecular and Biomolecular Spectroscopy,</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77</w:t>
      </w:r>
      <w:r w:rsidRPr="00610E48">
        <w:rPr>
          <w:rFonts w:ascii="Calibri" w:hAnsi="Calibri"/>
          <w:noProof/>
          <w:sz w:val="20"/>
          <w:szCs w:val="20"/>
        </w:rPr>
        <w:t>, 1048-1053.</w:t>
      </w:r>
      <w:bookmarkEnd w:id="294"/>
    </w:p>
    <w:p w:rsidR="00512D09" w:rsidRPr="00610E48" w:rsidRDefault="00512D09" w:rsidP="00512D09">
      <w:pPr>
        <w:spacing w:after="0" w:line="240" w:lineRule="auto"/>
        <w:rPr>
          <w:rFonts w:ascii="Calibri" w:hAnsi="Calibri"/>
          <w:noProof/>
          <w:sz w:val="20"/>
          <w:szCs w:val="20"/>
        </w:rPr>
      </w:pPr>
      <w:bookmarkStart w:id="295" w:name="_ENREF_60"/>
      <w:r w:rsidRPr="00610E48">
        <w:rPr>
          <w:rFonts w:ascii="Calibri" w:hAnsi="Calibri"/>
          <w:noProof/>
          <w:sz w:val="20"/>
          <w:szCs w:val="20"/>
        </w:rPr>
        <w:tab/>
        <w:t>(60)</w:t>
      </w:r>
      <w:r w:rsidRPr="00610E48">
        <w:rPr>
          <w:rFonts w:ascii="Calibri" w:hAnsi="Calibri"/>
          <w:noProof/>
          <w:sz w:val="20"/>
          <w:szCs w:val="20"/>
        </w:rPr>
        <w:tab/>
        <w:t xml:space="preserve">Woods, K. N.; Wiedemann, H.: The relationship between dynamics and structure in the far infrared absorption spectrum of liquid water. </w:t>
      </w:r>
      <w:r w:rsidRPr="00610E48">
        <w:rPr>
          <w:rFonts w:ascii="Calibri" w:hAnsi="Calibri"/>
          <w:i/>
          <w:noProof/>
          <w:sz w:val="20"/>
          <w:szCs w:val="20"/>
        </w:rPr>
        <w:t>Chemical Physics Letters,</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393</w:t>
      </w:r>
      <w:r w:rsidRPr="00610E48">
        <w:rPr>
          <w:rFonts w:ascii="Calibri" w:hAnsi="Calibri"/>
          <w:noProof/>
          <w:sz w:val="20"/>
          <w:szCs w:val="20"/>
        </w:rPr>
        <w:t>, 159-165.</w:t>
      </w:r>
      <w:bookmarkEnd w:id="295"/>
    </w:p>
    <w:p w:rsidR="00512D09" w:rsidRPr="00610E48" w:rsidRDefault="00512D09" w:rsidP="00512D09">
      <w:pPr>
        <w:spacing w:after="0" w:line="240" w:lineRule="auto"/>
        <w:rPr>
          <w:rFonts w:ascii="Calibri" w:hAnsi="Calibri"/>
          <w:noProof/>
          <w:sz w:val="20"/>
          <w:szCs w:val="20"/>
        </w:rPr>
      </w:pPr>
      <w:bookmarkStart w:id="296" w:name="_ENREF_61"/>
      <w:r w:rsidRPr="00610E48">
        <w:rPr>
          <w:rFonts w:ascii="Calibri" w:hAnsi="Calibri"/>
          <w:noProof/>
          <w:sz w:val="20"/>
          <w:szCs w:val="20"/>
        </w:rPr>
        <w:tab/>
        <w:t>(61)</w:t>
      </w:r>
      <w:r w:rsidRPr="00610E48">
        <w:rPr>
          <w:rFonts w:ascii="Calibri" w:hAnsi="Calibri"/>
          <w:noProof/>
          <w:sz w:val="20"/>
          <w:szCs w:val="20"/>
        </w:rPr>
        <w:tab/>
        <w:t xml:space="preserve">Wolf, M.; Gulich, R.; Lunkenheimer, P.; Loidl, A.: Relaxation dynamics of a protein solution investigated by dielectric spectroscopy. </w:t>
      </w:r>
      <w:r w:rsidRPr="00610E48">
        <w:rPr>
          <w:rFonts w:ascii="Calibri" w:hAnsi="Calibri"/>
          <w:i/>
          <w:noProof/>
          <w:sz w:val="20"/>
          <w:szCs w:val="20"/>
        </w:rPr>
        <w:t>Biochimica et Biophysica Acta (BBA) - Proteins and Proteomics,</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1824</w:t>
      </w:r>
      <w:r w:rsidRPr="00610E48">
        <w:rPr>
          <w:rFonts w:ascii="Calibri" w:hAnsi="Calibri"/>
          <w:noProof/>
          <w:sz w:val="20"/>
          <w:szCs w:val="20"/>
        </w:rPr>
        <w:t>, 723-730.</w:t>
      </w:r>
      <w:bookmarkEnd w:id="296"/>
    </w:p>
    <w:p w:rsidR="00512D09" w:rsidRPr="00610E48" w:rsidRDefault="00512D09" w:rsidP="00512D09">
      <w:pPr>
        <w:spacing w:after="0" w:line="240" w:lineRule="auto"/>
        <w:rPr>
          <w:rFonts w:ascii="Calibri" w:hAnsi="Calibri"/>
          <w:noProof/>
          <w:sz w:val="20"/>
          <w:szCs w:val="20"/>
        </w:rPr>
      </w:pPr>
      <w:bookmarkStart w:id="297" w:name="_ENREF_62"/>
      <w:r w:rsidRPr="00610E48">
        <w:rPr>
          <w:rFonts w:ascii="Calibri" w:hAnsi="Calibri"/>
          <w:noProof/>
          <w:sz w:val="20"/>
          <w:szCs w:val="20"/>
        </w:rPr>
        <w:tab/>
        <w:t>(62)</w:t>
      </w:r>
      <w:r w:rsidRPr="00610E48">
        <w:rPr>
          <w:rFonts w:ascii="Calibri" w:hAnsi="Calibri"/>
          <w:noProof/>
          <w:sz w:val="20"/>
          <w:szCs w:val="20"/>
        </w:rPr>
        <w:tab/>
        <w:t xml:space="preserve">Vinh, N. Q.; Allen, S. J.; Plaxco, K. W.: Dielectric Spectroscopy of Proteins as a Quantitative Experimental Test of Computational Models of Their Low-Frequency Harmonic Motions.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133</w:t>
      </w:r>
      <w:r w:rsidRPr="00610E48">
        <w:rPr>
          <w:rFonts w:ascii="Calibri" w:hAnsi="Calibri"/>
          <w:noProof/>
          <w:sz w:val="20"/>
          <w:szCs w:val="20"/>
        </w:rPr>
        <w:t>, 8942-8947.</w:t>
      </w:r>
      <w:bookmarkEnd w:id="297"/>
    </w:p>
    <w:p w:rsidR="00512D09" w:rsidRPr="00610E48" w:rsidRDefault="00512D09" w:rsidP="00512D09">
      <w:pPr>
        <w:spacing w:after="0" w:line="240" w:lineRule="auto"/>
        <w:rPr>
          <w:rFonts w:ascii="Calibri" w:hAnsi="Calibri"/>
          <w:noProof/>
          <w:sz w:val="20"/>
          <w:szCs w:val="20"/>
        </w:rPr>
      </w:pPr>
      <w:bookmarkStart w:id="298" w:name="_ENREF_63"/>
      <w:r w:rsidRPr="00610E48">
        <w:rPr>
          <w:rFonts w:ascii="Calibri" w:hAnsi="Calibri"/>
          <w:noProof/>
          <w:sz w:val="20"/>
          <w:szCs w:val="20"/>
        </w:rPr>
        <w:lastRenderedPageBreak/>
        <w:tab/>
        <w:t>(63)</w:t>
      </w:r>
      <w:r w:rsidRPr="00610E48">
        <w:rPr>
          <w:rFonts w:ascii="Calibri" w:hAnsi="Calibri"/>
          <w:noProof/>
          <w:sz w:val="20"/>
          <w:szCs w:val="20"/>
        </w:rPr>
        <w:tab/>
        <w:t xml:space="preserve">Bye, J. W.; Falconer, R. J.: Thermal stability of lysozyme as a function of ion concentration: A reappraisal of the relationship between the Hofmeister series and protein stability. </w:t>
      </w:r>
      <w:r w:rsidRPr="00610E48">
        <w:rPr>
          <w:rFonts w:ascii="Calibri" w:hAnsi="Calibri"/>
          <w:i/>
          <w:noProof/>
          <w:sz w:val="20"/>
          <w:szCs w:val="20"/>
        </w:rPr>
        <w:t>Protein Science,</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22</w:t>
      </w:r>
      <w:r w:rsidRPr="00610E48">
        <w:rPr>
          <w:rFonts w:ascii="Calibri" w:hAnsi="Calibri"/>
          <w:noProof/>
          <w:sz w:val="20"/>
          <w:szCs w:val="20"/>
        </w:rPr>
        <w:t>, 1563-1570.</w:t>
      </w:r>
      <w:bookmarkEnd w:id="298"/>
    </w:p>
    <w:p w:rsidR="00512D09" w:rsidRPr="00610E48" w:rsidRDefault="00512D09" w:rsidP="00512D09">
      <w:pPr>
        <w:spacing w:after="0" w:line="240" w:lineRule="auto"/>
        <w:rPr>
          <w:rFonts w:ascii="Calibri" w:hAnsi="Calibri"/>
          <w:noProof/>
          <w:sz w:val="20"/>
          <w:szCs w:val="20"/>
        </w:rPr>
      </w:pPr>
      <w:bookmarkStart w:id="299" w:name="_ENREF_64"/>
      <w:r w:rsidRPr="00610E48">
        <w:rPr>
          <w:rFonts w:ascii="Calibri" w:hAnsi="Calibri"/>
          <w:noProof/>
          <w:sz w:val="20"/>
          <w:szCs w:val="20"/>
        </w:rPr>
        <w:tab/>
        <w:t>(64)</w:t>
      </w:r>
      <w:r w:rsidRPr="00610E48">
        <w:rPr>
          <w:rFonts w:ascii="Calibri" w:hAnsi="Calibri"/>
          <w:noProof/>
          <w:sz w:val="20"/>
          <w:szCs w:val="20"/>
        </w:rPr>
        <w:tab/>
        <w:t xml:space="preserve">Halle, B.; Denisov, V.; Venu, K.: Multinuclear Relaxation Dispersion Studies of Protein Hydration. In </w:t>
      </w:r>
      <w:r w:rsidRPr="00610E48">
        <w:rPr>
          <w:rFonts w:ascii="Calibri" w:hAnsi="Calibri"/>
          <w:i/>
          <w:noProof/>
          <w:sz w:val="20"/>
          <w:szCs w:val="20"/>
        </w:rPr>
        <w:t>Biological Magnetic Resonance</w:t>
      </w:r>
      <w:r w:rsidRPr="00610E48">
        <w:rPr>
          <w:rFonts w:ascii="Calibri" w:hAnsi="Calibri"/>
          <w:noProof/>
          <w:sz w:val="20"/>
          <w:szCs w:val="20"/>
        </w:rPr>
        <w:t>; Krishna, N. R., Berliner, L., Eds.; Springer US, 2002; Vol. 17; pp 419-484.</w:t>
      </w:r>
      <w:bookmarkEnd w:id="299"/>
    </w:p>
    <w:p w:rsidR="00512D09" w:rsidRPr="00610E48" w:rsidRDefault="00512D09" w:rsidP="00512D09">
      <w:pPr>
        <w:spacing w:after="0" w:line="240" w:lineRule="auto"/>
        <w:rPr>
          <w:rFonts w:ascii="Calibri" w:hAnsi="Calibri"/>
          <w:noProof/>
          <w:sz w:val="20"/>
          <w:szCs w:val="20"/>
        </w:rPr>
      </w:pPr>
      <w:bookmarkStart w:id="300" w:name="_ENREF_65"/>
      <w:r w:rsidRPr="00610E48">
        <w:rPr>
          <w:rFonts w:ascii="Calibri" w:hAnsi="Calibri"/>
          <w:noProof/>
          <w:sz w:val="20"/>
          <w:szCs w:val="20"/>
        </w:rPr>
        <w:tab/>
        <w:t>(65)</w:t>
      </w:r>
      <w:r w:rsidRPr="00610E48">
        <w:rPr>
          <w:rFonts w:ascii="Calibri" w:hAnsi="Calibri"/>
          <w:noProof/>
          <w:sz w:val="20"/>
          <w:szCs w:val="20"/>
        </w:rPr>
        <w:tab/>
        <w:t xml:space="preserve">Qvist, J.; Ortega, G.; Tadeo, X.; Millet, O.; Halle, B.: Hydration Dynamics of a Halophilic Protein in Folded and Unfolded States. </w:t>
      </w:r>
      <w:r w:rsidRPr="00610E48">
        <w:rPr>
          <w:rFonts w:ascii="Calibri" w:hAnsi="Calibri"/>
          <w:i/>
          <w:noProof/>
          <w:sz w:val="20"/>
          <w:szCs w:val="20"/>
        </w:rPr>
        <w:t>Journal of Physical Chemistry B,</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116</w:t>
      </w:r>
      <w:r w:rsidRPr="00610E48">
        <w:rPr>
          <w:rFonts w:ascii="Calibri" w:hAnsi="Calibri"/>
          <w:noProof/>
          <w:sz w:val="20"/>
          <w:szCs w:val="20"/>
        </w:rPr>
        <w:t>, 3436-3444.</w:t>
      </w:r>
      <w:bookmarkEnd w:id="300"/>
    </w:p>
    <w:p w:rsidR="00512D09" w:rsidRPr="00610E48" w:rsidRDefault="00512D09" w:rsidP="00512D09">
      <w:pPr>
        <w:spacing w:after="0" w:line="240" w:lineRule="auto"/>
        <w:rPr>
          <w:rFonts w:ascii="Calibri" w:hAnsi="Calibri"/>
          <w:noProof/>
          <w:sz w:val="20"/>
          <w:szCs w:val="20"/>
        </w:rPr>
      </w:pPr>
      <w:bookmarkStart w:id="301" w:name="_ENREF_66"/>
      <w:r w:rsidRPr="00610E48">
        <w:rPr>
          <w:rFonts w:ascii="Calibri" w:hAnsi="Calibri"/>
          <w:noProof/>
          <w:sz w:val="20"/>
          <w:szCs w:val="20"/>
        </w:rPr>
        <w:tab/>
        <w:t>(66)</w:t>
      </w:r>
      <w:r w:rsidRPr="00610E48">
        <w:rPr>
          <w:rFonts w:ascii="Calibri" w:hAnsi="Calibri"/>
          <w:noProof/>
          <w:sz w:val="20"/>
          <w:szCs w:val="20"/>
        </w:rPr>
        <w:tab/>
        <w:t xml:space="preserve">Kwon, O. H.; Yoo, T. H.; Othon, C. M.; Van Deventer, J. A.; Tirrell, D. A.; Zewail, A. H.: Hydration dynamics at fluorinated protein surfaces. </w:t>
      </w:r>
      <w:r w:rsidRPr="00610E48">
        <w:rPr>
          <w:rFonts w:ascii="Calibri" w:hAnsi="Calibri"/>
          <w:i/>
          <w:noProof/>
          <w:sz w:val="20"/>
          <w:szCs w:val="20"/>
        </w:rPr>
        <w:t>Proceedings of the National Academy of Sciences of the United States of America,</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107</w:t>
      </w:r>
      <w:r w:rsidRPr="00610E48">
        <w:rPr>
          <w:rFonts w:ascii="Calibri" w:hAnsi="Calibri"/>
          <w:noProof/>
          <w:sz w:val="20"/>
          <w:szCs w:val="20"/>
        </w:rPr>
        <w:t>, 17101-6.</w:t>
      </w:r>
      <w:bookmarkEnd w:id="301"/>
    </w:p>
    <w:p w:rsidR="00512D09" w:rsidRPr="00610E48" w:rsidRDefault="00512D09" w:rsidP="00512D09">
      <w:pPr>
        <w:spacing w:after="0" w:line="240" w:lineRule="auto"/>
        <w:rPr>
          <w:rFonts w:ascii="Calibri" w:hAnsi="Calibri"/>
          <w:noProof/>
          <w:sz w:val="20"/>
          <w:szCs w:val="20"/>
        </w:rPr>
      </w:pPr>
      <w:bookmarkStart w:id="302" w:name="_ENREF_67"/>
      <w:r w:rsidRPr="00610E48">
        <w:rPr>
          <w:rFonts w:ascii="Calibri" w:hAnsi="Calibri"/>
          <w:noProof/>
          <w:sz w:val="20"/>
          <w:szCs w:val="20"/>
        </w:rPr>
        <w:tab/>
        <w:t>(67)</w:t>
      </w:r>
      <w:r w:rsidRPr="00610E48">
        <w:rPr>
          <w:rFonts w:ascii="Calibri" w:hAnsi="Calibri"/>
          <w:noProof/>
          <w:sz w:val="20"/>
          <w:szCs w:val="20"/>
        </w:rPr>
        <w:tab/>
        <w:t xml:space="preserve">Qvist, J.; Davidovic, M.; Hamelberg, D.; Halle, B.: A dry ligand-binding cavity in a solvated protein.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105</w:t>
      </w:r>
      <w:r w:rsidRPr="00610E48">
        <w:rPr>
          <w:rFonts w:ascii="Calibri" w:hAnsi="Calibri"/>
          <w:noProof/>
          <w:sz w:val="20"/>
          <w:szCs w:val="20"/>
        </w:rPr>
        <w:t>, 6296-6301.</w:t>
      </w:r>
      <w:bookmarkEnd w:id="302"/>
    </w:p>
    <w:p w:rsidR="00512D09" w:rsidRPr="00610E48" w:rsidRDefault="00512D09" w:rsidP="00512D09">
      <w:pPr>
        <w:spacing w:after="0" w:line="240" w:lineRule="auto"/>
        <w:rPr>
          <w:rFonts w:ascii="Calibri" w:hAnsi="Calibri"/>
          <w:noProof/>
          <w:sz w:val="20"/>
          <w:szCs w:val="20"/>
        </w:rPr>
      </w:pPr>
      <w:bookmarkStart w:id="303" w:name="_ENREF_68"/>
      <w:r w:rsidRPr="00610E48">
        <w:rPr>
          <w:rFonts w:ascii="Calibri" w:hAnsi="Calibri"/>
          <w:noProof/>
          <w:sz w:val="20"/>
          <w:szCs w:val="20"/>
        </w:rPr>
        <w:tab/>
        <w:t>(68)</w:t>
      </w:r>
      <w:r w:rsidRPr="00610E48">
        <w:rPr>
          <w:rFonts w:ascii="Calibri" w:hAnsi="Calibri"/>
          <w:noProof/>
          <w:sz w:val="20"/>
          <w:szCs w:val="20"/>
        </w:rPr>
        <w:tab/>
        <w:t xml:space="preserve">Comez, L.; Lupi, L.; Morresi, A.; Paolantoni, M.; Sassi, P.; Fioretto, D.: More Is Different: Experimental Results on the Effect of Biomolecules on the Dynamics of Hydration Water. </w:t>
      </w:r>
      <w:r w:rsidRPr="00610E48">
        <w:rPr>
          <w:rFonts w:ascii="Calibri" w:hAnsi="Calibri"/>
          <w:i/>
          <w:noProof/>
          <w:sz w:val="20"/>
          <w:szCs w:val="20"/>
        </w:rPr>
        <w:t>The Journal of Physical Chemistry Letters,</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4</w:t>
      </w:r>
      <w:r w:rsidRPr="00610E48">
        <w:rPr>
          <w:rFonts w:ascii="Calibri" w:hAnsi="Calibri"/>
          <w:noProof/>
          <w:sz w:val="20"/>
          <w:szCs w:val="20"/>
        </w:rPr>
        <w:t>, 1188-1192.</w:t>
      </w:r>
      <w:bookmarkEnd w:id="303"/>
    </w:p>
    <w:p w:rsidR="00512D09" w:rsidRPr="00610E48" w:rsidRDefault="00512D09" w:rsidP="00512D09">
      <w:pPr>
        <w:spacing w:after="0" w:line="240" w:lineRule="auto"/>
        <w:rPr>
          <w:rFonts w:ascii="Calibri" w:hAnsi="Calibri"/>
          <w:noProof/>
          <w:sz w:val="20"/>
          <w:szCs w:val="20"/>
        </w:rPr>
      </w:pPr>
      <w:bookmarkStart w:id="304" w:name="_ENREF_69"/>
      <w:r w:rsidRPr="00610E48">
        <w:rPr>
          <w:rFonts w:ascii="Calibri" w:hAnsi="Calibri"/>
          <w:noProof/>
          <w:sz w:val="20"/>
          <w:szCs w:val="20"/>
        </w:rPr>
        <w:tab/>
        <w:t>(69)</w:t>
      </w:r>
      <w:r w:rsidRPr="00610E48">
        <w:rPr>
          <w:rFonts w:ascii="Calibri" w:hAnsi="Calibri"/>
          <w:noProof/>
          <w:sz w:val="20"/>
          <w:szCs w:val="20"/>
        </w:rPr>
        <w:tab/>
        <w:t xml:space="preserve">Perticaroli, S.; Comez, L.; Paolantoni, M.; Sassi, P.; Morresi, A.; Fioretto, D.: Extended Frequency Range Depolarized Light Scattering Study of N-Acetyl-leucine-methylamide–Water Solutions.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133</w:t>
      </w:r>
      <w:r w:rsidRPr="00610E48">
        <w:rPr>
          <w:rFonts w:ascii="Calibri" w:hAnsi="Calibri"/>
          <w:noProof/>
          <w:sz w:val="20"/>
          <w:szCs w:val="20"/>
        </w:rPr>
        <w:t>, 12063-12068.</w:t>
      </w:r>
      <w:bookmarkEnd w:id="304"/>
    </w:p>
    <w:p w:rsidR="00512D09" w:rsidRPr="00610E48" w:rsidRDefault="00512D09" w:rsidP="00512D09">
      <w:pPr>
        <w:spacing w:after="0" w:line="240" w:lineRule="auto"/>
        <w:rPr>
          <w:rFonts w:ascii="Calibri" w:hAnsi="Calibri"/>
          <w:noProof/>
          <w:sz w:val="20"/>
          <w:szCs w:val="20"/>
        </w:rPr>
      </w:pPr>
      <w:bookmarkStart w:id="305" w:name="_ENREF_70"/>
      <w:r w:rsidRPr="00610E48">
        <w:rPr>
          <w:rFonts w:ascii="Calibri" w:hAnsi="Calibri"/>
          <w:noProof/>
          <w:sz w:val="20"/>
          <w:szCs w:val="20"/>
        </w:rPr>
        <w:tab/>
        <w:t>(70)</w:t>
      </w:r>
      <w:r w:rsidRPr="00610E48">
        <w:rPr>
          <w:rFonts w:ascii="Calibri" w:hAnsi="Calibri"/>
          <w:noProof/>
          <w:sz w:val="20"/>
          <w:szCs w:val="20"/>
        </w:rPr>
        <w:tab/>
        <w:t xml:space="preserve">Ebbinghaus, S.; Kim, S. J.; Heyden, M.; Yu, X.; Heugen, U.; Gruebele, M.; Leitner, D. M.; Havenith, M.: An extended dynamical hydration shell around proteins. </w:t>
      </w:r>
      <w:r w:rsidRPr="00610E48">
        <w:rPr>
          <w:rFonts w:ascii="Calibri" w:hAnsi="Calibri"/>
          <w:i/>
          <w:noProof/>
          <w:sz w:val="20"/>
          <w:szCs w:val="20"/>
        </w:rPr>
        <w:t>Proceedings of the National Academy of Sciences of the United States of America,</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104</w:t>
      </w:r>
      <w:r w:rsidRPr="00610E48">
        <w:rPr>
          <w:rFonts w:ascii="Calibri" w:hAnsi="Calibri"/>
          <w:noProof/>
          <w:sz w:val="20"/>
          <w:szCs w:val="20"/>
        </w:rPr>
        <w:t>, 20749-20752.</w:t>
      </w:r>
      <w:bookmarkEnd w:id="305"/>
    </w:p>
    <w:p w:rsidR="00512D09" w:rsidRPr="00610E48" w:rsidRDefault="00512D09" w:rsidP="00512D09">
      <w:pPr>
        <w:spacing w:after="0" w:line="240" w:lineRule="auto"/>
        <w:rPr>
          <w:rFonts w:ascii="Calibri" w:hAnsi="Calibri"/>
          <w:noProof/>
          <w:sz w:val="20"/>
          <w:szCs w:val="20"/>
        </w:rPr>
      </w:pPr>
      <w:bookmarkStart w:id="306" w:name="_ENREF_71"/>
      <w:r w:rsidRPr="00610E48">
        <w:rPr>
          <w:rFonts w:ascii="Calibri" w:hAnsi="Calibri"/>
          <w:noProof/>
          <w:sz w:val="20"/>
          <w:szCs w:val="20"/>
        </w:rPr>
        <w:tab/>
        <w:t>(71)</w:t>
      </w:r>
      <w:r w:rsidRPr="00610E48">
        <w:rPr>
          <w:rFonts w:ascii="Calibri" w:hAnsi="Calibri"/>
          <w:noProof/>
          <w:sz w:val="20"/>
          <w:szCs w:val="20"/>
        </w:rPr>
        <w:tab/>
        <w:t xml:space="preserve">Bakker, H. J.: Physical chemistry: Water's response to the fear of water. </w:t>
      </w:r>
      <w:r w:rsidRPr="00610E48">
        <w:rPr>
          <w:rFonts w:ascii="Calibri" w:hAnsi="Calibri"/>
          <w:i/>
          <w:noProof/>
          <w:sz w:val="20"/>
          <w:szCs w:val="20"/>
        </w:rPr>
        <w:t>Nature,</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491</w:t>
      </w:r>
      <w:r w:rsidRPr="00610E48">
        <w:rPr>
          <w:rFonts w:ascii="Calibri" w:hAnsi="Calibri"/>
          <w:noProof/>
          <w:sz w:val="20"/>
          <w:szCs w:val="20"/>
        </w:rPr>
        <w:t>, 533-535.</w:t>
      </w:r>
      <w:bookmarkEnd w:id="306"/>
    </w:p>
    <w:p w:rsidR="00512D09" w:rsidRPr="00610E48" w:rsidRDefault="00512D09" w:rsidP="00512D09">
      <w:pPr>
        <w:spacing w:after="0" w:line="240" w:lineRule="auto"/>
        <w:rPr>
          <w:rFonts w:ascii="Calibri" w:hAnsi="Calibri"/>
          <w:noProof/>
          <w:sz w:val="20"/>
          <w:szCs w:val="20"/>
        </w:rPr>
      </w:pPr>
      <w:bookmarkStart w:id="307" w:name="_ENREF_72"/>
      <w:r w:rsidRPr="00610E48">
        <w:rPr>
          <w:rFonts w:ascii="Calibri" w:hAnsi="Calibri"/>
          <w:noProof/>
          <w:sz w:val="20"/>
          <w:szCs w:val="20"/>
        </w:rPr>
        <w:tab/>
        <w:t>(72)</w:t>
      </w:r>
      <w:r w:rsidRPr="00610E48">
        <w:rPr>
          <w:rFonts w:ascii="Calibri" w:hAnsi="Calibri"/>
          <w:noProof/>
          <w:sz w:val="20"/>
          <w:szCs w:val="20"/>
        </w:rPr>
        <w:tab/>
        <w:t xml:space="preserve">Haslam, E.: Natural polyphenols (vegetable tannins) as drugs: possible modes of action. </w:t>
      </w:r>
      <w:r w:rsidRPr="00610E48">
        <w:rPr>
          <w:rFonts w:ascii="Calibri" w:hAnsi="Calibri"/>
          <w:i/>
          <w:noProof/>
          <w:sz w:val="20"/>
          <w:szCs w:val="20"/>
        </w:rPr>
        <w:t>Journal of natural products,</w:t>
      </w:r>
      <w:r w:rsidRPr="00610E48">
        <w:rPr>
          <w:rFonts w:ascii="Calibri" w:hAnsi="Calibri"/>
          <w:noProof/>
          <w:sz w:val="20"/>
          <w:szCs w:val="20"/>
        </w:rPr>
        <w:t xml:space="preserve"> </w:t>
      </w:r>
      <w:r w:rsidRPr="00610E48">
        <w:rPr>
          <w:rFonts w:ascii="Calibri" w:hAnsi="Calibri"/>
          <w:b/>
          <w:noProof/>
          <w:sz w:val="20"/>
          <w:szCs w:val="20"/>
        </w:rPr>
        <w:t>1996</w:t>
      </w:r>
      <w:r w:rsidRPr="00610E48">
        <w:rPr>
          <w:rFonts w:ascii="Calibri" w:hAnsi="Calibri"/>
          <w:noProof/>
          <w:sz w:val="20"/>
          <w:szCs w:val="20"/>
        </w:rPr>
        <w:t xml:space="preserve">, </w:t>
      </w:r>
      <w:r w:rsidRPr="00610E48">
        <w:rPr>
          <w:rFonts w:ascii="Calibri" w:hAnsi="Calibri"/>
          <w:i/>
          <w:noProof/>
          <w:sz w:val="20"/>
          <w:szCs w:val="20"/>
        </w:rPr>
        <w:t>59</w:t>
      </w:r>
      <w:r w:rsidRPr="00610E48">
        <w:rPr>
          <w:rFonts w:ascii="Calibri" w:hAnsi="Calibri"/>
          <w:noProof/>
          <w:sz w:val="20"/>
          <w:szCs w:val="20"/>
        </w:rPr>
        <w:t>, 205-215.</w:t>
      </w:r>
      <w:bookmarkEnd w:id="307"/>
    </w:p>
    <w:p w:rsidR="00512D09" w:rsidRPr="00610E48" w:rsidRDefault="00512D09" w:rsidP="00512D09">
      <w:pPr>
        <w:spacing w:after="0" w:line="240" w:lineRule="auto"/>
        <w:rPr>
          <w:rFonts w:ascii="Calibri" w:hAnsi="Calibri"/>
          <w:noProof/>
          <w:sz w:val="20"/>
          <w:szCs w:val="20"/>
        </w:rPr>
      </w:pPr>
      <w:bookmarkStart w:id="308" w:name="_ENREF_73"/>
      <w:r w:rsidRPr="00610E48">
        <w:rPr>
          <w:rFonts w:ascii="Calibri" w:hAnsi="Calibri"/>
          <w:noProof/>
          <w:sz w:val="20"/>
          <w:szCs w:val="20"/>
        </w:rPr>
        <w:tab/>
        <w:t>(73)</w:t>
      </w:r>
      <w:r w:rsidRPr="00610E48">
        <w:rPr>
          <w:rFonts w:ascii="Calibri" w:hAnsi="Calibri"/>
          <w:noProof/>
          <w:sz w:val="20"/>
          <w:szCs w:val="20"/>
        </w:rPr>
        <w:tab/>
        <w:t xml:space="preserve">Qvist, J.; Halle, B.: Thermal signature of hydrophobic hydration dynamics.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130</w:t>
      </w:r>
      <w:r w:rsidRPr="00610E48">
        <w:rPr>
          <w:rFonts w:ascii="Calibri" w:hAnsi="Calibri"/>
          <w:noProof/>
          <w:sz w:val="20"/>
          <w:szCs w:val="20"/>
        </w:rPr>
        <w:t>, 10345-10353.</w:t>
      </w:r>
      <w:bookmarkEnd w:id="308"/>
    </w:p>
    <w:p w:rsidR="00512D09" w:rsidRPr="00610E48" w:rsidRDefault="00512D09" w:rsidP="00512D09">
      <w:pPr>
        <w:spacing w:after="0" w:line="240" w:lineRule="auto"/>
        <w:rPr>
          <w:rFonts w:ascii="Calibri" w:hAnsi="Calibri"/>
          <w:noProof/>
          <w:sz w:val="20"/>
          <w:szCs w:val="20"/>
        </w:rPr>
      </w:pPr>
      <w:bookmarkStart w:id="309" w:name="_ENREF_74"/>
      <w:r w:rsidRPr="00610E48">
        <w:rPr>
          <w:rFonts w:ascii="Calibri" w:hAnsi="Calibri"/>
          <w:noProof/>
          <w:sz w:val="20"/>
          <w:szCs w:val="20"/>
        </w:rPr>
        <w:tab/>
        <w:t>(74)</w:t>
      </w:r>
      <w:r w:rsidRPr="00610E48">
        <w:rPr>
          <w:rFonts w:ascii="Calibri" w:hAnsi="Calibri"/>
          <w:noProof/>
          <w:sz w:val="20"/>
          <w:szCs w:val="20"/>
        </w:rPr>
        <w:tab/>
        <w:t xml:space="preserve">Mazur, K.; Heisler, I. A.; Meech, S. R.: Aqueous solvation of amphiphilic solutes: concentration and temperature dependent study of the ultrafast polarisability relaxation dynamics. </w:t>
      </w:r>
      <w:r w:rsidRPr="00610E48">
        <w:rPr>
          <w:rFonts w:ascii="Calibri" w:hAnsi="Calibri"/>
          <w:i/>
          <w:noProof/>
          <w:sz w:val="20"/>
          <w:szCs w:val="20"/>
        </w:rPr>
        <w:t>Physical Chemistry Chemical Physics,</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14</w:t>
      </w:r>
      <w:r w:rsidRPr="00610E48">
        <w:rPr>
          <w:rFonts w:ascii="Calibri" w:hAnsi="Calibri"/>
          <w:noProof/>
          <w:sz w:val="20"/>
          <w:szCs w:val="20"/>
        </w:rPr>
        <w:t>, 6343-6351.</w:t>
      </w:r>
      <w:bookmarkEnd w:id="309"/>
    </w:p>
    <w:p w:rsidR="00512D09" w:rsidRPr="00610E48" w:rsidRDefault="00512D09" w:rsidP="00512D09">
      <w:pPr>
        <w:spacing w:after="0" w:line="240" w:lineRule="auto"/>
        <w:rPr>
          <w:rFonts w:ascii="Calibri" w:hAnsi="Calibri"/>
          <w:noProof/>
          <w:sz w:val="20"/>
          <w:szCs w:val="20"/>
        </w:rPr>
      </w:pPr>
      <w:bookmarkStart w:id="310" w:name="_ENREF_75"/>
      <w:r w:rsidRPr="00610E48">
        <w:rPr>
          <w:rFonts w:ascii="Calibri" w:hAnsi="Calibri"/>
          <w:noProof/>
          <w:sz w:val="20"/>
          <w:szCs w:val="20"/>
        </w:rPr>
        <w:tab/>
        <w:t>(75)</w:t>
      </w:r>
      <w:r w:rsidRPr="00610E48">
        <w:rPr>
          <w:rFonts w:ascii="Calibri" w:hAnsi="Calibri"/>
          <w:noProof/>
          <w:sz w:val="20"/>
          <w:szCs w:val="20"/>
        </w:rPr>
        <w:tab/>
        <w:t xml:space="preserve">Bakulin, A. A.; Pshenichnikov, M. S.; Bakker, H. J.; Petersen, C.: Hydrophobic Molecules Slow Down the Hydrogen-Bond Dynamics of Water. </w:t>
      </w:r>
      <w:r w:rsidRPr="00610E48">
        <w:rPr>
          <w:rFonts w:ascii="Calibri" w:hAnsi="Calibri"/>
          <w:i/>
          <w:noProof/>
          <w:sz w:val="20"/>
          <w:szCs w:val="20"/>
        </w:rPr>
        <w:t>The Journal of Physical Chemistry A,</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115</w:t>
      </w:r>
      <w:r w:rsidRPr="00610E48">
        <w:rPr>
          <w:rFonts w:ascii="Calibri" w:hAnsi="Calibri"/>
          <w:noProof/>
          <w:sz w:val="20"/>
          <w:szCs w:val="20"/>
        </w:rPr>
        <w:t>, 1821-1829.</w:t>
      </w:r>
      <w:bookmarkEnd w:id="310"/>
    </w:p>
    <w:p w:rsidR="00512D09" w:rsidRPr="00610E48" w:rsidRDefault="00512D09" w:rsidP="00512D09">
      <w:pPr>
        <w:spacing w:after="0" w:line="240" w:lineRule="auto"/>
        <w:rPr>
          <w:rFonts w:ascii="Calibri" w:hAnsi="Calibri"/>
          <w:noProof/>
          <w:sz w:val="20"/>
          <w:szCs w:val="20"/>
        </w:rPr>
      </w:pPr>
      <w:bookmarkStart w:id="311" w:name="_ENREF_76"/>
      <w:r w:rsidRPr="00610E48">
        <w:rPr>
          <w:rFonts w:ascii="Calibri" w:hAnsi="Calibri"/>
          <w:noProof/>
          <w:sz w:val="20"/>
          <w:szCs w:val="20"/>
        </w:rPr>
        <w:tab/>
        <w:t>(76)</w:t>
      </w:r>
      <w:r w:rsidRPr="00610E48">
        <w:rPr>
          <w:rFonts w:ascii="Calibri" w:hAnsi="Calibri"/>
          <w:noProof/>
          <w:sz w:val="20"/>
          <w:szCs w:val="20"/>
        </w:rPr>
        <w:tab/>
        <w:t xml:space="preserve">Biela, A.; Betz, M.; Heine, A.; Klebe, G.: Water Makes the Difference: Rearrangement of Water Solvation Layer Triggers Non-additivity of Functional Group Contributions in Protein–Ligand Binding. </w:t>
      </w:r>
      <w:r w:rsidRPr="00610E48">
        <w:rPr>
          <w:rFonts w:ascii="Calibri" w:hAnsi="Calibri"/>
          <w:i/>
          <w:noProof/>
          <w:sz w:val="20"/>
          <w:szCs w:val="20"/>
        </w:rPr>
        <w:t>ChemMedChem,</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7</w:t>
      </w:r>
      <w:r w:rsidRPr="00610E48">
        <w:rPr>
          <w:rFonts w:ascii="Calibri" w:hAnsi="Calibri"/>
          <w:noProof/>
          <w:sz w:val="20"/>
          <w:szCs w:val="20"/>
        </w:rPr>
        <w:t>, 1423-1434.</w:t>
      </w:r>
      <w:bookmarkEnd w:id="311"/>
    </w:p>
    <w:p w:rsidR="00512D09" w:rsidRPr="00610E48" w:rsidRDefault="00512D09" w:rsidP="00512D09">
      <w:pPr>
        <w:spacing w:after="0" w:line="240" w:lineRule="auto"/>
        <w:rPr>
          <w:rFonts w:ascii="Calibri" w:hAnsi="Calibri"/>
          <w:noProof/>
          <w:sz w:val="20"/>
          <w:szCs w:val="20"/>
        </w:rPr>
      </w:pPr>
      <w:bookmarkStart w:id="312" w:name="_ENREF_77"/>
      <w:r w:rsidRPr="00610E48">
        <w:rPr>
          <w:rFonts w:ascii="Calibri" w:hAnsi="Calibri"/>
          <w:noProof/>
          <w:sz w:val="20"/>
          <w:szCs w:val="20"/>
        </w:rPr>
        <w:tab/>
        <w:t>(77)</w:t>
      </w:r>
      <w:r w:rsidRPr="00610E48">
        <w:rPr>
          <w:rFonts w:ascii="Calibri" w:hAnsi="Calibri"/>
          <w:noProof/>
          <w:sz w:val="20"/>
          <w:szCs w:val="20"/>
        </w:rPr>
        <w:tab/>
        <w:t xml:space="preserve">Breslow, R.; Groves, K.; Mayer, M. U.: The hydrophobic effect as a mechanistic tool. </w:t>
      </w:r>
      <w:r w:rsidRPr="00610E48">
        <w:rPr>
          <w:rFonts w:ascii="Calibri" w:hAnsi="Calibri"/>
          <w:i/>
          <w:noProof/>
          <w:sz w:val="20"/>
          <w:szCs w:val="20"/>
        </w:rPr>
        <w:t>Pure and applied chemistry,</w:t>
      </w:r>
      <w:r w:rsidRPr="00610E48">
        <w:rPr>
          <w:rFonts w:ascii="Calibri" w:hAnsi="Calibri"/>
          <w:noProof/>
          <w:sz w:val="20"/>
          <w:szCs w:val="20"/>
        </w:rPr>
        <w:t xml:space="preserve"> </w:t>
      </w:r>
      <w:r w:rsidRPr="00610E48">
        <w:rPr>
          <w:rFonts w:ascii="Calibri" w:hAnsi="Calibri"/>
          <w:b/>
          <w:noProof/>
          <w:sz w:val="20"/>
          <w:szCs w:val="20"/>
        </w:rPr>
        <w:t>1998</w:t>
      </w:r>
      <w:r w:rsidRPr="00610E48">
        <w:rPr>
          <w:rFonts w:ascii="Calibri" w:hAnsi="Calibri"/>
          <w:noProof/>
          <w:sz w:val="20"/>
          <w:szCs w:val="20"/>
        </w:rPr>
        <w:t xml:space="preserve">, </w:t>
      </w:r>
      <w:r w:rsidRPr="00610E48">
        <w:rPr>
          <w:rFonts w:ascii="Calibri" w:hAnsi="Calibri"/>
          <w:i/>
          <w:noProof/>
          <w:sz w:val="20"/>
          <w:szCs w:val="20"/>
        </w:rPr>
        <w:t>70</w:t>
      </w:r>
      <w:r w:rsidRPr="00610E48">
        <w:rPr>
          <w:rFonts w:ascii="Calibri" w:hAnsi="Calibri"/>
          <w:noProof/>
          <w:sz w:val="20"/>
          <w:szCs w:val="20"/>
        </w:rPr>
        <w:t>, 1933-1938.</w:t>
      </w:r>
      <w:bookmarkEnd w:id="312"/>
    </w:p>
    <w:p w:rsidR="00512D09" w:rsidRPr="00610E48" w:rsidRDefault="00512D09" w:rsidP="00512D09">
      <w:pPr>
        <w:spacing w:after="0" w:line="240" w:lineRule="auto"/>
        <w:rPr>
          <w:rFonts w:ascii="Calibri" w:hAnsi="Calibri"/>
          <w:noProof/>
          <w:sz w:val="20"/>
          <w:szCs w:val="20"/>
        </w:rPr>
      </w:pPr>
      <w:bookmarkStart w:id="313" w:name="_ENREF_78"/>
      <w:r w:rsidRPr="00610E48">
        <w:rPr>
          <w:rFonts w:ascii="Calibri" w:hAnsi="Calibri"/>
          <w:noProof/>
          <w:sz w:val="20"/>
          <w:szCs w:val="20"/>
        </w:rPr>
        <w:tab/>
        <w:t>(78)</w:t>
      </w:r>
      <w:r w:rsidRPr="00610E48">
        <w:rPr>
          <w:rFonts w:ascii="Calibri" w:hAnsi="Calibri"/>
          <w:noProof/>
          <w:sz w:val="20"/>
          <w:szCs w:val="20"/>
        </w:rPr>
        <w:tab/>
        <w:t xml:space="preserve">Breslow, R.; Connors, R. V.: Quantitative Antihydrophobic Effects as Probes for Transition State Structures. 1. Benzoin Condensation and Displacement Reactions.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1995</w:t>
      </w:r>
      <w:r w:rsidRPr="00610E48">
        <w:rPr>
          <w:rFonts w:ascii="Calibri" w:hAnsi="Calibri"/>
          <w:noProof/>
          <w:sz w:val="20"/>
          <w:szCs w:val="20"/>
        </w:rPr>
        <w:t xml:space="preserve">, </w:t>
      </w:r>
      <w:r w:rsidRPr="00610E48">
        <w:rPr>
          <w:rFonts w:ascii="Calibri" w:hAnsi="Calibri"/>
          <w:i/>
          <w:noProof/>
          <w:sz w:val="20"/>
          <w:szCs w:val="20"/>
        </w:rPr>
        <w:t>117</w:t>
      </w:r>
      <w:r w:rsidRPr="00610E48">
        <w:rPr>
          <w:rFonts w:ascii="Calibri" w:hAnsi="Calibri"/>
          <w:noProof/>
          <w:sz w:val="20"/>
          <w:szCs w:val="20"/>
        </w:rPr>
        <w:t>, 6601-6602.</w:t>
      </w:r>
      <w:bookmarkEnd w:id="313"/>
    </w:p>
    <w:p w:rsidR="00512D09" w:rsidRPr="00610E48" w:rsidRDefault="00512D09" w:rsidP="00512D09">
      <w:pPr>
        <w:spacing w:after="0" w:line="240" w:lineRule="auto"/>
        <w:rPr>
          <w:rFonts w:ascii="Calibri" w:hAnsi="Calibri"/>
          <w:noProof/>
          <w:sz w:val="20"/>
          <w:szCs w:val="20"/>
        </w:rPr>
      </w:pPr>
      <w:bookmarkStart w:id="314" w:name="_ENREF_79"/>
      <w:r w:rsidRPr="00610E48">
        <w:rPr>
          <w:rFonts w:ascii="Calibri" w:hAnsi="Calibri"/>
          <w:noProof/>
          <w:sz w:val="20"/>
          <w:szCs w:val="20"/>
        </w:rPr>
        <w:tab/>
        <w:t>(79)</w:t>
      </w:r>
      <w:r w:rsidRPr="00610E48">
        <w:rPr>
          <w:rFonts w:ascii="Calibri" w:hAnsi="Calibri"/>
          <w:noProof/>
          <w:sz w:val="20"/>
          <w:szCs w:val="20"/>
        </w:rPr>
        <w:tab/>
        <w:t xml:space="preserve">Breslow, R.; Connors, R.: Antihydrophobic Cosolvent Effects Detect Two Different Geometries for an SN2 Displacement and the Change to a Single-Electron-Transfer Mechanism in Related Cases.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1996</w:t>
      </w:r>
      <w:r w:rsidRPr="00610E48">
        <w:rPr>
          <w:rFonts w:ascii="Calibri" w:hAnsi="Calibri"/>
          <w:noProof/>
          <w:sz w:val="20"/>
          <w:szCs w:val="20"/>
        </w:rPr>
        <w:t xml:space="preserve">, </w:t>
      </w:r>
      <w:r w:rsidRPr="00610E48">
        <w:rPr>
          <w:rFonts w:ascii="Calibri" w:hAnsi="Calibri"/>
          <w:i/>
          <w:noProof/>
          <w:sz w:val="20"/>
          <w:szCs w:val="20"/>
        </w:rPr>
        <w:t>118</w:t>
      </w:r>
      <w:r w:rsidRPr="00610E48">
        <w:rPr>
          <w:rFonts w:ascii="Calibri" w:hAnsi="Calibri"/>
          <w:noProof/>
          <w:sz w:val="20"/>
          <w:szCs w:val="20"/>
        </w:rPr>
        <w:t>, 6323-6324.</w:t>
      </w:r>
      <w:bookmarkEnd w:id="314"/>
    </w:p>
    <w:p w:rsidR="00512D09" w:rsidRPr="00610E48" w:rsidRDefault="00512D09" w:rsidP="00512D09">
      <w:pPr>
        <w:spacing w:after="0" w:line="240" w:lineRule="auto"/>
        <w:rPr>
          <w:rFonts w:ascii="Calibri" w:hAnsi="Calibri"/>
          <w:noProof/>
          <w:sz w:val="20"/>
          <w:szCs w:val="20"/>
        </w:rPr>
      </w:pPr>
      <w:bookmarkStart w:id="315" w:name="_ENREF_80"/>
      <w:r w:rsidRPr="00610E48">
        <w:rPr>
          <w:rFonts w:ascii="Calibri" w:hAnsi="Calibri"/>
          <w:noProof/>
          <w:sz w:val="20"/>
          <w:szCs w:val="20"/>
        </w:rPr>
        <w:tab/>
        <w:t>(80)</w:t>
      </w:r>
      <w:r w:rsidRPr="00610E48">
        <w:rPr>
          <w:rFonts w:ascii="Calibri" w:hAnsi="Calibri"/>
          <w:noProof/>
          <w:sz w:val="20"/>
          <w:szCs w:val="20"/>
        </w:rPr>
        <w:tab/>
        <w:t xml:space="preserve">Maurel, P.: Relevance of dielectric constant and solvent hydrophobicity to the organic solvent effect in enzymology.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1978</w:t>
      </w:r>
      <w:r w:rsidRPr="00610E48">
        <w:rPr>
          <w:rFonts w:ascii="Calibri" w:hAnsi="Calibri"/>
          <w:noProof/>
          <w:sz w:val="20"/>
          <w:szCs w:val="20"/>
        </w:rPr>
        <w:t xml:space="preserve">, </w:t>
      </w:r>
      <w:r w:rsidRPr="00610E48">
        <w:rPr>
          <w:rFonts w:ascii="Calibri" w:hAnsi="Calibri"/>
          <w:i/>
          <w:noProof/>
          <w:sz w:val="20"/>
          <w:szCs w:val="20"/>
        </w:rPr>
        <w:t>253</w:t>
      </w:r>
      <w:r w:rsidRPr="00610E48">
        <w:rPr>
          <w:rFonts w:ascii="Calibri" w:hAnsi="Calibri"/>
          <w:noProof/>
          <w:sz w:val="20"/>
          <w:szCs w:val="20"/>
        </w:rPr>
        <w:t>, 1677-1683.</w:t>
      </w:r>
      <w:bookmarkEnd w:id="315"/>
    </w:p>
    <w:p w:rsidR="00512D09" w:rsidRPr="00610E48" w:rsidRDefault="00512D09" w:rsidP="00512D09">
      <w:pPr>
        <w:spacing w:after="0" w:line="240" w:lineRule="auto"/>
        <w:rPr>
          <w:rFonts w:ascii="Calibri" w:hAnsi="Calibri"/>
          <w:noProof/>
          <w:sz w:val="20"/>
          <w:szCs w:val="20"/>
        </w:rPr>
      </w:pPr>
      <w:bookmarkStart w:id="316" w:name="_ENREF_81"/>
      <w:r w:rsidRPr="00610E48">
        <w:rPr>
          <w:rFonts w:ascii="Calibri" w:hAnsi="Calibri"/>
          <w:noProof/>
          <w:sz w:val="20"/>
          <w:szCs w:val="20"/>
        </w:rPr>
        <w:tab/>
        <w:t>(81)</w:t>
      </w:r>
      <w:r w:rsidRPr="00610E48">
        <w:rPr>
          <w:rFonts w:ascii="Calibri" w:hAnsi="Calibri"/>
          <w:noProof/>
          <w:sz w:val="20"/>
          <w:szCs w:val="20"/>
        </w:rPr>
        <w:tab/>
        <w:t xml:space="preserve">Xavier, K. A.; Shick, K. A.; Smith-Gil, S.; Willson, R. C.: Involvement of water molecules in the association of monoclonal antibody HyHEL-5 with bobwhite quail lysozyme. </w:t>
      </w:r>
      <w:r w:rsidRPr="00610E48">
        <w:rPr>
          <w:rFonts w:ascii="Calibri" w:hAnsi="Calibri"/>
          <w:i/>
          <w:noProof/>
          <w:sz w:val="20"/>
          <w:szCs w:val="20"/>
        </w:rPr>
        <w:t>Biophysical Journal,</w:t>
      </w:r>
      <w:r w:rsidRPr="00610E48">
        <w:rPr>
          <w:rFonts w:ascii="Calibri" w:hAnsi="Calibri"/>
          <w:noProof/>
          <w:sz w:val="20"/>
          <w:szCs w:val="20"/>
        </w:rPr>
        <w:t xml:space="preserve"> </w:t>
      </w:r>
      <w:r w:rsidRPr="00610E48">
        <w:rPr>
          <w:rFonts w:ascii="Calibri" w:hAnsi="Calibri"/>
          <w:b/>
          <w:noProof/>
          <w:sz w:val="20"/>
          <w:szCs w:val="20"/>
        </w:rPr>
        <w:t>1997</w:t>
      </w:r>
      <w:r w:rsidRPr="00610E48">
        <w:rPr>
          <w:rFonts w:ascii="Calibri" w:hAnsi="Calibri"/>
          <w:noProof/>
          <w:sz w:val="20"/>
          <w:szCs w:val="20"/>
        </w:rPr>
        <w:t xml:space="preserve">, </w:t>
      </w:r>
      <w:r w:rsidRPr="00610E48">
        <w:rPr>
          <w:rFonts w:ascii="Calibri" w:hAnsi="Calibri"/>
          <w:i/>
          <w:noProof/>
          <w:sz w:val="20"/>
          <w:szCs w:val="20"/>
        </w:rPr>
        <w:t>73</w:t>
      </w:r>
      <w:r w:rsidRPr="00610E48">
        <w:rPr>
          <w:rFonts w:ascii="Calibri" w:hAnsi="Calibri"/>
          <w:noProof/>
          <w:sz w:val="20"/>
          <w:szCs w:val="20"/>
        </w:rPr>
        <w:t>, 2116-2125.</w:t>
      </w:r>
      <w:bookmarkEnd w:id="316"/>
    </w:p>
    <w:p w:rsidR="00512D09" w:rsidRPr="00610E48" w:rsidRDefault="00512D09" w:rsidP="00512D09">
      <w:pPr>
        <w:spacing w:after="0" w:line="240" w:lineRule="auto"/>
        <w:rPr>
          <w:rFonts w:ascii="Calibri" w:hAnsi="Calibri"/>
          <w:noProof/>
          <w:sz w:val="20"/>
          <w:szCs w:val="20"/>
        </w:rPr>
      </w:pPr>
      <w:bookmarkStart w:id="317" w:name="_ENREF_82"/>
      <w:r w:rsidRPr="00610E48">
        <w:rPr>
          <w:rFonts w:ascii="Calibri" w:hAnsi="Calibri"/>
          <w:noProof/>
          <w:sz w:val="20"/>
          <w:szCs w:val="20"/>
        </w:rPr>
        <w:tab/>
        <w:t>(82)</w:t>
      </w:r>
      <w:r w:rsidRPr="00610E48">
        <w:rPr>
          <w:rFonts w:ascii="Calibri" w:hAnsi="Calibri"/>
          <w:noProof/>
          <w:sz w:val="20"/>
          <w:szCs w:val="20"/>
        </w:rPr>
        <w:tab/>
        <w:t xml:space="preserve">Kornblatt, J. A.; Kornblatt, M. J.; Hoa, G. H.; Mauk, A. G.: Responses of two protein-protein complexes to solvent stress: does water play a role at the interface? </w:t>
      </w:r>
      <w:r w:rsidRPr="00610E48">
        <w:rPr>
          <w:rFonts w:ascii="Calibri" w:hAnsi="Calibri"/>
          <w:i/>
          <w:noProof/>
          <w:sz w:val="20"/>
          <w:szCs w:val="20"/>
        </w:rPr>
        <w:t>Biophysical Journal,</w:t>
      </w:r>
      <w:r w:rsidRPr="00610E48">
        <w:rPr>
          <w:rFonts w:ascii="Calibri" w:hAnsi="Calibri"/>
          <w:noProof/>
          <w:sz w:val="20"/>
          <w:szCs w:val="20"/>
        </w:rPr>
        <w:t xml:space="preserve"> </w:t>
      </w:r>
      <w:r w:rsidRPr="00610E48">
        <w:rPr>
          <w:rFonts w:ascii="Calibri" w:hAnsi="Calibri"/>
          <w:b/>
          <w:noProof/>
          <w:sz w:val="20"/>
          <w:szCs w:val="20"/>
        </w:rPr>
        <w:t>1993</w:t>
      </w:r>
      <w:r w:rsidRPr="00610E48">
        <w:rPr>
          <w:rFonts w:ascii="Calibri" w:hAnsi="Calibri"/>
          <w:noProof/>
          <w:sz w:val="20"/>
          <w:szCs w:val="20"/>
        </w:rPr>
        <w:t xml:space="preserve">, </w:t>
      </w:r>
      <w:r w:rsidRPr="00610E48">
        <w:rPr>
          <w:rFonts w:ascii="Calibri" w:hAnsi="Calibri"/>
          <w:i/>
          <w:noProof/>
          <w:sz w:val="20"/>
          <w:szCs w:val="20"/>
        </w:rPr>
        <w:t>65</w:t>
      </w:r>
      <w:r w:rsidRPr="00610E48">
        <w:rPr>
          <w:rFonts w:ascii="Calibri" w:hAnsi="Calibri"/>
          <w:noProof/>
          <w:sz w:val="20"/>
          <w:szCs w:val="20"/>
        </w:rPr>
        <w:t>, 1059-1065.</w:t>
      </w:r>
      <w:bookmarkEnd w:id="317"/>
    </w:p>
    <w:p w:rsidR="00512D09" w:rsidRPr="00610E48" w:rsidRDefault="00512D09" w:rsidP="00512D09">
      <w:pPr>
        <w:spacing w:after="0" w:line="240" w:lineRule="auto"/>
        <w:rPr>
          <w:rFonts w:ascii="Calibri" w:hAnsi="Calibri"/>
          <w:noProof/>
          <w:sz w:val="20"/>
          <w:szCs w:val="20"/>
        </w:rPr>
      </w:pPr>
      <w:bookmarkStart w:id="318" w:name="_ENREF_83"/>
      <w:r w:rsidRPr="00610E48">
        <w:rPr>
          <w:rFonts w:ascii="Calibri" w:hAnsi="Calibri"/>
          <w:noProof/>
          <w:sz w:val="20"/>
          <w:szCs w:val="20"/>
        </w:rPr>
        <w:tab/>
        <w:t>(83)</w:t>
      </w:r>
      <w:r w:rsidRPr="00610E48">
        <w:rPr>
          <w:rFonts w:ascii="Calibri" w:hAnsi="Calibri"/>
          <w:noProof/>
          <w:sz w:val="20"/>
          <w:szCs w:val="20"/>
        </w:rPr>
        <w:tab/>
        <w:t xml:space="preserve">Robinson, C. R.; Sligar, S. G.: Molecular Recognition Mediated by Bound Water: A Mechanism for Star Activity of the Restriction Endonuclease EcoRI.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1993</w:t>
      </w:r>
      <w:r w:rsidRPr="00610E48">
        <w:rPr>
          <w:rFonts w:ascii="Calibri" w:hAnsi="Calibri"/>
          <w:noProof/>
          <w:sz w:val="20"/>
          <w:szCs w:val="20"/>
        </w:rPr>
        <w:t xml:space="preserve">, </w:t>
      </w:r>
      <w:r w:rsidRPr="00610E48">
        <w:rPr>
          <w:rFonts w:ascii="Calibri" w:hAnsi="Calibri"/>
          <w:i/>
          <w:noProof/>
          <w:sz w:val="20"/>
          <w:szCs w:val="20"/>
        </w:rPr>
        <w:t>234</w:t>
      </w:r>
      <w:r w:rsidRPr="00610E48">
        <w:rPr>
          <w:rFonts w:ascii="Calibri" w:hAnsi="Calibri"/>
          <w:noProof/>
          <w:sz w:val="20"/>
          <w:szCs w:val="20"/>
        </w:rPr>
        <w:t>, 302-306.</w:t>
      </w:r>
      <w:bookmarkEnd w:id="318"/>
    </w:p>
    <w:p w:rsidR="00512D09" w:rsidRPr="00610E48" w:rsidRDefault="00512D09" w:rsidP="00512D09">
      <w:pPr>
        <w:spacing w:after="0" w:line="240" w:lineRule="auto"/>
        <w:rPr>
          <w:rFonts w:ascii="Calibri" w:hAnsi="Calibri"/>
          <w:noProof/>
          <w:sz w:val="20"/>
          <w:szCs w:val="20"/>
        </w:rPr>
      </w:pPr>
      <w:bookmarkStart w:id="319" w:name="_ENREF_84"/>
      <w:r w:rsidRPr="00610E48">
        <w:rPr>
          <w:rFonts w:ascii="Calibri" w:hAnsi="Calibri"/>
          <w:noProof/>
          <w:sz w:val="20"/>
          <w:szCs w:val="20"/>
        </w:rPr>
        <w:lastRenderedPageBreak/>
        <w:tab/>
        <w:t>(84)</w:t>
      </w:r>
      <w:r w:rsidRPr="00610E48">
        <w:rPr>
          <w:rFonts w:ascii="Calibri" w:hAnsi="Calibri"/>
          <w:noProof/>
          <w:sz w:val="20"/>
          <w:szCs w:val="20"/>
        </w:rPr>
        <w:tab/>
        <w:t xml:space="preserve">Sidorova, N. Y.; Rau, D. C.: The dissociation rate of the EcoRI–DNA-specific complex is linked to water activity. </w:t>
      </w:r>
      <w:r w:rsidRPr="00610E48">
        <w:rPr>
          <w:rFonts w:ascii="Calibri" w:hAnsi="Calibri"/>
          <w:i/>
          <w:noProof/>
          <w:sz w:val="20"/>
          <w:szCs w:val="20"/>
        </w:rPr>
        <w:t>Biopolymers,</w:t>
      </w:r>
      <w:r w:rsidRPr="00610E48">
        <w:rPr>
          <w:rFonts w:ascii="Calibri" w:hAnsi="Calibri"/>
          <w:noProof/>
          <w:sz w:val="20"/>
          <w:szCs w:val="20"/>
        </w:rPr>
        <w:t xml:space="preserve"> </w:t>
      </w:r>
      <w:r w:rsidRPr="00610E48">
        <w:rPr>
          <w:rFonts w:ascii="Calibri" w:hAnsi="Calibri"/>
          <w:b/>
          <w:noProof/>
          <w:sz w:val="20"/>
          <w:szCs w:val="20"/>
        </w:rPr>
        <w:t>2000</w:t>
      </w:r>
      <w:r w:rsidRPr="00610E48">
        <w:rPr>
          <w:rFonts w:ascii="Calibri" w:hAnsi="Calibri"/>
          <w:noProof/>
          <w:sz w:val="20"/>
          <w:szCs w:val="20"/>
        </w:rPr>
        <w:t xml:space="preserve">, </w:t>
      </w:r>
      <w:r w:rsidRPr="00610E48">
        <w:rPr>
          <w:rFonts w:ascii="Calibri" w:hAnsi="Calibri"/>
          <w:i/>
          <w:noProof/>
          <w:sz w:val="20"/>
          <w:szCs w:val="20"/>
        </w:rPr>
        <w:t>53</w:t>
      </w:r>
      <w:r w:rsidRPr="00610E48">
        <w:rPr>
          <w:rFonts w:ascii="Calibri" w:hAnsi="Calibri"/>
          <w:noProof/>
          <w:sz w:val="20"/>
          <w:szCs w:val="20"/>
        </w:rPr>
        <w:t>, 363-368.</w:t>
      </w:r>
      <w:bookmarkEnd w:id="319"/>
    </w:p>
    <w:p w:rsidR="00512D09" w:rsidRPr="00610E48" w:rsidRDefault="00512D09" w:rsidP="00512D09">
      <w:pPr>
        <w:spacing w:after="0" w:line="240" w:lineRule="auto"/>
        <w:rPr>
          <w:rFonts w:ascii="Calibri" w:hAnsi="Calibri"/>
          <w:noProof/>
          <w:sz w:val="20"/>
          <w:szCs w:val="20"/>
        </w:rPr>
      </w:pPr>
      <w:bookmarkStart w:id="320" w:name="_ENREF_85"/>
      <w:r w:rsidRPr="00610E48">
        <w:rPr>
          <w:rFonts w:ascii="Calibri" w:hAnsi="Calibri"/>
          <w:noProof/>
          <w:sz w:val="20"/>
          <w:szCs w:val="20"/>
        </w:rPr>
        <w:tab/>
        <w:t>(85)</w:t>
      </w:r>
      <w:r w:rsidRPr="00610E48">
        <w:rPr>
          <w:rFonts w:ascii="Calibri" w:hAnsi="Calibri"/>
          <w:noProof/>
          <w:sz w:val="20"/>
          <w:szCs w:val="20"/>
        </w:rPr>
        <w:tab/>
        <w:t xml:space="preserve">Sidorova, N. Y.; Muradymov, S.; Rau, D. C.: Differences in Hydration Coupled to Specific and Nonspecific Competitive Binding and to Specific DNA Binding of the Restriction Endonuclease BamHI.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281</w:t>
      </w:r>
      <w:r w:rsidRPr="00610E48">
        <w:rPr>
          <w:rFonts w:ascii="Calibri" w:hAnsi="Calibri"/>
          <w:noProof/>
          <w:sz w:val="20"/>
          <w:szCs w:val="20"/>
        </w:rPr>
        <w:t>, 35656-35666.</w:t>
      </w:r>
      <w:bookmarkEnd w:id="320"/>
    </w:p>
    <w:p w:rsidR="00512D09" w:rsidRPr="00610E48" w:rsidRDefault="00512D09" w:rsidP="00512D09">
      <w:pPr>
        <w:spacing w:after="0" w:line="240" w:lineRule="auto"/>
        <w:rPr>
          <w:rFonts w:ascii="Calibri" w:hAnsi="Calibri"/>
          <w:noProof/>
          <w:sz w:val="20"/>
          <w:szCs w:val="20"/>
        </w:rPr>
      </w:pPr>
      <w:bookmarkStart w:id="321" w:name="_ENREF_86"/>
      <w:r w:rsidRPr="00610E48">
        <w:rPr>
          <w:rFonts w:ascii="Calibri" w:hAnsi="Calibri"/>
          <w:noProof/>
          <w:sz w:val="20"/>
          <w:szCs w:val="20"/>
        </w:rPr>
        <w:tab/>
        <w:t>(86)</w:t>
      </w:r>
      <w:r w:rsidRPr="00610E48">
        <w:rPr>
          <w:rFonts w:ascii="Calibri" w:hAnsi="Calibri"/>
          <w:noProof/>
          <w:sz w:val="20"/>
          <w:szCs w:val="20"/>
        </w:rPr>
        <w:tab/>
        <w:t xml:space="preserve">Kessler, A.; Zeeb, B.; Kranz, B.; Menendez-Aguirre, O.; Fischer, L.; Hinrichs, J.; Weiss, J.: Isothermal titration calorimetry as a tool to determine the thermodynamics of demicellization processes. </w:t>
      </w:r>
      <w:r w:rsidRPr="00610E48">
        <w:rPr>
          <w:rFonts w:ascii="Calibri" w:hAnsi="Calibri"/>
          <w:i/>
          <w:noProof/>
          <w:sz w:val="20"/>
          <w:szCs w:val="20"/>
        </w:rPr>
        <w:t>The Review of scientific instruments,</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83</w:t>
      </w:r>
      <w:r w:rsidRPr="00610E48">
        <w:rPr>
          <w:rFonts w:ascii="Calibri" w:hAnsi="Calibri"/>
          <w:noProof/>
          <w:sz w:val="20"/>
          <w:szCs w:val="20"/>
        </w:rPr>
        <w:t>, 105104.</w:t>
      </w:r>
      <w:bookmarkEnd w:id="321"/>
    </w:p>
    <w:p w:rsidR="00512D09" w:rsidRPr="00610E48" w:rsidRDefault="00512D09" w:rsidP="00512D09">
      <w:pPr>
        <w:spacing w:after="0" w:line="240" w:lineRule="auto"/>
        <w:rPr>
          <w:rFonts w:ascii="Calibri" w:hAnsi="Calibri"/>
          <w:noProof/>
          <w:sz w:val="20"/>
          <w:szCs w:val="20"/>
        </w:rPr>
      </w:pPr>
      <w:bookmarkStart w:id="322" w:name="_ENREF_87"/>
      <w:r w:rsidRPr="00610E48">
        <w:rPr>
          <w:rFonts w:ascii="Calibri" w:hAnsi="Calibri"/>
          <w:noProof/>
          <w:sz w:val="20"/>
          <w:szCs w:val="20"/>
        </w:rPr>
        <w:tab/>
        <w:t>(87)</w:t>
      </w:r>
      <w:r w:rsidRPr="00610E48">
        <w:rPr>
          <w:rFonts w:ascii="Calibri" w:hAnsi="Calibri"/>
          <w:noProof/>
          <w:sz w:val="20"/>
          <w:szCs w:val="20"/>
        </w:rPr>
        <w:tab/>
        <w:t xml:space="preserve">Marsh, D.: Thermodynamics of Phospholipid Self-Assembly. </w:t>
      </w:r>
      <w:r w:rsidRPr="00610E48">
        <w:rPr>
          <w:rFonts w:ascii="Calibri" w:hAnsi="Calibri"/>
          <w:i/>
          <w:noProof/>
          <w:sz w:val="20"/>
          <w:szCs w:val="20"/>
        </w:rPr>
        <w:t>Biophysical Journal,</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102</w:t>
      </w:r>
      <w:r w:rsidRPr="00610E48">
        <w:rPr>
          <w:rFonts w:ascii="Calibri" w:hAnsi="Calibri"/>
          <w:noProof/>
          <w:sz w:val="20"/>
          <w:szCs w:val="20"/>
        </w:rPr>
        <w:t>, 1079-1087.</w:t>
      </w:r>
      <w:bookmarkEnd w:id="322"/>
    </w:p>
    <w:p w:rsidR="00512D09" w:rsidRPr="00610E48" w:rsidRDefault="00512D09" w:rsidP="00512D09">
      <w:pPr>
        <w:spacing w:after="0" w:line="240" w:lineRule="auto"/>
        <w:rPr>
          <w:rFonts w:ascii="Calibri" w:hAnsi="Calibri"/>
          <w:noProof/>
          <w:sz w:val="20"/>
          <w:szCs w:val="20"/>
        </w:rPr>
      </w:pPr>
      <w:bookmarkStart w:id="323" w:name="_ENREF_88"/>
      <w:r w:rsidRPr="00610E48">
        <w:rPr>
          <w:rFonts w:ascii="Calibri" w:hAnsi="Calibri"/>
          <w:noProof/>
          <w:sz w:val="20"/>
          <w:szCs w:val="20"/>
        </w:rPr>
        <w:tab/>
        <w:t>(88)</w:t>
      </w:r>
      <w:r w:rsidRPr="00610E48">
        <w:rPr>
          <w:rFonts w:ascii="Calibri" w:hAnsi="Calibri"/>
          <w:noProof/>
          <w:sz w:val="20"/>
          <w:szCs w:val="20"/>
        </w:rPr>
        <w:tab/>
        <w:t xml:space="preserve">Sturtevant, J. M.: Heat capacity and entropy changes in processes involving proteins.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1977</w:t>
      </w:r>
      <w:r w:rsidRPr="00610E48">
        <w:rPr>
          <w:rFonts w:ascii="Calibri" w:hAnsi="Calibri"/>
          <w:noProof/>
          <w:sz w:val="20"/>
          <w:szCs w:val="20"/>
        </w:rPr>
        <w:t xml:space="preserve">, </w:t>
      </w:r>
      <w:r w:rsidRPr="00610E48">
        <w:rPr>
          <w:rFonts w:ascii="Calibri" w:hAnsi="Calibri"/>
          <w:i/>
          <w:noProof/>
          <w:sz w:val="20"/>
          <w:szCs w:val="20"/>
        </w:rPr>
        <w:t>74</w:t>
      </w:r>
      <w:r w:rsidRPr="00610E48">
        <w:rPr>
          <w:rFonts w:ascii="Calibri" w:hAnsi="Calibri"/>
          <w:noProof/>
          <w:sz w:val="20"/>
          <w:szCs w:val="20"/>
        </w:rPr>
        <w:t>, 2236-2240.</w:t>
      </w:r>
      <w:bookmarkEnd w:id="323"/>
    </w:p>
    <w:p w:rsidR="00512D09" w:rsidRPr="00610E48" w:rsidRDefault="00512D09" w:rsidP="00512D09">
      <w:pPr>
        <w:spacing w:after="0" w:line="240" w:lineRule="auto"/>
        <w:rPr>
          <w:rFonts w:ascii="Calibri" w:hAnsi="Calibri"/>
          <w:noProof/>
          <w:sz w:val="20"/>
          <w:szCs w:val="20"/>
        </w:rPr>
      </w:pPr>
      <w:bookmarkStart w:id="324" w:name="_ENREF_89"/>
      <w:r w:rsidRPr="00610E48">
        <w:rPr>
          <w:rFonts w:ascii="Calibri" w:hAnsi="Calibri"/>
          <w:noProof/>
          <w:sz w:val="20"/>
          <w:szCs w:val="20"/>
        </w:rPr>
        <w:tab/>
        <w:t>(89)</w:t>
      </w:r>
      <w:r w:rsidRPr="00610E48">
        <w:rPr>
          <w:rFonts w:ascii="Calibri" w:hAnsi="Calibri"/>
          <w:noProof/>
          <w:sz w:val="20"/>
          <w:szCs w:val="20"/>
        </w:rPr>
        <w:tab/>
        <w:t xml:space="preserve">Connelly, P. R.; Thomson, J. A.: Heat capacity changes and hydrophobic interactions in the binding of FK506 and rapamycin to the FK506 binding protein.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1992</w:t>
      </w:r>
      <w:r w:rsidRPr="00610E48">
        <w:rPr>
          <w:rFonts w:ascii="Calibri" w:hAnsi="Calibri"/>
          <w:noProof/>
          <w:sz w:val="20"/>
          <w:szCs w:val="20"/>
        </w:rPr>
        <w:t xml:space="preserve">, </w:t>
      </w:r>
      <w:r w:rsidRPr="00610E48">
        <w:rPr>
          <w:rFonts w:ascii="Calibri" w:hAnsi="Calibri"/>
          <w:i/>
          <w:noProof/>
          <w:sz w:val="20"/>
          <w:szCs w:val="20"/>
        </w:rPr>
        <w:t>89</w:t>
      </w:r>
      <w:r w:rsidRPr="00610E48">
        <w:rPr>
          <w:rFonts w:ascii="Calibri" w:hAnsi="Calibri"/>
          <w:noProof/>
          <w:sz w:val="20"/>
          <w:szCs w:val="20"/>
        </w:rPr>
        <w:t>, 4781-4785.</w:t>
      </w:r>
      <w:bookmarkEnd w:id="324"/>
    </w:p>
    <w:p w:rsidR="00512D09" w:rsidRPr="00610E48" w:rsidRDefault="00512D09" w:rsidP="00512D09">
      <w:pPr>
        <w:spacing w:after="0" w:line="240" w:lineRule="auto"/>
        <w:rPr>
          <w:rFonts w:ascii="Calibri" w:hAnsi="Calibri"/>
          <w:noProof/>
          <w:sz w:val="20"/>
          <w:szCs w:val="20"/>
        </w:rPr>
      </w:pPr>
      <w:bookmarkStart w:id="325" w:name="_ENREF_90"/>
      <w:r w:rsidRPr="00610E48">
        <w:rPr>
          <w:rFonts w:ascii="Calibri" w:hAnsi="Calibri"/>
          <w:noProof/>
          <w:sz w:val="20"/>
          <w:szCs w:val="20"/>
        </w:rPr>
        <w:tab/>
        <w:t>(90)</w:t>
      </w:r>
      <w:r w:rsidRPr="00610E48">
        <w:rPr>
          <w:rFonts w:ascii="Calibri" w:hAnsi="Calibri"/>
          <w:noProof/>
          <w:sz w:val="20"/>
          <w:szCs w:val="20"/>
        </w:rPr>
        <w:tab/>
        <w:t xml:space="preserve">Sharp, K.: Entropy—enthalpy compensation: Fact or artifact? </w:t>
      </w:r>
      <w:r w:rsidRPr="00610E48">
        <w:rPr>
          <w:rFonts w:ascii="Calibri" w:hAnsi="Calibri"/>
          <w:i/>
          <w:noProof/>
          <w:sz w:val="20"/>
          <w:szCs w:val="20"/>
        </w:rPr>
        <w:t>Protein Science,</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10</w:t>
      </w:r>
      <w:r w:rsidRPr="00610E48">
        <w:rPr>
          <w:rFonts w:ascii="Calibri" w:hAnsi="Calibri"/>
          <w:noProof/>
          <w:sz w:val="20"/>
          <w:szCs w:val="20"/>
        </w:rPr>
        <w:t>, 661-667.</w:t>
      </w:r>
      <w:bookmarkEnd w:id="325"/>
    </w:p>
    <w:p w:rsidR="00512D09" w:rsidRPr="00610E48" w:rsidRDefault="00512D09" w:rsidP="00512D09">
      <w:pPr>
        <w:spacing w:after="0" w:line="240" w:lineRule="auto"/>
        <w:rPr>
          <w:rFonts w:ascii="Calibri" w:hAnsi="Calibri"/>
          <w:noProof/>
          <w:sz w:val="20"/>
          <w:szCs w:val="20"/>
        </w:rPr>
      </w:pPr>
      <w:bookmarkStart w:id="326" w:name="_ENREF_91"/>
      <w:r w:rsidRPr="00610E48">
        <w:rPr>
          <w:rFonts w:ascii="Calibri" w:hAnsi="Calibri"/>
          <w:noProof/>
          <w:sz w:val="20"/>
          <w:szCs w:val="20"/>
        </w:rPr>
        <w:tab/>
        <w:t>(91)</w:t>
      </w:r>
      <w:r w:rsidRPr="00610E48">
        <w:rPr>
          <w:rFonts w:ascii="Calibri" w:hAnsi="Calibri"/>
          <w:noProof/>
          <w:sz w:val="20"/>
          <w:szCs w:val="20"/>
        </w:rPr>
        <w:tab/>
        <w:t xml:space="preserve">Leffler, J. E.: The Enthalpy-Entropy Relationship and Its Implications for Organic Chemistry. </w:t>
      </w:r>
      <w:r w:rsidRPr="00610E48">
        <w:rPr>
          <w:rFonts w:ascii="Calibri" w:hAnsi="Calibri"/>
          <w:i/>
          <w:noProof/>
          <w:sz w:val="20"/>
          <w:szCs w:val="20"/>
        </w:rPr>
        <w:t>Journal of Organic Chemistry,</w:t>
      </w:r>
      <w:r w:rsidRPr="00610E48">
        <w:rPr>
          <w:rFonts w:ascii="Calibri" w:hAnsi="Calibri"/>
          <w:noProof/>
          <w:sz w:val="20"/>
          <w:szCs w:val="20"/>
        </w:rPr>
        <w:t xml:space="preserve"> </w:t>
      </w:r>
      <w:r w:rsidRPr="00610E48">
        <w:rPr>
          <w:rFonts w:ascii="Calibri" w:hAnsi="Calibri"/>
          <w:b/>
          <w:noProof/>
          <w:sz w:val="20"/>
          <w:szCs w:val="20"/>
        </w:rPr>
        <w:t>1955</w:t>
      </w:r>
      <w:r w:rsidRPr="00610E48">
        <w:rPr>
          <w:rFonts w:ascii="Calibri" w:hAnsi="Calibri"/>
          <w:noProof/>
          <w:sz w:val="20"/>
          <w:szCs w:val="20"/>
        </w:rPr>
        <w:t xml:space="preserve">, </w:t>
      </w:r>
      <w:r w:rsidRPr="00610E48">
        <w:rPr>
          <w:rFonts w:ascii="Calibri" w:hAnsi="Calibri"/>
          <w:i/>
          <w:noProof/>
          <w:sz w:val="20"/>
          <w:szCs w:val="20"/>
        </w:rPr>
        <w:t>20</w:t>
      </w:r>
      <w:r w:rsidRPr="00610E48">
        <w:rPr>
          <w:rFonts w:ascii="Calibri" w:hAnsi="Calibri"/>
          <w:noProof/>
          <w:sz w:val="20"/>
          <w:szCs w:val="20"/>
        </w:rPr>
        <w:t>, 1202-1231.</w:t>
      </w:r>
      <w:bookmarkEnd w:id="326"/>
    </w:p>
    <w:p w:rsidR="00512D09" w:rsidRPr="00610E48" w:rsidRDefault="00512D09" w:rsidP="00512D09">
      <w:pPr>
        <w:spacing w:after="0" w:line="240" w:lineRule="auto"/>
        <w:rPr>
          <w:rFonts w:ascii="Calibri" w:hAnsi="Calibri"/>
          <w:noProof/>
          <w:sz w:val="20"/>
          <w:szCs w:val="20"/>
        </w:rPr>
      </w:pPr>
      <w:bookmarkStart w:id="327" w:name="_ENREF_92"/>
      <w:r w:rsidRPr="00610E48">
        <w:rPr>
          <w:rFonts w:ascii="Calibri" w:hAnsi="Calibri"/>
          <w:noProof/>
          <w:sz w:val="20"/>
          <w:szCs w:val="20"/>
        </w:rPr>
        <w:tab/>
        <w:t>(92)</w:t>
      </w:r>
      <w:r w:rsidRPr="00610E48">
        <w:rPr>
          <w:rFonts w:ascii="Calibri" w:hAnsi="Calibri"/>
          <w:noProof/>
          <w:sz w:val="20"/>
          <w:szCs w:val="20"/>
        </w:rPr>
        <w:tab/>
        <w:t xml:space="preserve">Kim, H.; Lee, H.; Lee, G.; Kim, H.; Cho, M.: Hofmeister anionic effects on hydration electric fields around water and peptide. </w:t>
      </w:r>
      <w:r w:rsidRPr="00610E48">
        <w:rPr>
          <w:rFonts w:ascii="Calibri" w:hAnsi="Calibri"/>
          <w:i/>
          <w:noProof/>
          <w:sz w:val="20"/>
          <w:szCs w:val="20"/>
        </w:rPr>
        <w:t>The Journal of Chemical Physics,</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136</w:t>
      </w:r>
      <w:r w:rsidRPr="00610E48">
        <w:rPr>
          <w:rFonts w:ascii="Calibri" w:hAnsi="Calibri"/>
          <w:noProof/>
          <w:sz w:val="20"/>
          <w:szCs w:val="20"/>
        </w:rPr>
        <w:t>, -.</w:t>
      </w:r>
      <w:bookmarkEnd w:id="327"/>
    </w:p>
    <w:p w:rsidR="00512D09" w:rsidRPr="00610E48" w:rsidRDefault="00512D09" w:rsidP="00512D09">
      <w:pPr>
        <w:spacing w:after="0" w:line="240" w:lineRule="auto"/>
        <w:rPr>
          <w:rFonts w:ascii="Calibri" w:hAnsi="Calibri"/>
          <w:noProof/>
          <w:sz w:val="20"/>
          <w:szCs w:val="20"/>
        </w:rPr>
      </w:pPr>
      <w:bookmarkStart w:id="328" w:name="_ENREF_93"/>
      <w:r w:rsidRPr="00610E48">
        <w:rPr>
          <w:rFonts w:ascii="Calibri" w:hAnsi="Calibri"/>
          <w:noProof/>
          <w:sz w:val="20"/>
          <w:szCs w:val="20"/>
        </w:rPr>
        <w:tab/>
        <w:t>(93)</w:t>
      </w:r>
      <w:r w:rsidRPr="00610E48">
        <w:rPr>
          <w:rFonts w:ascii="Calibri" w:hAnsi="Calibri"/>
          <w:noProof/>
          <w:sz w:val="20"/>
          <w:szCs w:val="20"/>
        </w:rPr>
        <w:tab/>
        <w:t xml:space="preserve">Petersen, P. B.; Saykally, R. J.: On the nature of ions at the liquid water surface. In </w:t>
      </w:r>
      <w:r w:rsidRPr="00610E48">
        <w:rPr>
          <w:rFonts w:ascii="Calibri" w:hAnsi="Calibri"/>
          <w:i/>
          <w:noProof/>
          <w:sz w:val="20"/>
          <w:szCs w:val="20"/>
        </w:rPr>
        <w:t>Annual Review of Physical Chemistry</w:t>
      </w:r>
      <w:r w:rsidRPr="00610E48">
        <w:rPr>
          <w:rFonts w:ascii="Calibri" w:hAnsi="Calibri"/>
          <w:noProof/>
          <w:sz w:val="20"/>
          <w:szCs w:val="20"/>
        </w:rPr>
        <w:t>, 2006; Vol. 57; pp 333-364.</w:t>
      </w:r>
      <w:bookmarkEnd w:id="328"/>
    </w:p>
    <w:p w:rsidR="00512D09" w:rsidRPr="00610E48" w:rsidRDefault="00512D09" w:rsidP="00512D09">
      <w:pPr>
        <w:spacing w:after="0" w:line="240" w:lineRule="auto"/>
        <w:rPr>
          <w:rFonts w:ascii="Calibri" w:hAnsi="Calibri"/>
          <w:noProof/>
          <w:sz w:val="20"/>
          <w:szCs w:val="20"/>
        </w:rPr>
      </w:pPr>
      <w:bookmarkStart w:id="329" w:name="_ENREF_94"/>
      <w:r w:rsidRPr="00610E48">
        <w:rPr>
          <w:rFonts w:ascii="Calibri" w:hAnsi="Calibri"/>
          <w:noProof/>
          <w:sz w:val="20"/>
          <w:szCs w:val="20"/>
        </w:rPr>
        <w:tab/>
        <w:t>(94)</w:t>
      </w:r>
      <w:r w:rsidRPr="00610E48">
        <w:rPr>
          <w:rFonts w:ascii="Calibri" w:hAnsi="Calibri"/>
          <w:noProof/>
          <w:sz w:val="20"/>
          <w:szCs w:val="20"/>
        </w:rPr>
        <w:tab/>
        <w:t xml:space="preserve">Weissenborn, P. K.; Pugh, R. J.: Surface Tension of Aqueous Solutions of Electrolytes: Relationship with Ion Hydration, Oxygen Solubility, and Bubble Coalescence. </w:t>
      </w:r>
      <w:r w:rsidRPr="00610E48">
        <w:rPr>
          <w:rFonts w:ascii="Calibri" w:hAnsi="Calibri"/>
          <w:i/>
          <w:noProof/>
          <w:sz w:val="20"/>
          <w:szCs w:val="20"/>
        </w:rPr>
        <w:t>Journal of Colloid and Interface Science,</w:t>
      </w:r>
      <w:r w:rsidRPr="00610E48">
        <w:rPr>
          <w:rFonts w:ascii="Calibri" w:hAnsi="Calibri"/>
          <w:noProof/>
          <w:sz w:val="20"/>
          <w:szCs w:val="20"/>
        </w:rPr>
        <w:t xml:space="preserve"> </w:t>
      </w:r>
      <w:r w:rsidRPr="00610E48">
        <w:rPr>
          <w:rFonts w:ascii="Calibri" w:hAnsi="Calibri"/>
          <w:b/>
          <w:noProof/>
          <w:sz w:val="20"/>
          <w:szCs w:val="20"/>
        </w:rPr>
        <w:t>1996</w:t>
      </w:r>
      <w:r w:rsidRPr="00610E48">
        <w:rPr>
          <w:rFonts w:ascii="Calibri" w:hAnsi="Calibri"/>
          <w:noProof/>
          <w:sz w:val="20"/>
          <w:szCs w:val="20"/>
        </w:rPr>
        <w:t xml:space="preserve">, </w:t>
      </w:r>
      <w:r w:rsidRPr="00610E48">
        <w:rPr>
          <w:rFonts w:ascii="Calibri" w:hAnsi="Calibri"/>
          <w:i/>
          <w:noProof/>
          <w:sz w:val="20"/>
          <w:szCs w:val="20"/>
        </w:rPr>
        <w:t>184</w:t>
      </w:r>
      <w:r w:rsidRPr="00610E48">
        <w:rPr>
          <w:rFonts w:ascii="Calibri" w:hAnsi="Calibri"/>
          <w:noProof/>
          <w:sz w:val="20"/>
          <w:szCs w:val="20"/>
        </w:rPr>
        <w:t>, 550-563.</w:t>
      </w:r>
      <w:bookmarkEnd w:id="329"/>
    </w:p>
    <w:p w:rsidR="00512D09" w:rsidRPr="00610E48" w:rsidRDefault="00512D09" w:rsidP="00512D09">
      <w:pPr>
        <w:spacing w:after="0" w:line="240" w:lineRule="auto"/>
        <w:rPr>
          <w:rFonts w:ascii="Calibri" w:hAnsi="Calibri"/>
          <w:noProof/>
          <w:sz w:val="20"/>
          <w:szCs w:val="20"/>
        </w:rPr>
      </w:pPr>
      <w:bookmarkStart w:id="330" w:name="_ENREF_95"/>
      <w:r w:rsidRPr="00610E48">
        <w:rPr>
          <w:rFonts w:ascii="Calibri" w:hAnsi="Calibri"/>
          <w:noProof/>
          <w:sz w:val="20"/>
          <w:szCs w:val="20"/>
        </w:rPr>
        <w:tab/>
        <w:t>(95)</w:t>
      </w:r>
      <w:r w:rsidRPr="00610E48">
        <w:rPr>
          <w:rFonts w:ascii="Calibri" w:hAnsi="Calibri"/>
          <w:noProof/>
          <w:sz w:val="20"/>
          <w:szCs w:val="20"/>
        </w:rPr>
        <w:tab/>
        <w:t xml:space="preserve">Onsager, L.; Samaras, N. N. T.: The Surface Tension of Debye‐Hückel Electrolytes. </w:t>
      </w:r>
      <w:r w:rsidRPr="00610E48">
        <w:rPr>
          <w:rFonts w:ascii="Calibri" w:hAnsi="Calibri"/>
          <w:i/>
          <w:noProof/>
          <w:sz w:val="20"/>
          <w:szCs w:val="20"/>
        </w:rPr>
        <w:t>The Journal of Chemical Physics,</w:t>
      </w:r>
      <w:r w:rsidRPr="00610E48">
        <w:rPr>
          <w:rFonts w:ascii="Calibri" w:hAnsi="Calibri"/>
          <w:noProof/>
          <w:sz w:val="20"/>
          <w:szCs w:val="20"/>
        </w:rPr>
        <w:t xml:space="preserve"> </w:t>
      </w:r>
      <w:r w:rsidRPr="00610E48">
        <w:rPr>
          <w:rFonts w:ascii="Calibri" w:hAnsi="Calibri"/>
          <w:b/>
          <w:noProof/>
          <w:sz w:val="20"/>
          <w:szCs w:val="20"/>
        </w:rPr>
        <w:t>1934</w:t>
      </w:r>
      <w:r w:rsidRPr="00610E48">
        <w:rPr>
          <w:rFonts w:ascii="Calibri" w:hAnsi="Calibri"/>
          <w:noProof/>
          <w:sz w:val="20"/>
          <w:szCs w:val="20"/>
        </w:rPr>
        <w:t xml:space="preserve">, </w:t>
      </w:r>
      <w:r w:rsidRPr="00610E48">
        <w:rPr>
          <w:rFonts w:ascii="Calibri" w:hAnsi="Calibri"/>
          <w:i/>
          <w:noProof/>
          <w:sz w:val="20"/>
          <w:szCs w:val="20"/>
        </w:rPr>
        <w:t>2</w:t>
      </w:r>
      <w:r w:rsidRPr="00610E48">
        <w:rPr>
          <w:rFonts w:ascii="Calibri" w:hAnsi="Calibri"/>
          <w:noProof/>
          <w:sz w:val="20"/>
          <w:szCs w:val="20"/>
        </w:rPr>
        <w:t>, 528-536.</w:t>
      </w:r>
      <w:bookmarkEnd w:id="330"/>
    </w:p>
    <w:p w:rsidR="00512D09" w:rsidRPr="00610E48" w:rsidRDefault="00512D09" w:rsidP="00512D09">
      <w:pPr>
        <w:spacing w:after="0" w:line="240" w:lineRule="auto"/>
        <w:rPr>
          <w:rFonts w:ascii="Calibri" w:hAnsi="Calibri"/>
          <w:noProof/>
          <w:sz w:val="20"/>
          <w:szCs w:val="20"/>
        </w:rPr>
      </w:pPr>
      <w:bookmarkStart w:id="331" w:name="_ENREF_96"/>
      <w:r w:rsidRPr="00610E48">
        <w:rPr>
          <w:rFonts w:ascii="Calibri" w:hAnsi="Calibri"/>
          <w:noProof/>
          <w:sz w:val="20"/>
          <w:szCs w:val="20"/>
        </w:rPr>
        <w:tab/>
        <w:t>(96)</w:t>
      </w:r>
      <w:r w:rsidRPr="00610E48">
        <w:rPr>
          <w:rFonts w:ascii="Calibri" w:hAnsi="Calibri"/>
          <w:noProof/>
          <w:sz w:val="20"/>
          <w:szCs w:val="20"/>
        </w:rPr>
        <w:tab/>
        <w:t xml:space="preserve">dos Santos, A. P.; Levin, Y.: Ions at the Water–oil Interface: Interfacial Tension of Electrolyte Solutions. </w:t>
      </w:r>
      <w:r w:rsidRPr="00610E48">
        <w:rPr>
          <w:rFonts w:ascii="Calibri" w:hAnsi="Calibri"/>
          <w:i/>
          <w:noProof/>
          <w:sz w:val="20"/>
          <w:szCs w:val="20"/>
        </w:rPr>
        <w:t>Langmuir,</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28</w:t>
      </w:r>
      <w:r w:rsidRPr="00610E48">
        <w:rPr>
          <w:rFonts w:ascii="Calibri" w:hAnsi="Calibri"/>
          <w:noProof/>
          <w:sz w:val="20"/>
          <w:szCs w:val="20"/>
        </w:rPr>
        <w:t>, 1304-1308.</w:t>
      </w:r>
      <w:bookmarkEnd w:id="331"/>
    </w:p>
    <w:p w:rsidR="00512D09" w:rsidRPr="00610E48" w:rsidRDefault="00512D09" w:rsidP="00512D09">
      <w:pPr>
        <w:spacing w:after="0" w:line="240" w:lineRule="auto"/>
        <w:rPr>
          <w:rFonts w:ascii="Calibri" w:hAnsi="Calibri"/>
          <w:noProof/>
          <w:sz w:val="20"/>
          <w:szCs w:val="20"/>
        </w:rPr>
      </w:pPr>
      <w:bookmarkStart w:id="332" w:name="_ENREF_97"/>
      <w:r w:rsidRPr="00610E48">
        <w:rPr>
          <w:rFonts w:ascii="Calibri" w:hAnsi="Calibri"/>
          <w:noProof/>
          <w:sz w:val="20"/>
          <w:szCs w:val="20"/>
        </w:rPr>
        <w:tab/>
        <w:t>(97)</w:t>
      </w:r>
      <w:r w:rsidRPr="00610E48">
        <w:rPr>
          <w:rFonts w:ascii="Calibri" w:hAnsi="Calibri"/>
          <w:noProof/>
          <w:sz w:val="20"/>
          <w:szCs w:val="20"/>
        </w:rPr>
        <w:tab/>
        <w:t xml:space="preserve">Pegram, L. M.; Record, M. T.: Hofmeister Salt Effects on Surface Tension Arise from Partitioning of Anions and Cations between Bulk Water and the Air−Water Interface.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111</w:t>
      </w:r>
      <w:r w:rsidRPr="00610E48">
        <w:rPr>
          <w:rFonts w:ascii="Calibri" w:hAnsi="Calibri"/>
          <w:noProof/>
          <w:sz w:val="20"/>
          <w:szCs w:val="20"/>
        </w:rPr>
        <w:t>, 5411-5417.</w:t>
      </w:r>
      <w:bookmarkEnd w:id="332"/>
    </w:p>
    <w:p w:rsidR="00512D09" w:rsidRPr="00610E48" w:rsidRDefault="00512D09" w:rsidP="00512D09">
      <w:pPr>
        <w:spacing w:after="0" w:line="240" w:lineRule="auto"/>
        <w:rPr>
          <w:rFonts w:ascii="Calibri" w:hAnsi="Calibri"/>
          <w:noProof/>
          <w:sz w:val="20"/>
          <w:szCs w:val="20"/>
        </w:rPr>
      </w:pPr>
      <w:bookmarkStart w:id="333" w:name="_ENREF_98"/>
      <w:r w:rsidRPr="00610E48">
        <w:rPr>
          <w:rFonts w:ascii="Calibri" w:hAnsi="Calibri"/>
          <w:noProof/>
          <w:sz w:val="20"/>
          <w:szCs w:val="20"/>
        </w:rPr>
        <w:tab/>
        <w:t>(98)</w:t>
      </w:r>
      <w:r w:rsidRPr="00610E48">
        <w:rPr>
          <w:rFonts w:ascii="Calibri" w:hAnsi="Calibri"/>
          <w:noProof/>
          <w:sz w:val="20"/>
          <w:szCs w:val="20"/>
        </w:rPr>
        <w:tab/>
        <w:t xml:space="preserve">Slavchov, R. I.; Novev, J. K.: Surface tension of concentrated electrolyte solutions. </w:t>
      </w:r>
      <w:r w:rsidRPr="00610E48">
        <w:rPr>
          <w:rFonts w:ascii="Calibri" w:hAnsi="Calibri"/>
          <w:i/>
          <w:noProof/>
          <w:sz w:val="20"/>
          <w:szCs w:val="20"/>
        </w:rPr>
        <w:t>Journal of Colloid and Interface Science,</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387</w:t>
      </w:r>
      <w:r w:rsidRPr="00610E48">
        <w:rPr>
          <w:rFonts w:ascii="Calibri" w:hAnsi="Calibri"/>
          <w:noProof/>
          <w:sz w:val="20"/>
          <w:szCs w:val="20"/>
        </w:rPr>
        <w:t>, 234-243.</w:t>
      </w:r>
      <w:bookmarkEnd w:id="333"/>
    </w:p>
    <w:p w:rsidR="00512D09" w:rsidRPr="00610E48" w:rsidRDefault="00512D09" w:rsidP="00512D09">
      <w:pPr>
        <w:spacing w:after="0" w:line="240" w:lineRule="auto"/>
        <w:rPr>
          <w:rFonts w:ascii="Calibri" w:hAnsi="Calibri"/>
          <w:noProof/>
          <w:sz w:val="20"/>
          <w:szCs w:val="20"/>
        </w:rPr>
      </w:pPr>
      <w:bookmarkStart w:id="334" w:name="_ENREF_99"/>
      <w:r w:rsidRPr="00610E48">
        <w:rPr>
          <w:rFonts w:ascii="Calibri" w:hAnsi="Calibri"/>
          <w:noProof/>
          <w:sz w:val="20"/>
          <w:szCs w:val="20"/>
        </w:rPr>
        <w:tab/>
        <w:t>(99)</w:t>
      </w:r>
      <w:r w:rsidRPr="00610E48">
        <w:rPr>
          <w:rFonts w:ascii="Calibri" w:hAnsi="Calibri"/>
          <w:noProof/>
          <w:sz w:val="20"/>
          <w:szCs w:val="20"/>
        </w:rPr>
        <w:tab/>
        <w:t xml:space="preserve">Marcus, Y.: Individual Ionic Surface Tension Increments in Aqueous Solutions. </w:t>
      </w:r>
      <w:r w:rsidRPr="00610E48">
        <w:rPr>
          <w:rFonts w:ascii="Calibri" w:hAnsi="Calibri"/>
          <w:i/>
          <w:noProof/>
          <w:sz w:val="20"/>
          <w:szCs w:val="20"/>
        </w:rPr>
        <w:t>Langmuir,</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29</w:t>
      </w:r>
      <w:r w:rsidRPr="00610E48">
        <w:rPr>
          <w:rFonts w:ascii="Calibri" w:hAnsi="Calibri"/>
          <w:noProof/>
          <w:sz w:val="20"/>
          <w:szCs w:val="20"/>
        </w:rPr>
        <w:t>, 2881-2888.</w:t>
      </w:r>
      <w:bookmarkEnd w:id="334"/>
    </w:p>
    <w:p w:rsidR="00512D09" w:rsidRPr="00610E48" w:rsidRDefault="00512D09" w:rsidP="00512D09">
      <w:pPr>
        <w:spacing w:after="0" w:line="240" w:lineRule="auto"/>
        <w:rPr>
          <w:rFonts w:ascii="Calibri" w:hAnsi="Calibri"/>
          <w:noProof/>
          <w:sz w:val="20"/>
          <w:szCs w:val="20"/>
        </w:rPr>
      </w:pPr>
      <w:bookmarkStart w:id="335" w:name="_ENREF_100"/>
      <w:r w:rsidRPr="00610E48">
        <w:rPr>
          <w:rFonts w:ascii="Calibri" w:hAnsi="Calibri"/>
          <w:noProof/>
          <w:sz w:val="20"/>
          <w:szCs w:val="20"/>
        </w:rPr>
        <w:tab/>
        <w:t>(100)</w:t>
      </w:r>
      <w:r w:rsidRPr="00610E48">
        <w:rPr>
          <w:rFonts w:ascii="Calibri" w:hAnsi="Calibri"/>
          <w:noProof/>
          <w:sz w:val="20"/>
          <w:szCs w:val="20"/>
        </w:rPr>
        <w:tab/>
        <w:t xml:space="preserve">Petersen, P. B.; Johnson, J. C.; Knutsen, K. P.; Saykally, R. J.: Direct experimental validation of the Jones–Ray effect. </w:t>
      </w:r>
      <w:r w:rsidRPr="00610E48">
        <w:rPr>
          <w:rFonts w:ascii="Calibri" w:hAnsi="Calibri"/>
          <w:i/>
          <w:noProof/>
          <w:sz w:val="20"/>
          <w:szCs w:val="20"/>
        </w:rPr>
        <w:t>Chemical Physics Letters,</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397</w:t>
      </w:r>
      <w:r w:rsidRPr="00610E48">
        <w:rPr>
          <w:rFonts w:ascii="Calibri" w:hAnsi="Calibri"/>
          <w:noProof/>
          <w:sz w:val="20"/>
          <w:szCs w:val="20"/>
        </w:rPr>
        <w:t>, 46-50.</w:t>
      </w:r>
      <w:bookmarkEnd w:id="335"/>
    </w:p>
    <w:p w:rsidR="00512D09" w:rsidRPr="00610E48" w:rsidRDefault="00512D09" w:rsidP="00512D09">
      <w:pPr>
        <w:spacing w:after="0" w:line="240" w:lineRule="auto"/>
        <w:rPr>
          <w:rFonts w:ascii="Calibri" w:hAnsi="Calibri"/>
          <w:noProof/>
          <w:sz w:val="20"/>
          <w:szCs w:val="20"/>
        </w:rPr>
      </w:pPr>
      <w:bookmarkStart w:id="336" w:name="_ENREF_101"/>
      <w:r w:rsidRPr="00610E48">
        <w:rPr>
          <w:rFonts w:ascii="Calibri" w:hAnsi="Calibri"/>
          <w:noProof/>
          <w:sz w:val="20"/>
          <w:szCs w:val="20"/>
        </w:rPr>
        <w:tab/>
        <w:t>(101)</w:t>
      </w:r>
      <w:r w:rsidRPr="00610E48">
        <w:rPr>
          <w:rFonts w:ascii="Calibri" w:hAnsi="Calibri"/>
          <w:noProof/>
          <w:sz w:val="20"/>
          <w:szCs w:val="20"/>
        </w:rPr>
        <w:tab/>
        <w:t xml:space="preserve">Shah, A. U. A.; Ali, K.; Bilal, S.: Surface tension, surface excess concentration, enthalpy and entropy of surface formation of aqueous salt solutions. </w:t>
      </w:r>
      <w:r w:rsidRPr="00610E48">
        <w:rPr>
          <w:rFonts w:ascii="Calibri" w:hAnsi="Calibri"/>
          <w:i/>
          <w:noProof/>
          <w:sz w:val="20"/>
          <w:szCs w:val="20"/>
        </w:rPr>
        <w:t>Colloid Surface A,</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417</w:t>
      </w:r>
      <w:r w:rsidRPr="00610E48">
        <w:rPr>
          <w:rFonts w:ascii="Calibri" w:hAnsi="Calibri"/>
          <w:noProof/>
          <w:sz w:val="20"/>
          <w:szCs w:val="20"/>
        </w:rPr>
        <w:t>, 183-190.</w:t>
      </w:r>
      <w:bookmarkEnd w:id="336"/>
    </w:p>
    <w:p w:rsidR="00512D09" w:rsidRPr="00610E48" w:rsidRDefault="00512D09" w:rsidP="00512D09">
      <w:pPr>
        <w:spacing w:after="0" w:line="240" w:lineRule="auto"/>
        <w:rPr>
          <w:rFonts w:ascii="Calibri" w:hAnsi="Calibri"/>
          <w:noProof/>
          <w:sz w:val="20"/>
          <w:szCs w:val="20"/>
        </w:rPr>
      </w:pPr>
      <w:bookmarkStart w:id="337" w:name="_ENREF_102"/>
      <w:r w:rsidRPr="00610E48">
        <w:rPr>
          <w:rFonts w:ascii="Calibri" w:hAnsi="Calibri"/>
          <w:noProof/>
          <w:sz w:val="20"/>
          <w:szCs w:val="20"/>
        </w:rPr>
        <w:tab/>
        <w:t>(102)</w:t>
      </w:r>
      <w:r w:rsidRPr="00610E48">
        <w:rPr>
          <w:rFonts w:ascii="Calibri" w:hAnsi="Calibri"/>
          <w:noProof/>
          <w:sz w:val="20"/>
          <w:szCs w:val="20"/>
        </w:rPr>
        <w:tab/>
        <w:t xml:space="preserve">Jungwirth, P.; Tobias, D. J.: Molecular Structure of Salt Solutions:  A New View of the Interface with Implications for Heterogeneous Atmospheric Chemistry.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105</w:t>
      </w:r>
      <w:r w:rsidRPr="00610E48">
        <w:rPr>
          <w:rFonts w:ascii="Calibri" w:hAnsi="Calibri"/>
          <w:noProof/>
          <w:sz w:val="20"/>
          <w:szCs w:val="20"/>
        </w:rPr>
        <w:t>, 10468-10472.</w:t>
      </w:r>
      <w:bookmarkEnd w:id="337"/>
    </w:p>
    <w:p w:rsidR="00512D09" w:rsidRPr="00610E48" w:rsidRDefault="00512D09" w:rsidP="00512D09">
      <w:pPr>
        <w:spacing w:after="0" w:line="240" w:lineRule="auto"/>
        <w:rPr>
          <w:rFonts w:ascii="Calibri" w:hAnsi="Calibri"/>
          <w:noProof/>
          <w:sz w:val="20"/>
          <w:szCs w:val="20"/>
        </w:rPr>
      </w:pPr>
      <w:bookmarkStart w:id="338" w:name="_ENREF_103"/>
      <w:r w:rsidRPr="00610E48">
        <w:rPr>
          <w:rFonts w:ascii="Calibri" w:hAnsi="Calibri"/>
          <w:noProof/>
          <w:sz w:val="20"/>
          <w:szCs w:val="20"/>
        </w:rPr>
        <w:tab/>
        <w:t>(103)</w:t>
      </w:r>
      <w:r w:rsidRPr="00610E48">
        <w:rPr>
          <w:rFonts w:ascii="Calibri" w:hAnsi="Calibri"/>
          <w:noProof/>
          <w:sz w:val="20"/>
          <w:szCs w:val="20"/>
        </w:rPr>
        <w:tab/>
        <w:t xml:space="preserve">Allen, H. C.; Casillas-Ituarte, N. N.; Sierra-Hernandez, M. R.; Chen, X.; Tang, C. Y.: Shedding light on water structure at air-aqueous interfaces: ions, lipids, and hydration. </w:t>
      </w:r>
      <w:r w:rsidRPr="00610E48">
        <w:rPr>
          <w:rFonts w:ascii="Calibri" w:hAnsi="Calibri"/>
          <w:i/>
          <w:noProof/>
          <w:sz w:val="20"/>
          <w:szCs w:val="20"/>
        </w:rPr>
        <w:t>Physical Chemistry Chemical Physics,</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 xml:space="preserve">, </w:t>
      </w:r>
      <w:r w:rsidRPr="00610E48">
        <w:rPr>
          <w:rFonts w:ascii="Calibri" w:hAnsi="Calibri"/>
          <w:i/>
          <w:noProof/>
          <w:sz w:val="20"/>
          <w:szCs w:val="20"/>
        </w:rPr>
        <w:t>11</w:t>
      </w:r>
      <w:r w:rsidRPr="00610E48">
        <w:rPr>
          <w:rFonts w:ascii="Calibri" w:hAnsi="Calibri"/>
          <w:noProof/>
          <w:sz w:val="20"/>
          <w:szCs w:val="20"/>
        </w:rPr>
        <w:t>, 5538-5549.</w:t>
      </w:r>
      <w:bookmarkEnd w:id="338"/>
    </w:p>
    <w:p w:rsidR="00512D09" w:rsidRPr="00610E48" w:rsidRDefault="00512D09" w:rsidP="00512D09">
      <w:pPr>
        <w:spacing w:after="0" w:line="240" w:lineRule="auto"/>
        <w:rPr>
          <w:rFonts w:ascii="Calibri" w:hAnsi="Calibri"/>
          <w:noProof/>
          <w:sz w:val="20"/>
          <w:szCs w:val="20"/>
        </w:rPr>
      </w:pPr>
      <w:bookmarkStart w:id="339" w:name="_ENREF_104"/>
      <w:r w:rsidRPr="00610E48">
        <w:rPr>
          <w:rFonts w:ascii="Calibri" w:hAnsi="Calibri"/>
          <w:noProof/>
          <w:sz w:val="20"/>
          <w:szCs w:val="20"/>
        </w:rPr>
        <w:tab/>
        <w:t>(104)</w:t>
      </w:r>
      <w:r w:rsidRPr="00610E48">
        <w:rPr>
          <w:rFonts w:ascii="Calibri" w:hAnsi="Calibri"/>
          <w:noProof/>
          <w:sz w:val="20"/>
          <w:szCs w:val="20"/>
        </w:rPr>
        <w:tab/>
        <w:t xml:space="preserve">Jubb, A. M.; Hua, W.; Allen, H. C.: Organization of Water and Atmospherically Relevant Ions and Solutes: Vibrational Sum Frequency Spectroscopy at the Vapor/Liquid and Liquid/Solid Interfaces. </w:t>
      </w:r>
      <w:r w:rsidRPr="00610E48">
        <w:rPr>
          <w:rFonts w:ascii="Calibri" w:hAnsi="Calibri"/>
          <w:i/>
          <w:noProof/>
          <w:sz w:val="20"/>
          <w:szCs w:val="20"/>
        </w:rPr>
        <w:t>Accounts of Chemical Research,</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45</w:t>
      </w:r>
      <w:r w:rsidRPr="00610E48">
        <w:rPr>
          <w:rFonts w:ascii="Calibri" w:hAnsi="Calibri"/>
          <w:noProof/>
          <w:sz w:val="20"/>
          <w:szCs w:val="20"/>
        </w:rPr>
        <w:t>, 110-119.</w:t>
      </w:r>
      <w:bookmarkEnd w:id="339"/>
    </w:p>
    <w:p w:rsidR="00512D09" w:rsidRPr="00610E48" w:rsidRDefault="00512D09" w:rsidP="00512D09">
      <w:pPr>
        <w:spacing w:after="0" w:line="240" w:lineRule="auto"/>
        <w:rPr>
          <w:rFonts w:ascii="Calibri" w:hAnsi="Calibri"/>
          <w:noProof/>
          <w:sz w:val="20"/>
          <w:szCs w:val="20"/>
        </w:rPr>
      </w:pPr>
      <w:bookmarkStart w:id="340" w:name="_ENREF_105"/>
      <w:r w:rsidRPr="00610E48">
        <w:rPr>
          <w:rFonts w:ascii="Calibri" w:hAnsi="Calibri"/>
          <w:noProof/>
          <w:sz w:val="20"/>
          <w:szCs w:val="20"/>
        </w:rPr>
        <w:tab/>
        <w:t>(105)</w:t>
      </w:r>
      <w:r w:rsidRPr="00610E48">
        <w:rPr>
          <w:rFonts w:ascii="Calibri" w:hAnsi="Calibri"/>
          <w:noProof/>
          <w:sz w:val="20"/>
          <w:szCs w:val="20"/>
        </w:rPr>
        <w:tab/>
        <w:t xml:space="preserve">Mucha, M.; Frigato, T.; Levering, L. M.; Allen, H. C.; Tobias, D. J.; Dang, L. X.; Jungwirth, P.: Unified Molecular Picture of the Surfaces of Aqueous Acid, Base, and Salt Solutions.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109</w:t>
      </w:r>
      <w:r w:rsidRPr="00610E48">
        <w:rPr>
          <w:rFonts w:ascii="Calibri" w:hAnsi="Calibri"/>
          <w:noProof/>
          <w:sz w:val="20"/>
          <w:szCs w:val="20"/>
        </w:rPr>
        <w:t>, 7617-7623.</w:t>
      </w:r>
      <w:bookmarkEnd w:id="340"/>
    </w:p>
    <w:p w:rsidR="00512D09" w:rsidRPr="00610E48" w:rsidRDefault="00512D09" w:rsidP="00512D09">
      <w:pPr>
        <w:spacing w:after="0" w:line="240" w:lineRule="auto"/>
        <w:rPr>
          <w:rFonts w:ascii="Calibri" w:hAnsi="Calibri"/>
          <w:noProof/>
          <w:sz w:val="20"/>
          <w:szCs w:val="20"/>
        </w:rPr>
      </w:pPr>
      <w:bookmarkStart w:id="341" w:name="_ENREF_106"/>
      <w:r w:rsidRPr="00610E48">
        <w:rPr>
          <w:rFonts w:ascii="Calibri" w:hAnsi="Calibri"/>
          <w:noProof/>
          <w:sz w:val="20"/>
          <w:szCs w:val="20"/>
        </w:rPr>
        <w:tab/>
        <w:t>(106)</w:t>
      </w:r>
      <w:r w:rsidRPr="00610E48">
        <w:rPr>
          <w:rFonts w:ascii="Calibri" w:hAnsi="Calibri"/>
          <w:noProof/>
          <w:sz w:val="20"/>
          <w:szCs w:val="20"/>
        </w:rPr>
        <w:tab/>
        <w:t xml:space="preserve">Viswanath, P.; Motschmann, H.: Effect of Interfacial Presence of Oriented Thiocyanate on Water Structure. </w:t>
      </w:r>
      <w:r w:rsidRPr="00610E48">
        <w:rPr>
          <w:rFonts w:ascii="Calibri" w:hAnsi="Calibri"/>
          <w:i/>
          <w:noProof/>
          <w:sz w:val="20"/>
          <w:szCs w:val="20"/>
        </w:rPr>
        <w:t>The Journal of Physical Chemistry C,</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112</w:t>
      </w:r>
      <w:r w:rsidRPr="00610E48">
        <w:rPr>
          <w:rFonts w:ascii="Calibri" w:hAnsi="Calibri"/>
          <w:noProof/>
          <w:sz w:val="20"/>
          <w:szCs w:val="20"/>
        </w:rPr>
        <w:t>, 2099-2103.</w:t>
      </w:r>
      <w:bookmarkEnd w:id="341"/>
    </w:p>
    <w:p w:rsidR="00512D09" w:rsidRPr="00610E48" w:rsidRDefault="00512D09" w:rsidP="00512D09">
      <w:pPr>
        <w:spacing w:after="0" w:line="240" w:lineRule="auto"/>
        <w:rPr>
          <w:rFonts w:ascii="Calibri" w:hAnsi="Calibri"/>
          <w:noProof/>
          <w:sz w:val="20"/>
          <w:szCs w:val="20"/>
        </w:rPr>
      </w:pPr>
      <w:bookmarkStart w:id="342" w:name="_ENREF_107"/>
      <w:r w:rsidRPr="00610E48">
        <w:rPr>
          <w:rFonts w:ascii="Calibri" w:hAnsi="Calibri"/>
          <w:noProof/>
          <w:sz w:val="20"/>
          <w:szCs w:val="20"/>
        </w:rPr>
        <w:lastRenderedPageBreak/>
        <w:tab/>
        <w:t>(107)</w:t>
      </w:r>
      <w:r w:rsidRPr="00610E48">
        <w:rPr>
          <w:rFonts w:ascii="Calibri" w:hAnsi="Calibri"/>
          <w:noProof/>
          <w:sz w:val="20"/>
          <w:szCs w:val="20"/>
        </w:rPr>
        <w:tab/>
        <w:t xml:space="preserve">Tarbuck, T. L.; Richmond, G. L.: Adsorption and Reaction of CO2 and SO2 at a Water Surface.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128</w:t>
      </w:r>
      <w:r w:rsidRPr="00610E48">
        <w:rPr>
          <w:rFonts w:ascii="Calibri" w:hAnsi="Calibri"/>
          <w:noProof/>
          <w:sz w:val="20"/>
          <w:szCs w:val="20"/>
        </w:rPr>
        <w:t>, 3256-3267.</w:t>
      </w:r>
      <w:bookmarkEnd w:id="342"/>
    </w:p>
    <w:p w:rsidR="00512D09" w:rsidRPr="00610E48" w:rsidRDefault="00512D09" w:rsidP="00512D09">
      <w:pPr>
        <w:spacing w:after="0" w:line="240" w:lineRule="auto"/>
        <w:rPr>
          <w:rFonts w:ascii="Calibri" w:hAnsi="Calibri"/>
          <w:noProof/>
          <w:sz w:val="20"/>
          <w:szCs w:val="20"/>
        </w:rPr>
      </w:pPr>
      <w:bookmarkStart w:id="343" w:name="_ENREF_108"/>
      <w:r w:rsidRPr="00610E48">
        <w:rPr>
          <w:rFonts w:ascii="Calibri" w:hAnsi="Calibri"/>
          <w:noProof/>
          <w:sz w:val="20"/>
          <w:szCs w:val="20"/>
        </w:rPr>
        <w:tab/>
        <w:t>(108)</w:t>
      </w:r>
      <w:r w:rsidRPr="00610E48">
        <w:rPr>
          <w:rFonts w:ascii="Calibri" w:hAnsi="Calibri"/>
          <w:noProof/>
          <w:sz w:val="20"/>
          <w:szCs w:val="20"/>
        </w:rPr>
        <w:tab/>
        <w:t xml:space="preserve">Kiriukhin, M. Y.; Collins, K. D.: Dynamic hydration numbers for biologically important ions. </w:t>
      </w:r>
      <w:r w:rsidRPr="00610E48">
        <w:rPr>
          <w:rFonts w:ascii="Calibri" w:hAnsi="Calibri"/>
          <w:i/>
          <w:noProof/>
          <w:sz w:val="20"/>
          <w:szCs w:val="20"/>
        </w:rPr>
        <w:t>Biophysical chemistry,</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99</w:t>
      </w:r>
      <w:r w:rsidRPr="00610E48">
        <w:rPr>
          <w:rFonts w:ascii="Calibri" w:hAnsi="Calibri"/>
          <w:noProof/>
          <w:sz w:val="20"/>
          <w:szCs w:val="20"/>
        </w:rPr>
        <w:t>, 155-168.</w:t>
      </w:r>
      <w:bookmarkEnd w:id="343"/>
    </w:p>
    <w:p w:rsidR="00512D09" w:rsidRPr="00610E48" w:rsidRDefault="00512D09" w:rsidP="00512D09">
      <w:pPr>
        <w:spacing w:after="0" w:line="240" w:lineRule="auto"/>
        <w:rPr>
          <w:rFonts w:ascii="Calibri" w:hAnsi="Calibri"/>
          <w:noProof/>
          <w:sz w:val="20"/>
          <w:szCs w:val="20"/>
        </w:rPr>
      </w:pPr>
      <w:bookmarkStart w:id="344" w:name="_ENREF_109"/>
      <w:r w:rsidRPr="00610E48">
        <w:rPr>
          <w:rFonts w:ascii="Calibri" w:hAnsi="Calibri"/>
          <w:noProof/>
          <w:sz w:val="20"/>
          <w:szCs w:val="20"/>
        </w:rPr>
        <w:tab/>
        <w:t>(109)</w:t>
      </w:r>
      <w:r w:rsidRPr="00610E48">
        <w:rPr>
          <w:rFonts w:ascii="Calibri" w:hAnsi="Calibri"/>
          <w:noProof/>
          <w:sz w:val="20"/>
          <w:szCs w:val="20"/>
        </w:rPr>
        <w:tab/>
        <w:t xml:space="preserve">Collins, K. D.: Sticky ions in biological systems.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1995</w:t>
      </w:r>
      <w:r w:rsidRPr="00610E48">
        <w:rPr>
          <w:rFonts w:ascii="Calibri" w:hAnsi="Calibri"/>
          <w:noProof/>
          <w:sz w:val="20"/>
          <w:szCs w:val="20"/>
        </w:rPr>
        <w:t xml:space="preserve">, </w:t>
      </w:r>
      <w:r w:rsidRPr="00610E48">
        <w:rPr>
          <w:rFonts w:ascii="Calibri" w:hAnsi="Calibri"/>
          <w:i/>
          <w:noProof/>
          <w:sz w:val="20"/>
          <w:szCs w:val="20"/>
        </w:rPr>
        <w:t>92</w:t>
      </w:r>
      <w:r w:rsidRPr="00610E48">
        <w:rPr>
          <w:rFonts w:ascii="Calibri" w:hAnsi="Calibri"/>
          <w:noProof/>
          <w:sz w:val="20"/>
          <w:szCs w:val="20"/>
        </w:rPr>
        <w:t>, 5553-5557.</w:t>
      </w:r>
      <w:bookmarkEnd w:id="344"/>
    </w:p>
    <w:p w:rsidR="00512D09" w:rsidRPr="00610E48" w:rsidRDefault="00512D09" w:rsidP="00512D09">
      <w:pPr>
        <w:spacing w:after="0" w:line="240" w:lineRule="auto"/>
        <w:rPr>
          <w:rFonts w:ascii="Calibri" w:hAnsi="Calibri"/>
          <w:noProof/>
          <w:sz w:val="20"/>
          <w:szCs w:val="20"/>
        </w:rPr>
      </w:pPr>
      <w:bookmarkStart w:id="345" w:name="_ENREF_110"/>
      <w:r w:rsidRPr="00610E48">
        <w:rPr>
          <w:rFonts w:ascii="Calibri" w:hAnsi="Calibri"/>
          <w:noProof/>
          <w:sz w:val="20"/>
          <w:szCs w:val="20"/>
        </w:rPr>
        <w:tab/>
        <w:t>(110)</w:t>
      </w:r>
      <w:r w:rsidRPr="00610E48">
        <w:rPr>
          <w:rFonts w:ascii="Calibri" w:hAnsi="Calibri"/>
          <w:noProof/>
          <w:sz w:val="20"/>
          <w:szCs w:val="20"/>
        </w:rPr>
        <w:tab/>
        <w:t xml:space="preserve">Washabaugh, M. W.; Collins, K. D.: The systematic characterization by aqueous column chromatography of solutes which affect protein stability.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1986</w:t>
      </w:r>
      <w:r w:rsidRPr="00610E48">
        <w:rPr>
          <w:rFonts w:ascii="Calibri" w:hAnsi="Calibri"/>
          <w:noProof/>
          <w:sz w:val="20"/>
          <w:szCs w:val="20"/>
        </w:rPr>
        <w:t xml:space="preserve">, </w:t>
      </w:r>
      <w:r w:rsidRPr="00610E48">
        <w:rPr>
          <w:rFonts w:ascii="Calibri" w:hAnsi="Calibri"/>
          <w:i/>
          <w:noProof/>
          <w:sz w:val="20"/>
          <w:szCs w:val="20"/>
        </w:rPr>
        <w:t>261</w:t>
      </w:r>
      <w:r w:rsidRPr="00610E48">
        <w:rPr>
          <w:rFonts w:ascii="Calibri" w:hAnsi="Calibri"/>
          <w:noProof/>
          <w:sz w:val="20"/>
          <w:szCs w:val="20"/>
        </w:rPr>
        <w:t>, 12477-12485.</w:t>
      </w:r>
      <w:bookmarkEnd w:id="345"/>
    </w:p>
    <w:p w:rsidR="00512D09" w:rsidRPr="00610E48" w:rsidRDefault="00512D09" w:rsidP="00512D09">
      <w:pPr>
        <w:spacing w:after="0" w:line="240" w:lineRule="auto"/>
        <w:rPr>
          <w:rFonts w:ascii="Calibri" w:hAnsi="Calibri"/>
          <w:noProof/>
          <w:sz w:val="20"/>
          <w:szCs w:val="20"/>
        </w:rPr>
      </w:pPr>
      <w:bookmarkStart w:id="346" w:name="_ENREF_111"/>
      <w:r w:rsidRPr="00610E48">
        <w:rPr>
          <w:rFonts w:ascii="Calibri" w:hAnsi="Calibri"/>
          <w:noProof/>
          <w:sz w:val="20"/>
          <w:szCs w:val="20"/>
        </w:rPr>
        <w:tab/>
        <w:t>(111)</w:t>
      </w:r>
      <w:r w:rsidRPr="00610E48">
        <w:rPr>
          <w:rFonts w:ascii="Calibri" w:hAnsi="Calibri"/>
          <w:noProof/>
          <w:sz w:val="20"/>
          <w:szCs w:val="20"/>
        </w:rPr>
        <w:tab/>
        <w:t xml:space="preserve">Collins, K. D.; Neilson, G. W.; Enderby, J. E.: Ions in water: Characterizing the forces that control chemical processes and biological structure. </w:t>
      </w:r>
      <w:r w:rsidRPr="00610E48">
        <w:rPr>
          <w:rFonts w:ascii="Calibri" w:hAnsi="Calibri"/>
          <w:i/>
          <w:noProof/>
          <w:sz w:val="20"/>
          <w:szCs w:val="20"/>
        </w:rPr>
        <w:t>Biophysical chemistry,</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128</w:t>
      </w:r>
      <w:r w:rsidRPr="00610E48">
        <w:rPr>
          <w:rFonts w:ascii="Calibri" w:hAnsi="Calibri"/>
          <w:noProof/>
          <w:sz w:val="20"/>
          <w:szCs w:val="20"/>
        </w:rPr>
        <w:t>, 95-104.</w:t>
      </w:r>
      <w:bookmarkEnd w:id="346"/>
    </w:p>
    <w:p w:rsidR="00512D09" w:rsidRPr="00610E48" w:rsidRDefault="00512D09" w:rsidP="00512D09">
      <w:pPr>
        <w:spacing w:after="0" w:line="240" w:lineRule="auto"/>
        <w:rPr>
          <w:rFonts w:ascii="Calibri" w:hAnsi="Calibri"/>
          <w:noProof/>
          <w:sz w:val="20"/>
          <w:szCs w:val="20"/>
        </w:rPr>
      </w:pPr>
      <w:bookmarkStart w:id="347" w:name="_ENREF_112"/>
      <w:r w:rsidRPr="00610E48">
        <w:rPr>
          <w:rFonts w:ascii="Calibri" w:hAnsi="Calibri"/>
          <w:noProof/>
          <w:sz w:val="20"/>
          <w:szCs w:val="20"/>
        </w:rPr>
        <w:tab/>
        <w:t>(112)</w:t>
      </w:r>
      <w:r w:rsidRPr="00610E48">
        <w:rPr>
          <w:rFonts w:ascii="Calibri" w:hAnsi="Calibri"/>
          <w:noProof/>
          <w:sz w:val="20"/>
          <w:szCs w:val="20"/>
        </w:rPr>
        <w:tab/>
        <w:t xml:space="preserve">Zhang, Y.; Cremer, P. S.: Chemistry of Hofmeister anions and osmolytes. </w:t>
      </w:r>
      <w:r w:rsidRPr="00610E48">
        <w:rPr>
          <w:rFonts w:ascii="Calibri" w:hAnsi="Calibri"/>
          <w:i/>
          <w:noProof/>
          <w:sz w:val="20"/>
          <w:szCs w:val="20"/>
        </w:rPr>
        <w:t>Annual Review of Physical Chemistry,</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61</w:t>
      </w:r>
      <w:r w:rsidRPr="00610E48">
        <w:rPr>
          <w:rFonts w:ascii="Calibri" w:hAnsi="Calibri"/>
          <w:noProof/>
          <w:sz w:val="20"/>
          <w:szCs w:val="20"/>
        </w:rPr>
        <w:t>, 63-83.</w:t>
      </w:r>
      <w:bookmarkEnd w:id="347"/>
    </w:p>
    <w:p w:rsidR="00512D09" w:rsidRPr="00610E48" w:rsidRDefault="00512D09" w:rsidP="00512D09">
      <w:pPr>
        <w:spacing w:after="0" w:line="240" w:lineRule="auto"/>
        <w:rPr>
          <w:rFonts w:ascii="Calibri" w:hAnsi="Calibri"/>
          <w:noProof/>
          <w:sz w:val="20"/>
          <w:szCs w:val="20"/>
        </w:rPr>
      </w:pPr>
      <w:bookmarkStart w:id="348" w:name="_ENREF_113"/>
      <w:r w:rsidRPr="00610E48">
        <w:rPr>
          <w:rFonts w:ascii="Calibri" w:hAnsi="Calibri"/>
          <w:noProof/>
          <w:sz w:val="20"/>
          <w:szCs w:val="20"/>
        </w:rPr>
        <w:tab/>
        <w:t>(113)</w:t>
      </w:r>
      <w:r w:rsidRPr="00610E48">
        <w:rPr>
          <w:rFonts w:ascii="Calibri" w:hAnsi="Calibri"/>
          <w:noProof/>
          <w:sz w:val="20"/>
          <w:szCs w:val="20"/>
        </w:rPr>
        <w:tab/>
        <w:t xml:space="preserve">Bischofberger, I.; Calzolari, D. C. E.; De Los Rios, P.; Jelezarov, I.; Trappe, V.: Hydrophobic hydration of poly-N-isopropyl acrylamide: a matter of the mean energetic state of water. </w:t>
      </w:r>
      <w:r w:rsidRPr="00610E48">
        <w:rPr>
          <w:rFonts w:ascii="Calibri" w:hAnsi="Calibri"/>
          <w:i/>
          <w:noProof/>
          <w:sz w:val="20"/>
          <w:szCs w:val="20"/>
        </w:rPr>
        <w:t>Sci. Rep.,</w:t>
      </w:r>
      <w:r w:rsidRPr="00610E48">
        <w:rPr>
          <w:rFonts w:ascii="Calibri" w:hAnsi="Calibri"/>
          <w:noProof/>
          <w:sz w:val="20"/>
          <w:szCs w:val="20"/>
        </w:rPr>
        <w:t xml:space="preserve">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4</w:t>
      </w:r>
      <w:r w:rsidRPr="00610E48">
        <w:rPr>
          <w:rFonts w:ascii="Calibri" w:hAnsi="Calibri"/>
          <w:noProof/>
          <w:sz w:val="20"/>
          <w:szCs w:val="20"/>
        </w:rPr>
        <w:t>.</w:t>
      </w:r>
      <w:bookmarkEnd w:id="348"/>
    </w:p>
    <w:p w:rsidR="00512D09" w:rsidRPr="00610E48" w:rsidRDefault="00512D09" w:rsidP="00512D09">
      <w:pPr>
        <w:spacing w:after="0" w:line="240" w:lineRule="auto"/>
        <w:rPr>
          <w:rFonts w:ascii="Calibri" w:hAnsi="Calibri"/>
          <w:noProof/>
          <w:sz w:val="20"/>
          <w:szCs w:val="20"/>
        </w:rPr>
      </w:pPr>
      <w:bookmarkStart w:id="349" w:name="_ENREF_114"/>
      <w:r w:rsidRPr="00610E48">
        <w:rPr>
          <w:rFonts w:ascii="Calibri" w:hAnsi="Calibri"/>
          <w:noProof/>
          <w:sz w:val="20"/>
          <w:szCs w:val="20"/>
        </w:rPr>
        <w:tab/>
        <w:t>(114)</w:t>
      </w:r>
      <w:r w:rsidRPr="00610E48">
        <w:rPr>
          <w:rFonts w:ascii="Calibri" w:hAnsi="Calibri"/>
          <w:noProof/>
          <w:sz w:val="20"/>
          <w:szCs w:val="20"/>
        </w:rPr>
        <w:tab/>
        <w:t xml:space="preserve">Zhang, Y.; Furyk, S.; Bergbreiter, D. E.; Cremer, P. S.: Specific Ion Effects on the Water Solubility of Macromolecules:  PNIPAM and the Hofmeister Series.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127</w:t>
      </w:r>
      <w:r w:rsidRPr="00610E48">
        <w:rPr>
          <w:rFonts w:ascii="Calibri" w:hAnsi="Calibri"/>
          <w:noProof/>
          <w:sz w:val="20"/>
          <w:szCs w:val="20"/>
        </w:rPr>
        <w:t>, 14505-14510.</w:t>
      </w:r>
      <w:bookmarkEnd w:id="349"/>
    </w:p>
    <w:p w:rsidR="00512D09" w:rsidRPr="00610E48" w:rsidRDefault="00512D09" w:rsidP="00512D09">
      <w:pPr>
        <w:spacing w:after="0" w:line="240" w:lineRule="auto"/>
        <w:rPr>
          <w:rFonts w:ascii="Calibri" w:hAnsi="Calibri"/>
          <w:noProof/>
          <w:sz w:val="20"/>
          <w:szCs w:val="20"/>
        </w:rPr>
      </w:pPr>
      <w:bookmarkStart w:id="350" w:name="_ENREF_115"/>
      <w:r w:rsidRPr="00610E48">
        <w:rPr>
          <w:rFonts w:ascii="Calibri" w:hAnsi="Calibri"/>
          <w:noProof/>
          <w:sz w:val="20"/>
          <w:szCs w:val="20"/>
        </w:rPr>
        <w:tab/>
        <w:t>(115)</w:t>
      </w:r>
      <w:r w:rsidRPr="00610E48">
        <w:rPr>
          <w:rFonts w:ascii="Calibri" w:hAnsi="Calibri"/>
          <w:noProof/>
          <w:sz w:val="20"/>
          <w:szCs w:val="20"/>
        </w:rPr>
        <w:tab/>
        <w:t xml:space="preserve">Chen, X.; Yang, T.; Kataoka, S.; Cremer, P. S.: Specific Ion Effects on Interfacial Water Structure near Macromolecules.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129</w:t>
      </w:r>
      <w:r w:rsidRPr="00610E48">
        <w:rPr>
          <w:rFonts w:ascii="Calibri" w:hAnsi="Calibri"/>
          <w:noProof/>
          <w:sz w:val="20"/>
          <w:szCs w:val="20"/>
        </w:rPr>
        <w:t>, 12272-12279.</w:t>
      </w:r>
      <w:bookmarkEnd w:id="350"/>
    </w:p>
    <w:p w:rsidR="00512D09" w:rsidRPr="00610E48" w:rsidRDefault="00512D09" w:rsidP="00512D09">
      <w:pPr>
        <w:spacing w:after="0" w:line="240" w:lineRule="auto"/>
        <w:rPr>
          <w:rFonts w:ascii="Calibri" w:hAnsi="Calibri"/>
          <w:noProof/>
          <w:sz w:val="20"/>
          <w:szCs w:val="20"/>
        </w:rPr>
      </w:pPr>
      <w:bookmarkStart w:id="351" w:name="_ENREF_116"/>
      <w:r w:rsidRPr="00610E48">
        <w:rPr>
          <w:rFonts w:ascii="Calibri" w:hAnsi="Calibri"/>
          <w:noProof/>
          <w:sz w:val="20"/>
          <w:szCs w:val="20"/>
        </w:rPr>
        <w:tab/>
        <w:t>(116)</w:t>
      </w:r>
      <w:r w:rsidRPr="00610E48">
        <w:rPr>
          <w:rFonts w:ascii="Calibri" w:hAnsi="Calibri"/>
          <w:noProof/>
          <w:sz w:val="20"/>
          <w:szCs w:val="20"/>
        </w:rPr>
        <w:tab/>
        <w:t xml:space="preserve">Cho, Y.; Zhang, Y.; Christensen, T.; Sagle, L. B.; Chilkoti, A.; Cremer, P. S.: Effects of Hofmeister Anions on the Phase Transition Temperature of Elastin-like Polypeptides.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112</w:t>
      </w:r>
      <w:r w:rsidRPr="00610E48">
        <w:rPr>
          <w:rFonts w:ascii="Calibri" w:hAnsi="Calibri"/>
          <w:noProof/>
          <w:sz w:val="20"/>
          <w:szCs w:val="20"/>
        </w:rPr>
        <w:t>, 13765-13771.</w:t>
      </w:r>
      <w:bookmarkEnd w:id="351"/>
    </w:p>
    <w:p w:rsidR="00512D09" w:rsidRPr="00610E48" w:rsidRDefault="00512D09" w:rsidP="00512D09">
      <w:pPr>
        <w:spacing w:after="0" w:line="240" w:lineRule="auto"/>
        <w:rPr>
          <w:rFonts w:ascii="Calibri" w:hAnsi="Calibri"/>
          <w:noProof/>
          <w:sz w:val="20"/>
          <w:szCs w:val="20"/>
        </w:rPr>
      </w:pPr>
      <w:bookmarkStart w:id="352" w:name="_ENREF_117"/>
      <w:r w:rsidRPr="00610E48">
        <w:rPr>
          <w:rFonts w:ascii="Calibri" w:hAnsi="Calibri"/>
          <w:noProof/>
          <w:sz w:val="20"/>
          <w:szCs w:val="20"/>
        </w:rPr>
        <w:tab/>
        <w:t>(117)</w:t>
      </w:r>
      <w:r w:rsidRPr="00610E48">
        <w:rPr>
          <w:rFonts w:ascii="Calibri" w:hAnsi="Calibri"/>
          <w:noProof/>
          <w:sz w:val="20"/>
          <w:szCs w:val="20"/>
        </w:rPr>
        <w:tab/>
        <w:t xml:space="preserve">Xie, W.; Liu, C.; Yang, L.; Gao, Y.: On the molecular mechanism of ion specific Hofmeister series. </w:t>
      </w:r>
      <w:r w:rsidRPr="00610E48">
        <w:rPr>
          <w:rFonts w:ascii="Calibri" w:hAnsi="Calibri"/>
          <w:i/>
          <w:noProof/>
          <w:sz w:val="20"/>
          <w:szCs w:val="20"/>
        </w:rPr>
        <w:t>Science China Chemistry,</w:t>
      </w:r>
      <w:r w:rsidRPr="00610E48">
        <w:rPr>
          <w:rFonts w:ascii="Calibri" w:hAnsi="Calibri"/>
          <w:noProof/>
          <w:sz w:val="20"/>
          <w:szCs w:val="20"/>
        </w:rPr>
        <w:t xml:space="preserve">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57</w:t>
      </w:r>
      <w:r w:rsidRPr="00610E48">
        <w:rPr>
          <w:rFonts w:ascii="Calibri" w:hAnsi="Calibri"/>
          <w:noProof/>
          <w:sz w:val="20"/>
          <w:szCs w:val="20"/>
        </w:rPr>
        <w:t>, 36-47.</w:t>
      </w:r>
      <w:bookmarkEnd w:id="352"/>
    </w:p>
    <w:p w:rsidR="00512D09" w:rsidRPr="00610E48" w:rsidRDefault="00512D09" w:rsidP="00512D09">
      <w:pPr>
        <w:spacing w:after="0" w:line="240" w:lineRule="auto"/>
        <w:rPr>
          <w:rFonts w:ascii="Calibri" w:hAnsi="Calibri"/>
          <w:noProof/>
          <w:sz w:val="20"/>
          <w:szCs w:val="20"/>
        </w:rPr>
      </w:pPr>
      <w:bookmarkStart w:id="353" w:name="_ENREF_118"/>
      <w:r w:rsidRPr="00610E48">
        <w:rPr>
          <w:rFonts w:ascii="Calibri" w:hAnsi="Calibri"/>
          <w:noProof/>
          <w:sz w:val="20"/>
          <w:szCs w:val="20"/>
        </w:rPr>
        <w:tab/>
        <w:t>(118)</w:t>
      </w:r>
      <w:r w:rsidRPr="00610E48">
        <w:rPr>
          <w:rFonts w:ascii="Calibri" w:hAnsi="Calibri"/>
          <w:noProof/>
          <w:sz w:val="20"/>
          <w:szCs w:val="20"/>
        </w:rPr>
        <w:tab/>
        <w:t xml:space="preserve">Rembert, K. B.; Paterová, J.; Heyda, J.; Hilty, C.; Jungwirth, P.; Cremer, P. S.: Molecular Mechanisms of Ion-Specific Effects on Proteins.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134</w:t>
      </w:r>
      <w:r w:rsidRPr="00610E48">
        <w:rPr>
          <w:rFonts w:ascii="Calibri" w:hAnsi="Calibri"/>
          <w:noProof/>
          <w:sz w:val="20"/>
          <w:szCs w:val="20"/>
        </w:rPr>
        <w:t>, 10039-10046.</w:t>
      </w:r>
      <w:bookmarkEnd w:id="353"/>
    </w:p>
    <w:p w:rsidR="00512D09" w:rsidRPr="00610E48" w:rsidRDefault="00512D09" w:rsidP="00512D09">
      <w:pPr>
        <w:spacing w:after="0" w:line="240" w:lineRule="auto"/>
        <w:rPr>
          <w:rFonts w:ascii="Calibri" w:hAnsi="Calibri"/>
          <w:noProof/>
          <w:sz w:val="20"/>
          <w:szCs w:val="20"/>
        </w:rPr>
      </w:pPr>
      <w:bookmarkStart w:id="354" w:name="_ENREF_119"/>
      <w:r w:rsidRPr="00610E48">
        <w:rPr>
          <w:rFonts w:ascii="Calibri" w:hAnsi="Calibri"/>
          <w:noProof/>
          <w:sz w:val="20"/>
          <w:szCs w:val="20"/>
        </w:rPr>
        <w:tab/>
        <w:t>(119)</w:t>
      </w:r>
      <w:r w:rsidRPr="00610E48">
        <w:rPr>
          <w:rFonts w:ascii="Calibri" w:hAnsi="Calibri"/>
          <w:noProof/>
          <w:sz w:val="20"/>
          <w:szCs w:val="20"/>
        </w:rPr>
        <w:tab/>
        <w:t xml:space="preserve">Paterová, J.; Rembert, K. B.; Heyda, J.; Kurra, Y.; Okur, H. I.; Liu, W. R.; Hilty, C.; Cremer, P. S.; Jungwirth, P.: Reversal of the Hofmeister Series: Specific Ion Effects on Peptides.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117</w:t>
      </w:r>
      <w:r w:rsidRPr="00610E48">
        <w:rPr>
          <w:rFonts w:ascii="Calibri" w:hAnsi="Calibri"/>
          <w:noProof/>
          <w:sz w:val="20"/>
          <w:szCs w:val="20"/>
        </w:rPr>
        <w:t>, 8150-8158.</w:t>
      </w:r>
      <w:bookmarkEnd w:id="354"/>
    </w:p>
    <w:p w:rsidR="00512D09" w:rsidRPr="00610E48" w:rsidRDefault="00512D09" w:rsidP="00512D09">
      <w:pPr>
        <w:spacing w:after="0" w:line="240" w:lineRule="auto"/>
        <w:rPr>
          <w:rFonts w:ascii="Calibri" w:hAnsi="Calibri"/>
          <w:noProof/>
          <w:sz w:val="20"/>
          <w:szCs w:val="20"/>
        </w:rPr>
      </w:pPr>
      <w:bookmarkStart w:id="355" w:name="_ENREF_120"/>
      <w:r w:rsidRPr="00610E48">
        <w:rPr>
          <w:rFonts w:ascii="Calibri" w:hAnsi="Calibri"/>
          <w:noProof/>
          <w:sz w:val="20"/>
          <w:szCs w:val="20"/>
        </w:rPr>
        <w:tab/>
        <w:t>(120)</w:t>
      </w:r>
      <w:r w:rsidRPr="00610E48">
        <w:rPr>
          <w:rFonts w:ascii="Calibri" w:hAnsi="Calibri"/>
          <w:noProof/>
          <w:sz w:val="20"/>
          <w:szCs w:val="20"/>
        </w:rPr>
        <w:tab/>
        <w:t xml:space="preserve">Zhang, Y.; Cremer, P. S.: The inverse and direct Hofmeister series for lysozyme.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w:t>
      </w:r>
      <w:bookmarkEnd w:id="355"/>
    </w:p>
    <w:p w:rsidR="00512D09" w:rsidRPr="00610E48" w:rsidRDefault="00512D09" w:rsidP="00512D09">
      <w:pPr>
        <w:spacing w:after="0" w:line="240" w:lineRule="auto"/>
        <w:rPr>
          <w:rFonts w:ascii="Calibri" w:hAnsi="Calibri"/>
          <w:noProof/>
          <w:sz w:val="20"/>
          <w:szCs w:val="20"/>
        </w:rPr>
      </w:pPr>
      <w:bookmarkStart w:id="356" w:name="_ENREF_121"/>
      <w:r w:rsidRPr="00610E48">
        <w:rPr>
          <w:rFonts w:ascii="Calibri" w:hAnsi="Calibri"/>
          <w:noProof/>
          <w:sz w:val="20"/>
          <w:szCs w:val="20"/>
        </w:rPr>
        <w:tab/>
        <w:t>(121)</w:t>
      </w:r>
      <w:r w:rsidRPr="00610E48">
        <w:rPr>
          <w:rFonts w:ascii="Calibri" w:hAnsi="Calibri"/>
          <w:noProof/>
          <w:sz w:val="20"/>
          <w:szCs w:val="20"/>
        </w:rPr>
        <w:tab/>
        <w:t xml:space="preserve">Flores, S. C.; Kherb, J.; Cremer, P. S.: Direct and Reverse Hofmeister Effects on Interfacial Water Structure. </w:t>
      </w:r>
      <w:r w:rsidRPr="00610E48">
        <w:rPr>
          <w:rFonts w:ascii="Calibri" w:hAnsi="Calibri"/>
          <w:i/>
          <w:noProof/>
          <w:sz w:val="20"/>
          <w:szCs w:val="20"/>
        </w:rPr>
        <w:t>The Journal of Physical Chemistry C,</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116</w:t>
      </w:r>
      <w:r w:rsidRPr="00610E48">
        <w:rPr>
          <w:rFonts w:ascii="Calibri" w:hAnsi="Calibri"/>
          <w:noProof/>
          <w:sz w:val="20"/>
          <w:szCs w:val="20"/>
        </w:rPr>
        <w:t>, 14408-14413.</w:t>
      </w:r>
      <w:bookmarkEnd w:id="356"/>
    </w:p>
    <w:p w:rsidR="00512D09" w:rsidRPr="00610E48" w:rsidRDefault="00512D09" w:rsidP="00512D09">
      <w:pPr>
        <w:spacing w:after="0" w:line="240" w:lineRule="auto"/>
        <w:rPr>
          <w:rFonts w:ascii="Calibri" w:hAnsi="Calibri"/>
          <w:noProof/>
          <w:sz w:val="20"/>
          <w:szCs w:val="20"/>
        </w:rPr>
      </w:pPr>
      <w:bookmarkStart w:id="357" w:name="_ENREF_122"/>
      <w:r w:rsidRPr="00610E48">
        <w:rPr>
          <w:rFonts w:ascii="Calibri" w:hAnsi="Calibri"/>
          <w:noProof/>
          <w:sz w:val="20"/>
          <w:szCs w:val="20"/>
        </w:rPr>
        <w:tab/>
        <w:t>(122)</w:t>
      </w:r>
      <w:r w:rsidRPr="00610E48">
        <w:rPr>
          <w:rFonts w:ascii="Calibri" w:hAnsi="Calibri"/>
          <w:noProof/>
          <w:sz w:val="20"/>
          <w:szCs w:val="20"/>
        </w:rPr>
        <w:tab/>
        <w:t xml:space="preserve">Gibb, C. L. D.; Gibb, B. C.: Anion Binding to Hydrophobic Concavity Is Central to the Salting-in Effects of Hofmeister Chaotropes.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133</w:t>
      </w:r>
      <w:r w:rsidRPr="00610E48">
        <w:rPr>
          <w:rFonts w:ascii="Calibri" w:hAnsi="Calibri"/>
          <w:noProof/>
          <w:sz w:val="20"/>
          <w:szCs w:val="20"/>
        </w:rPr>
        <w:t>, 7344-7347.</w:t>
      </w:r>
      <w:bookmarkEnd w:id="357"/>
    </w:p>
    <w:p w:rsidR="00512D09" w:rsidRPr="00610E48" w:rsidRDefault="00512D09" w:rsidP="00512D09">
      <w:pPr>
        <w:spacing w:after="0" w:line="240" w:lineRule="auto"/>
        <w:rPr>
          <w:rFonts w:ascii="Calibri" w:hAnsi="Calibri"/>
          <w:noProof/>
          <w:sz w:val="20"/>
          <w:szCs w:val="20"/>
        </w:rPr>
      </w:pPr>
      <w:bookmarkStart w:id="358" w:name="_ENREF_123"/>
      <w:r w:rsidRPr="00610E48">
        <w:rPr>
          <w:rFonts w:ascii="Calibri" w:hAnsi="Calibri"/>
          <w:noProof/>
          <w:sz w:val="20"/>
          <w:szCs w:val="20"/>
        </w:rPr>
        <w:tab/>
        <w:t>(123)</w:t>
      </w:r>
      <w:r w:rsidRPr="00610E48">
        <w:rPr>
          <w:rFonts w:ascii="Calibri" w:hAnsi="Calibri"/>
          <w:noProof/>
          <w:sz w:val="20"/>
          <w:szCs w:val="20"/>
        </w:rPr>
        <w:tab/>
        <w:t xml:space="preserve">Gokarn, Y. R.; Fesinmeyer, R. M.; Saluja, A.; Razinkov, V.; Chase, S. F.; Laue, T. M.; Brems, D. N.: Effective charge measurements reveal selective and preferential accumulation of anions, but not cations, at the protein surface in dilute salt solutions. </w:t>
      </w:r>
      <w:r w:rsidRPr="00610E48">
        <w:rPr>
          <w:rFonts w:ascii="Calibri" w:hAnsi="Calibri"/>
          <w:i/>
          <w:noProof/>
          <w:sz w:val="20"/>
          <w:szCs w:val="20"/>
        </w:rPr>
        <w:t>Protein Science,</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20</w:t>
      </w:r>
      <w:r w:rsidRPr="00610E48">
        <w:rPr>
          <w:rFonts w:ascii="Calibri" w:hAnsi="Calibri"/>
          <w:noProof/>
          <w:sz w:val="20"/>
          <w:szCs w:val="20"/>
        </w:rPr>
        <w:t>, 580-587.</w:t>
      </w:r>
      <w:bookmarkEnd w:id="358"/>
    </w:p>
    <w:p w:rsidR="00512D09" w:rsidRPr="00610E48" w:rsidRDefault="00512D09" w:rsidP="00512D09">
      <w:pPr>
        <w:spacing w:after="0" w:line="240" w:lineRule="auto"/>
        <w:rPr>
          <w:rFonts w:ascii="Calibri" w:hAnsi="Calibri"/>
          <w:noProof/>
          <w:sz w:val="20"/>
          <w:szCs w:val="20"/>
        </w:rPr>
      </w:pPr>
      <w:bookmarkStart w:id="359" w:name="_ENREF_124"/>
      <w:r w:rsidRPr="00610E48">
        <w:rPr>
          <w:rFonts w:ascii="Calibri" w:hAnsi="Calibri"/>
          <w:noProof/>
          <w:sz w:val="20"/>
          <w:szCs w:val="20"/>
        </w:rPr>
        <w:tab/>
        <w:t>(124)</w:t>
      </w:r>
      <w:r w:rsidRPr="00610E48">
        <w:rPr>
          <w:rFonts w:ascii="Calibri" w:hAnsi="Calibri"/>
          <w:noProof/>
          <w:sz w:val="20"/>
          <w:szCs w:val="20"/>
        </w:rPr>
        <w:tab/>
        <w:t xml:space="preserve">Rankin, B. M.; Ben-Amotz, D.: Expulsion of Ions from Hydrophobic Hydration Shells.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135</w:t>
      </w:r>
      <w:r w:rsidRPr="00610E48">
        <w:rPr>
          <w:rFonts w:ascii="Calibri" w:hAnsi="Calibri"/>
          <w:noProof/>
          <w:sz w:val="20"/>
          <w:szCs w:val="20"/>
        </w:rPr>
        <w:t>, 8818-8821.</w:t>
      </w:r>
      <w:bookmarkEnd w:id="359"/>
    </w:p>
    <w:p w:rsidR="00512D09" w:rsidRPr="00610E48" w:rsidRDefault="00512D09" w:rsidP="00512D09">
      <w:pPr>
        <w:spacing w:after="0" w:line="240" w:lineRule="auto"/>
        <w:rPr>
          <w:rFonts w:ascii="Calibri" w:hAnsi="Calibri"/>
          <w:noProof/>
          <w:sz w:val="20"/>
          <w:szCs w:val="20"/>
        </w:rPr>
      </w:pPr>
      <w:bookmarkStart w:id="360" w:name="_ENREF_125"/>
      <w:r w:rsidRPr="00610E48">
        <w:rPr>
          <w:rFonts w:ascii="Calibri" w:hAnsi="Calibri"/>
          <w:noProof/>
          <w:sz w:val="20"/>
          <w:szCs w:val="20"/>
        </w:rPr>
        <w:tab/>
        <w:t>(125)</w:t>
      </w:r>
      <w:r w:rsidRPr="00610E48">
        <w:rPr>
          <w:rFonts w:ascii="Calibri" w:hAnsi="Calibri"/>
          <w:noProof/>
          <w:sz w:val="20"/>
          <w:szCs w:val="20"/>
        </w:rPr>
        <w:tab/>
        <w:t xml:space="preserve">Sinn, C. G.; Dimova, R.; Huin, C.; Sel, Ö.; Antonietti, M.: Correction to “Binding of Ion Pairs onto Polymer Gels via Dehydration Entropy:  A New Mechanism for Ion Exchange”. Volume 39, Number 18, pp 6310−6312. </w:t>
      </w:r>
      <w:r w:rsidRPr="00610E48">
        <w:rPr>
          <w:rFonts w:ascii="Calibri" w:hAnsi="Calibri"/>
          <w:i/>
          <w:noProof/>
          <w:sz w:val="20"/>
          <w:szCs w:val="20"/>
        </w:rPr>
        <w:t>Macromolecules,</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39</w:t>
      </w:r>
      <w:r w:rsidRPr="00610E48">
        <w:rPr>
          <w:rFonts w:ascii="Calibri" w:hAnsi="Calibri"/>
          <w:noProof/>
          <w:sz w:val="20"/>
          <w:szCs w:val="20"/>
        </w:rPr>
        <w:t>, 9668-9668.</w:t>
      </w:r>
      <w:bookmarkEnd w:id="360"/>
    </w:p>
    <w:p w:rsidR="00512D09" w:rsidRPr="00610E48" w:rsidRDefault="00512D09" w:rsidP="00512D09">
      <w:pPr>
        <w:spacing w:after="0" w:line="240" w:lineRule="auto"/>
        <w:rPr>
          <w:rFonts w:ascii="Calibri" w:hAnsi="Calibri"/>
          <w:noProof/>
          <w:sz w:val="20"/>
          <w:szCs w:val="20"/>
        </w:rPr>
      </w:pPr>
      <w:bookmarkStart w:id="361" w:name="_ENREF_126"/>
      <w:r w:rsidRPr="00610E48">
        <w:rPr>
          <w:rFonts w:ascii="Calibri" w:hAnsi="Calibri"/>
          <w:noProof/>
          <w:sz w:val="20"/>
          <w:szCs w:val="20"/>
        </w:rPr>
        <w:tab/>
        <w:t>(126)</w:t>
      </w:r>
      <w:r w:rsidRPr="00610E48">
        <w:rPr>
          <w:rFonts w:ascii="Calibri" w:hAnsi="Calibri"/>
          <w:noProof/>
          <w:sz w:val="20"/>
          <w:szCs w:val="20"/>
        </w:rPr>
        <w:tab/>
        <w:t xml:space="preserve">Sinn, C. G.; Dimova, R.; Antonietti, M.: Isothermal Titration Calorimetry of the Polyelectrolyte/Water Interaction and Binding of Ca2+:  Effects Determining the Quality of Polymeric Scale Inhibitors. </w:t>
      </w:r>
      <w:r w:rsidRPr="00610E48">
        <w:rPr>
          <w:rFonts w:ascii="Calibri" w:hAnsi="Calibri"/>
          <w:i/>
          <w:noProof/>
          <w:sz w:val="20"/>
          <w:szCs w:val="20"/>
        </w:rPr>
        <w:t>Macromolecules,</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37</w:t>
      </w:r>
      <w:r w:rsidRPr="00610E48">
        <w:rPr>
          <w:rFonts w:ascii="Calibri" w:hAnsi="Calibri"/>
          <w:noProof/>
          <w:sz w:val="20"/>
          <w:szCs w:val="20"/>
        </w:rPr>
        <w:t>, 3444-3450.</w:t>
      </w:r>
      <w:bookmarkEnd w:id="361"/>
    </w:p>
    <w:p w:rsidR="00512D09" w:rsidRPr="00610E48" w:rsidRDefault="00512D09" w:rsidP="00512D09">
      <w:pPr>
        <w:spacing w:after="0" w:line="240" w:lineRule="auto"/>
        <w:rPr>
          <w:rFonts w:ascii="Calibri" w:hAnsi="Calibri"/>
          <w:noProof/>
          <w:sz w:val="20"/>
          <w:szCs w:val="20"/>
        </w:rPr>
      </w:pPr>
      <w:bookmarkStart w:id="362" w:name="_ENREF_127"/>
      <w:r w:rsidRPr="00610E48">
        <w:rPr>
          <w:rFonts w:ascii="Calibri" w:hAnsi="Calibri"/>
          <w:noProof/>
          <w:sz w:val="20"/>
          <w:szCs w:val="20"/>
        </w:rPr>
        <w:tab/>
        <w:t>(127)</w:t>
      </w:r>
      <w:r w:rsidRPr="00610E48">
        <w:rPr>
          <w:rFonts w:ascii="Calibri" w:hAnsi="Calibri"/>
          <w:noProof/>
          <w:sz w:val="20"/>
          <w:szCs w:val="20"/>
        </w:rPr>
        <w:tab/>
        <w:t xml:space="preserve">Francisco, V.; Piñeiro, A.; Nau, W. M.; García-Río, L.: The “True” Affinities of Metal Cations to p-Sulfonatocalix[4]arene: A Thermodynamic Study at Neutral pH Reveals a Pitfall Due to Salt Effects in Microcalorimetry. </w:t>
      </w:r>
      <w:r w:rsidRPr="00610E48">
        <w:rPr>
          <w:rFonts w:ascii="Calibri" w:hAnsi="Calibri"/>
          <w:i/>
          <w:noProof/>
          <w:sz w:val="20"/>
          <w:szCs w:val="20"/>
        </w:rPr>
        <w:t>Chemistry – A European Journal,</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19</w:t>
      </w:r>
      <w:r w:rsidRPr="00610E48">
        <w:rPr>
          <w:rFonts w:ascii="Calibri" w:hAnsi="Calibri"/>
          <w:noProof/>
          <w:sz w:val="20"/>
          <w:szCs w:val="20"/>
        </w:rPr>
        <w:t>, 17809-17820.</w:t>
      </w:r>
      <w:bookmarkEnd w:id="362"/>
    </w:p>
    <w:p w:rsidR="00512D09" w:rsidRPr="00610E48" w:rsidRDefault="00512D09" w:rsidP="00512D09">
      <w:pPr>
        <w:spacing w:after="0" w:line="240" w:lineRule="auto"/>
        <w:rPr>
          <w:rFonts w:ascii="Calibri" w:hAnsi="Calibri"/>
          <w:noProof/>
          <w:sz w:val="20"/>
          <w:szCs w:val="20"/>
        </w:rPr>
      </w:pPr>
      <w:bookmarkStart w:id="363" w:name="_ENREF_128"/>
      <w:r w:rsidRPr="00610E48">
        <w:rPr>
          <w:rFonts w:ascii="Calibri" w:hAnsi="Calibri"/>
          <w:noProof/>
          <w:sz w:val="20"/>
          <w:szCs w:val="20"/>
        </w:rPr>
        <w:tab/>
        <w:t>(128)</w:t>
      </w:r>
      <w:r w:rsidRPr="00610E48">
        <w:rPr>
          <w:rFonts w:ascii="Calibri" w:hAnsi="Calibri"/>
          <w:noProof/>
          <w:sz w:val="20"/>
          <w:szCs w:val="20"/>
        </w:rPr>
        <w:tab/>
        <w:t xml:space="preserve">Monod, J.; Wyman, J.; Changeux, J.-P.: On the nature of allosteric transitions: A plausible model.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1965</w:t>
      </w:r>
      <w:r w:rsidRPr="00610E48">
        <w:rPr>
          <w:rFonts w:ascii="Calibri" w:hAnsi="Calibri"/>
          <w:noProof/>
          <w:sz w:val="20"/>
          <w:szCs w:val="20"/>
        </w:rPr>
        <w:t xml:space="preserve">, </w:t>
      </w:r>
      <w:r w:rsidRPr="00610E48">
        <w:rPr>
          <w:rFonts w:ascii="Calibri" w:hAnsi="Calibri"/>
          <w:i/>
          <w:noProof/>
          <w:sz w:val="20"/>
          <w:szCs w:val="20"/>
        </w:rPr>
        <w:t>12</w:t>
      </w:r>
      <w:r w:rsidRPr="00610E48">
        <w:rPr>
          <w:rFonts w:ascii="Calibri" w:hAnsi="Calibri"/>
          <w:noProof/>
          <w:sz w:val="20"/>
          <w:szCs w:val="20"/>
        </w:rPr>
        <w:t>, 88-118.</w:t>
      </w:r>
      <w:bookmarkEnd w:id="363"/>
    </w:p>
    <w:p w:rsidR="00512D09" w:rsidRPr="00610E48" w:rsidRDefault="00512D09" w:rsidP="00512D09">
      <w:pPr>
        <w:spacing w:after="0" w:line="240" w:lineRule="auto"/>
        <w:rPr>
          <w:rFonts w:ascii="Calibri" w:hAnsi="Calibri"/>
          <w:noProof/>
          <w:sz w:val="20"/>
          <w:szCs w:val="20"/>
        </w:rPr>
      </w:pPr>
      <w:bookmarkStart w:id="364" w:name="_ENREF_129"/>
      <w:r w:rsidRPr="00610E48">
        <w:rPr>
          <w:rFonts w:ascii="Calibri" w:hAnsi="Calibri"/>
          <w:noProof/>
          <w:sz w:val="20"/>
          <w:szCs w:val="20"/>
        </w:rPr>
        <w:lastRenderedPageBreak/>
        <w:tab/>
        <w:t>(129)</w:t>
      </w:r>
      <w:r w:rsidRPr="00610E48">
        <w:rPr>
          <w:rFonts w:ascii="Calibri" w:hAnsi="Calibri"/>
          <w:noProof/>
          <w:sz w:val="20"/>
          <w:szCs w:val="20"/>
        </w:rPr>
        <w:tab/>
        <w:t xml:space="preserve">Monod, J.; Changeux, J.-P.; Jacob, F.: Allosteric proteins and cellular control systems.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1963</w:t>
      </w:r>
      <w:r w:rsidRPr="00610E48">
        <w:rPr>
          <w:rFonts w:ascii="Calibri" w:hAnsi="Calibri"/>
          <w:noProof/>
          <w:sz w:val="20"/>
          <w:szCs w:val="20"/>
        </w:rPr>
        <w:t xml:space="preserve">, </w:t>
      </w:r>
      <w:r w:rsidRPr="00610E48">
        <w:rPr>
          <w:rFonts w:ascii="Calibri" w:hAnsi="Calibri"/>
          <w:i/>
          <w:noProof/>
          <w:sz w:val="20"/>
          <w:szCs w:val="20"/>
        </w:rPr>
        <w:t>6</w:t>
      </w:r>
      <w:r w:rsidRPr="00610E48">
        <w:rPr>
          <w:rFonts w:ascii="Calibri" w:hAnsi="Calibri"/>
          <w:noProof/>
          <w:sz w:val="20"/>
          <w:szCs w:val="20"/>
        </w:rPr>
        <w:t>, 306-329.</w:t>
      </w:r>
      <w:bookmarkEnd w:id="364"/>
    </w:p>
    <w:p w:rsidR="00512D09" w:rsidRPr="00610E48" w:rsidRDefault="00512D09" w:rsidP="00512D09">
      <w:pPr>
        <w:spacing w:after="0" w:line="240" w:lineRule="auto"/>
        <w:rPr>
          <w:rFonts w:ascii="Calibri" w:hAnsi="Calibri"/>
          <w:noProof/>
          <w:sz w:val="20"/>
          <w:szCs w:val="20"/>
        </w:rPr>
      </w:pPr>
      <w:bookmarkStart w:id="365" w:name="_ENREF_130"/>
      <w:r w:rsidRPr="00610E48">
        <w:rPr>
          <w:rFonts w:ascii="Calibri" w:hAnsi="Calibri"/>
          <w:noProof/>
          <w:sz w:val="20"/>
          <w:szCs w:val="20"/>
        </w:rPr>
        <w:tab/>
        <w:t>(130)</w:t>
      </w:r>
      <w:r w:rsidRPr="00610E48">
        <w:rPr>
          <w:rFonts w:ascii="Calibri" w:hAnsi="Calibri"/>
          <w:noProof/>
          <w:sz w:val="20"/>
          <w:szCs w:val="20"/>
        </w:rPr>
        <w:tab/>
        <w:t xml:space="preserve">Koshland Jr, D.; Nemethy, G.; Filmer, D.: Comparison of experimental binding data and theoretical models in proteins containing subunits.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1966</w:t>
      </w:r>
      <w:r w:rsidRPr="00610E48">
        <w:rPr>
          <w:rFonts w:ascii="Calibri" w:hAnsi="Calibri"/>
          <w:noProof/>
          <w:sz w:val="20"/>
          <w:szCs w:val="20"/>
        </w:rPr>
        <w:t xml:space="preserve">, </w:t>
      </w:r>
      <w:r w:rsidRPr="00610E48">
        <w:rPr>
          <w:rFonts w:ascii="Calibri" w:hAnsi="Calibri"/>
          <w:i/>
          <w:noProof/>
          <w:sz w:val="20"/>
          <w:szCs w:val="20"/>
        </w:rPr>
        <w:t>5</w:t>
      </w:r>
      <w:r w:rsidRPr="00610E48">
        <w:rPr>
          <w:rFonts w:ascii="Calibri" w:hAnsi="Calibri"/>
          <w:noProof/>
          <w:sz w:val="20"/>
          <w:szCs w:val="20"/>
        </w:rPr>
        <w:t>, 365-385.</w:t>
      </w:r>
      <w:bookmarkEnd w:id="365"/>
    </w:p>
    <w:p w:rsidR="00512D09" w:rsidRPr="00610E48" w:rsidRDefault="00512D09" w:rsidP="00512D09">
      <w:pPr>
        <w:spacing w:after="0" w:line="240" w:lineRule="auto"/>
        <w:rPr>
          <w:rFonts w:ascii="Calibri" w:hAnsi="Calibri"/>
          <w:noProof/>
          <w:sz w:val="20"/>
          <w:szCs w:val="20"/>
        </w:rPr>
      </w:pPr>
      <w:bookmarkStart w:id="366" w:name="_ENREF_131"/>
      <w:r w:rsidRPr="00610E48">
        <w:rPr>
          <w:rFonts w:ascii="Calibri" w:hAnsi="Calibri"/>
          <w:noProof/>
          <w:sz w:val="20"/>
          <w:szCs w:val="20"/>
        </w:rPr>
        <w:tab/>
        <w:t>(131)</w:t>
      </w:r>
      <w:r w:rsidRPr="00610E48">
        <w:rPr>
          <w:rFonts w:ascii="Calibri" w:hAnsi="Calibri"/>
          <w:noProof/>
          <w:sz w:val="20"/>
          <w:szCs w:val="20"/>
        </w:rPr>
        <w:tab/>
        <w:t xml:space="preserve">Kister, J.; Poyart, C.; Edelstein, S.: Oxygen-organophosphate linkage in hemoglobin A. The double hump effect. </w:t>
      </w:r>
      <w:r w:rsidRPr="00610E48">
        <w:rPr>
          <w:rFonts w:ascii="Calibri" w:hAnsi="Calibri"/>
          <w:i/>
          <w:noProof/>
          <w:sz w:val="20"/>
          <w:szCs w:val="20"/>
        </w:rPr>
        <w:t>Biophysical Journal,</w:t>
      </w:r>
      <w:r w:rsidRPr="00610E48">
        <w:rPr>
          <w:rFonts w:ascii="Calibri" w:hAnsi="Calibri"/>
          <w:noProof/>
          <w:sz w:val="20"/>
          <w:szCs w:val="20"/>
        </w:rPr>
        <w:t xml:space="preserve"> </w:t>
      </w:r>
      <w:r w:rsidRPr="00610E48">
        <w:rPr>
          <w:rFonts w:ascii="Calibri" w:hAnsi="Calibri"/>
          <w:b/>
          <w:noProof/>
          <w:sz w:val="20"/>
          <w:szCs w:val="20"/>
        </w:rPr>
        <w:t>1987</w:t>
      </w:r>
      <w:r w:rsidRPr="00610E48">
        <w:rPr>
          <w:rFonts w:ascii="Calibri" w:hAnsi="Calibri"/>
          <w:noProof/>
          <w:sz w:val="20"/>
          <w:szCs w:val="20"/>
        </w:rPr>
        <w:t xml:space="preserve">, </w:t>
      </w:r>
      <w:r w:rsidRPr="00610E48">
        <w:rPr>
          <w:rFonts w:ascii="Calibri" w:hAnsi="Calibri"/>
          <w:i/>
          <w:noProof/>
          <w:sz w:val="20"/>
          <w:szCs w:val="20"/>
        </w:rPr>
        <w:t>52</w:t>
      </w:r>
      <w:r w:rsidRPr="00610E48">
        <w:rPr>
          <w:rFonts w:ascii="Calibri" w:hAnsi="Calibri"/>
          <w:noProof/>
          <w:sz w:val="20"/>
          <w:szCs w:val="20"/>
        </w:rPr>
        <w:t>, 527.</w:t>
      </w:r>
      <w:bookmarkEnd w:id="366"/>
    </w:p>
    <w:p w:rsidR="00512D09" w:rsidRPr="00610E48" w:rsidRDefault="00512D09" w:rsidP="00512D09">
      <w:pPr>
        <w:spacing w:after="0" w:line="240" w:lineRule="auto"/>
        <w:rPr>
          <w:rFonts w:ascii="Calibri" w:hAnsi="Calibri"/>
          <w:noProof/>
          <w:sz w:val="20"/>
          <w:szCs w:val="20"/>
        </w:rPr>
      </w:pPr>
      <w:bookmarkStart w:id="367" w:name="_ENREF_132"/>
      <w:r w:rsidRPr="00610E48">
        <w:rPr>
          <w:rFonts w:ascii="Calibri" w:hAnsi="Calibri"/>
          <w:noProof/>
          <w:sz w:val="20"/>
          <w:szCs w:val="20"/>
        </w:rPr>
        <w:tab/>
        <w:t>(132)</w:t>
      </w:r>
      <w:r w:rsidRPr="00610E48">
        <w:rPr>
          <w:rFonts w:ascii="Calibri" w:hAnsi="Calibri"/>
          <w:noProof/>
          <w:sz w:val="20"/>
          <w:szCs w:val="20"/>
        </w:rPr>
        <w:tab/>
        <w:t xml:space="preserve">Berg, J. M.; Tymoczko, J. L.; Stryer, L.: Hemoglobin transports oxygen efficiently by binding oxygen cooperatively. In </w:t>
      </w:r>
      <w:r w:rsidRPr="00610E48">
        <w:rPr>
          <w:rFonts w:ascii="Calibri" w:hAnsi="Calibri"/>
          <w:i/>
          <w:noProof/>
          <w:sz w:val="20"/>
          <w:szCs w:val="20"/>
        </w:rPr>
        <w:t>Biochemistry</w:t>
      </w:r>
      <w:r w:rsidRPr="00610E48">
        <w:rPr>
          <w:rFonts w:ascii="Calibri" w:hAnsi="Calibri"/>
          <w:noProof/>
          <w:sz w:val="20"/>
          <w:szCs w:val="20"/>
        </w:rPr>
        <w:t>; 5th ed.; Freeman, 2002.</w:t>
      </w:r>
      <w:bookmarkEnd w:id="367"/>
    </w:p>
    <w:p w:rsidR="00512D09" w:rsidRPr="00610E48" w:rsidRDefault="00512D09" w:rsidP="00512D09">
      <w:pPr>
        <w:spacing w:after="0" w:line="240" w:lineRule="auto"/>
        <w:rPr>
          <w:rFonts w:ascii="Calibri" w:hAnsi="Calibri"/>
          <w:noProof/>
          <w:sz w:val="20"/>
          <w:szCs w:val="20"/>
        </w:rPr>
      </w:pPr>
      <w:bookmarkStart w:id="368" w:name="_ENREF_133"/>
      <w:r w:rsidRPr="00610E48">
        <w:rPr>
          <w:rFonts w:ascii="Calibri" w:hAnsi="Calibri"/>
          <w:noProof/>
          <w:sz w:val="20"/>
          <w:szCs w:val="20"/>
        </w:rPr>
        <w:tab/>
        <w:t>(133)</w:t>
      </w:r>
      <w:r w:rsidRPr="00610E48">
        <w:rPr>
          <w:rFonts w:ascii="Calibri" w:hAnsi="Calibri"/>
          <w:noProof/>
          <w:sz w:val="20"/>
          <w:szCs w:val="20"/>
        </w:rPr>
        <w:tab/>
        <w:t xml:space="preserve">Berg, J. M.; Tymoczko, J. L.; Stryer, L.: Aspartate Transcarbamoylase Is Allosterically Inhibited by the End Product of Its Pathway. In </w:t>
      </w:r>
      <w:r w:rsidRPr="00610E48">
        <w:rPr>
          <w:rFonts w:ascii="Calibri" w:hAnsi="Calibri"/>
          <w:i/>
          <w:noProof/>
          <w:sz w:val="20"/>
          <w:szCs w:val="20"/>
        </w:rPr>
        <w:t>Biochemistry</w:t>
      </w:r>
      <w:r w:rsidRPr="00610E48">
        <w:rPr>
          <w:rFonts w:ascii="Calibri" w:hAnsi="Calibri"/>
          <w:noProof/>
          <w:sz w:val="20"/>
          <w:szCs w:val="20"/>
        </w:rPr>
        <w:t>; 5th ed.; Freeman, 2002.</w:t>
      </w:r>
      <w:bookmarkEnd w:id="368"/>
    </w:p>
    <w:p w:rsidR="00512D09" w:rsidRPr="00610E48" w:rsidRDefault="00512D09" w:rsidP="00512D09">
      <w:pPr>
        <w:spacing w:after="0" w:line="240" w:lineRule="auto"/>
        <w:rPr>
          <w:rFonts w:ascii="Calibri" w:hAnsi="Calibri"/>
          <w:noProof/>
          <w:sz w:val="20"/>
          <w:szCs w:val="20"/>
        </w:rPr>
      </w:pPr>
      <w:bookmarkStart w:id="369" w:name="_ENREF_134"/>
      <w:r w:rsidRPr="00610E48">
        <w:rPr>
          <w:rFonts w:ascii="Calibri" w:hAnsi="Calibri"/>
          <w:noProof/>
          <w:sz w:val="20"/>
          <w:szCs w:val="20"/>
        </w:rPr>
        <w:tab/>
        <w:t>(134)</w:t>
      </w:r>
      <w:r w:rsidRPr="00610E48">
        <w:rPr>
          <w:rFonts w:ascii="Calibri" w:hAnsi="Calibri"/>
          <w:noProof/>
          <w:sz w:val="20"/>
          <w:szCs w:val="20"/>
        </w:rPr>
        <w:tab/>
        <w:t xml:space="preserve">Jencks, W. P.: On the attribution and additivity of binding energies.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1981</w:t>
      </w:r>
      <w:r w:rsidRPr="00610E48">
        <w:rPr>
          <w:rFonts w:ascii="Calibri" w:hAnsi="Calibri"/>
          <w:noProof/>
          <w:sz w:val="20"/>
          <w:szCs w:val="20"/>
        </w:rPr>
        <w:t xml:space="preserve">, </w:t>
      </w:r>
      <w:r w:rsidRPr="00610E48">
        <w:rPr>
          <w:rFonts w:ascii="Calibri" w:hAnsi="Calibri"/>
          <w:i/>
          <w:noProof/>
          <w:sz w:val="20"/>
          <w:szCs w:val="20"/>
        </w:rPr>
        <w:t>78</w:t>
      </w:r>
      <w:r w:rsidRPr="00610E48">
        <w:rPr>
          <w:rFonts w:ascii="Calibri" w:hAnsi="Calibri"/>
          <w:noProof/>
          <w:sz w:val="20"/>
          <w:szCs w:val="20"/>
        </w:rPr>
        <w:t>, 4046-4050.</w:t>
      </w:r>
      <w:bookmarkEnd w:id="369"/>
    </w:p>
    <w:p w:rsidR="00512D09" w:rsidRPr="00610E48" w:rsidRDefault="00512D09" w:rsidP="00512D09">
      <w:pPr>
        <w:spacing w:after="0" w:line="240" w:lineRule="auto"/>
        <w:rPr>
          <w:rFonts w:ascii="Calibri" w:hAnsi="Calibri"/>
          <w:noProof/>
          <w:sz w:val="20"/>
          <w:szCs w:val="20"/>
        </w:rPr>
      </w:pPr>
      <w:bookmarkStart w:id="370" w:name="_ENREF_135"/>
      <w:r w:rsidRPr="00610E48">
        <w:rPr>
          <w:rFonts w:ascii="Calibri" w:hAnsi="Calibri"/>
          <w:noProof/>
          <w:sz w:val="20"/>
          <w:szCs w:val="20"/>
        </w:rPr>
        <w:tab/>
        <w:t>(135)</w:t>
      </w:r>
      <w:r w:rsidRPr="00610E48">
        <w:rPr>
          <w:rFonts w:ascii="Calibri" w:hAnsi="Calibri"/>
          <w:noProof/>
          <w:sz w:val="20"/>
          <w:szCs w:val="20"/>
        </w:rPr>
        <w:tab/>
        <w:t xml:space="preserve">Hughes, A. D.; Anslyn, E. V.: A cationic host displaying positive cooperativity in water.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104</w:t>
      </w:r>
      <w:r w:rsidRPr="00610E48">
        <w:rPr>
          <w:rFonts w:ascii="Calibri" w:hAnsi="Calibri"/>
          <w:noProof/>
          <w:sz w:val="20"/>
          <w:szCs w:val="20"/>
        </w:rPr>
        <w:t>, 6538-6543.</w:t>
      </w:r>
      <w:bookmarkEnd w:id="370"/>
    </w:p>
    <w:p w:rsidR="00512D09" w:rsidRPr="00610E48" w:rsidRDefault="00512D09" w:rsidP="00512D09">
      <w:pPr>
        <w:spacing w:after="0" w:line="240" w:lineRule="auto"/>
        <w:rPr>
          <w:rFonts w:ascii="Calibri" w:hAnsi="Calibri"/>
          <w:noProof/>
          <w:sz w:val="20"/>
          <w:szCs w:val="20"/>
        </w:rPr>
      </w:pPr>
      <w:bookmarkStart w:id="371" w:name="_ENREF_136"/>
      <w:r w:rsidRPr="00610E48">
        <w:rPr>
          <w:rFonts w:ascii="Calibri" w:hAnsi="Calibri"/>
          <w:noProof/>
          <w:sz w:val="20"/>
          <w:szCs w:val="20"/>
        </w:rPr>
        <w:tab/>
        <w:t>(136)</w:t>
      </w:r>
      <w:r w:rsidRPr="00610E48">
        <w:rPr>
          <w:rFonts w:ascii="Calibri" w:hAnsi="Calibri"/>
          <w:noProof/>
          <w:sz w:val="20"/>
          <w:szCs w:val="20"/>
        </w:rPr>
        <w:tab/>
        <w:t xml:space="preserve">Zhang, B.; Breslow, R.: Enthalpic domination of the chelate effect in cyclodextrin dimers.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1993</w:t>
      </w:r>
      <w:r w:rsidRPr="00610E48">
        <w:rPr>
          <w:rFonts w:ascii="Calibri" w:hAnsi="Calibri"/>
          <w:noProof/>
          <w:sz w:val="20"/>
          <w:szCs w:val="20"/>
        </w:rPr>
        <w:t xml:space="preserve">, </w:t>
      </w:r>
      <w:r w:rsidRPr="00610E48">
        <w:rPr>
          <w:rFonts w:ascii="Calibri" w:hAnsi="Calibri"/>
          <w:i/>
          <w:noProof/>
          <w:sz w:val="20"/>
          <w:szCs w:val="20"/>
        </w:rPr>
        <w:t>115</w:t>
      </w:r>
      <w:r w:rsidRPr="00610E48">
        <w:rPr>
          <w:rFonts w:ascii="Calibri" w:hAnsi="Calibri"/>
          <w:noProof/>
          <w:sz w:val="20"/>
          <w:szCs w:val="20"/>
        </w:rPr>
        <w:t>, 9353-9354.</w:t>
      </w:r>
      <w:bookmarkEnd w:id="371"/>
    </w:p>
    <w:p w:rsidR="00512D09" w:rsidRPr="00610E48" w:rsidRDefault="00512D09" w:rsidP="00512D09">
      <w:pPr>
        <w:spacing w:after="0" w:line="240" w:lineRule="auto"/>
        <w:rPr>
          <w:rFonts w:ascii="Calibri" w:hAnsi="Calibri"/>
          <w:noProof/>
          <w:sz w:val="20"/>
          <w:szCs w:val="20"/>
        </w:rPr>
      </w:pPr>
      <w:bookmarkStart w:id="372" w:name="_ENREF_137"/>
      <w:r w:rsidRPr="00610E48">
        <w:rPr>
          <w:rFonts w:ascii="Calibri" w:hAnsi="Calibri"/>
          <w:noProof/>
          <w:sz w:val="20"/>
          <w:szCs w:val="20"/>
        </w:rPr>
        <w:tab/>
        <w:t>(137)</w:t>
      </w:r>
      <w:r w:rsidRPr="00610E48">
        <w:rPr>
          <w:rFonts w:ascii="Calibri" w:hAnsi="Calibri"/>
          <w:noProof/>
          <w:sz w:val="20"/>
          <w:szCs w:val="20"/>
        </w:rPr>
        <w:tab/>
        <w:t xml:space="preserve">Tobey, S. L.; Anslyn, E. V.: Studies into the Thermodynamic Origin of Negative Cooperativity in Ion-Pairing Molecular Recognition.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125</w:t>
      </w:r>
      <w:r w:rsidRPr="00610E48">
        <w:rPr>
          <w:rFonts w:ascii="Calibri" w:hAnsi="Calibri"/>
          <w:noProof/>
          <w:sz w:val="20"/>
          <w:szCs w:val="20"/>
        </w:rPr>
        <w:t>, 10963-10970.</w:t>
      </w:r>
      <w:bookmarkEnd w:id="372"/>
    </w:p>
    <w:p w:rsidR="00512D09" w:rsidRPr="00610E48" w:rsidRDefault="00512D09" w:rsidP="00512D09">
      <w:pPr>
        <w:spacing w:after="0" w:line="240" w:lineRule="auto"/>
        <w:rPr>
          <w:rFonts w:ascii="Calibri" w:hAnsi="Calibri"/>
          <w:noProof/>
          <w:sz w:val="20"/>
          <w:szCs w:val="20"/>
        </w:rPr>
      </w:pPr>
      <w:bookmarkStart w:id="373" w:name="_ENREF_138"/>
      <w:r w:rsidRPr="00610E48">
        <w:rPr>
          <w:rFonts w:ascii="Calibri" w:hAnsi="Calibri"/>
          <w:noProof/>
          <w:sz w:val="20"/>
          <w:szCs w:val="20"/>
        </w:rPr>
        <w:tab/>
        <w:t>(138)</w:t>
      </w:r>
      <w:r w:rsidRPr="00610E48">
        <w:rPr>
          <w:rFonts w:ascii="Calibri" w:hAnsi="Calibri"/>
          <w:noProof/>
          <w:sz w:val="20"/>
          <w:szCs w:val="20"/>
        </w:rPr>
        <w:tab/>
        <w:t xml:space="preserve">Krishnamurthy, V. M.; Estroff, L. A.; Whitesides, G. M.: Multivalency in Ligand Design. In </w:t>
      </w:r>
      <w:r w:rsidRPr="00610E48">
        <w:rPr>
          <w:rFonts w:ascii="Calibri" w:hAnsi="Calibri"/>
          <w:i/>
          <w:noProof/>
          <w:sz w:val="20"/>
          <w:szCs w:val="20"/>
        </w:rPr>
        <w:t>Fragment-based Approaches in Drug Discovery</w:t>
      </w:r>
      <w:r w:rsidRPr="00610E48">
        <w:rPr>
          <w:rFonts w:ascii="Calibri" w:hAnsi="Calibri"/>
          <w:noProof/>
          <w:sz w:val="20"/>
          <w:szCs w:val="20"/>
        </w:rPr>
        <w:t>; Wiley-VCH Verlag GmbH &amp; Co. KGaA, 2006; pp 11-53.</w:t>
      </w:r>
      <w:bookmarkEnd w:id="373"/>
    </w:p>
    <w:p w:rsidR="00512D09" w:rsidRPr="00610E48" w:rsidRDefault="00512D09" w:rsidP="00512D09">
      <w:pPr>
        <w:spacing w:after="0" w:line="240" w:lineRule="auto"/>
        <w:rPr>
          <w:rFonts w:ascii="Calibri" w:hAnsi="Calibri"/>
          <w:noProof/>
          <w:sz w:val="20"/>
          <w:szCs w:val="20"/>
        </w:rPr>
      </w:pPr>
      <w:bookmarkStart w:id="374" w:name="_ENREF_139"/>
      <w:r w:rsidRPr="00610E48">
        <w:rPr>
          <w:rFonts w:ascii="Calibri" w:hAnsi="Calibri"/>
          <w:noProof/>
          <w:sz w:val="20"/>
          <w:szCs w:val="20"/>
        </w:rPr>
        <w:tab/>
        <w:t>(139)</w:t>
      </w:r>
      <w:r w:rsidRPr="00610E48">
        <w:rPr>
          <w:rFonts w:ascii="Calibri" w:hAnsi="Calibri"/>
          <w:noProof/>
          <w:sz w:val="20"/>
          <w:szCs w:val="20"/>
        </w:rPr>
        <w:tab/>
        <w:t xml:space="preserve">Fisher, H. F.; Tally, J.: Isoergonic Cooperativity in Glutamate Dehydrogenase Complexes:  A New Form of Allostery.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1997</w:t>
      </w:r>
      <w:r w:rsidRPr="00610E48">
        <w:rPr>
          <w:rFonts w:ascii="Calibri" w:hAnsi="Calibri"/>
          <w:noProof/>
          <w:sz w:val="20"/>
          <w:szCs w:val="20"/>
        </w:rPr>
        <w:t xml:space="preserve">, </w:t>
      </w:r>
      <w:r w:rsidRPr="00610E48">
        <w:rPr>
          <w:rFonts w:ascii="Calibri" w:hAnsi="Calibri"/>
          <w:i/>
          <w:noProof/>
          <w:sz w:val="20"/>
          <w:szCs w:val="20"/>
        </w:rPr>
        <w:t>36</w:t>
      </w:r>
      <w:r w:rsidRPr="00610E48">
        <w:rPr>
          <w:rFonts w:ascii="Calibri" w:hAnsi="Calibri"/>
          <w:noProof/>
          <w:sz w:val="20"/>
          <w:szCs w:val="20"/>
        </w:rPr>
        <w:t>, 10807-10810.</w:t>
      </w:r>
      <w:bookmarkEnd w:id="374"/>
    </w:p>
    <w:p w:rsidR="00512D09" w:rsidRPr="00610E48" w:rsidRDefault="00512D09" w:rsidP="00512D09">
      <w:pPr>
        <w:spacing w:after="0" w:line="240" w:lineRule="auto"/>
        <w:rPr>
          <w:rFonts w:ascii="Calibri" w:hAnsi="Calibri"/>
          <w:noProof/>
          <w:sz w:val="20"/>
          <w:szCs w:val="20"/>
        </w:rPr>
      </w:pPr>
      <w:bookmarkStart w:id="375" w:name="_ENREF_140"/>
      <w:r w:rsidRPr="00610E48">
        <w:rPr>
          <w:rFonts w:ascii="Calibri" w:hAnsi="Calibri"/>
          <w:noProof/>
          <w:sz w:val="20"/>
          <w:szCs w:val="20"/>
        </w:rPr>
        <w:tab/>
        <w:t>(140)</w:t>
      </w:r>
      <w:r w:rsidRPr="00610E48">
        <w:rPr>
          <w:rFonts w:ascii="Calibri" w:hAnsi="Calibri"/>
          <w:noProof/>
          <w:sz w:val="20"/>
          <w:szCs w:val="20"/>
        </w:rPr>
        <w:tab/>
        <w:t xml:space="preserve">Goins, B.; Freire, E.: Thermal stability and intersubunit interactions of cholera toxin in solution and in association with its cell-surface receptor ganglioside GM1.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1988</w:t>
      </w:r>
      <w:r w:rsidRPr="00610E48">
        <w:rPr>
          <w:rFonts w:ascii="Calibri" w:hAnsi="Calibri"/>
          <w:noProof/>
          <w:sz w:val="20"/>
          <w:szCs w:val="20"/>
        </w:rPr>
        <w:t xml:space="preserve">, </w:t>
      </w:r>
      <w:r w:rsidRPr="00610E48">
        <w:rPr>
          <w:rFonts w:ascii="Calibri" w:hAnsi="Calibri"/>
          <w:i/>
          <w:noProof/>
          <w:sz w:val="20"/>
          <w:szCs w:val="20"/>
        </w:rPr>
        <w:t>27</w:t>
      </w:r>
      <w:r w:rsidRPr="00610E48">
        <w:rPr>
          <w:rFonts w:ascii="Calibri" w:hAnsi="Calibri"/>
          <w:noProof/>
          <w:sz w:val="20"/>
          <w:szCs w:val="20"/>
        </w:rPr>
        <w:t>, 2046-2052.</w:t>
      </w:r>
      <w:bookmarkEnd w:id="375"/>
    </w:p>
    <w:p w:rsidR="00512D09" w:rsidRPr="00610E48" w:rsidRDefault="00512D09" w:rsidP="00512D09">
      <w:pPr>
        <w:spacing w:after="0" w:line="240" w:lineRule="auto"/>
        <w:rPr>
          <w:rFonts w:ascii="Calibri" w:hAnsi="Calibri"/>
          <w:noProof/>
          <w:sz w:val="20"/>
          <w:szCs w:val="20"/>
        </w:rPr>
      </w:pPr>
      <w:bookmarkStart w:id="376" w:name="_ENREF_141"/>
      <w:r w:rsidRPr="00610E48">
        <w:rPr>
          <w:rFonts w:ascii="Calibri" w:hAnsi="Calibri"/>
          <w:noProof/>
          <w:sz w:val="20"/>
          <w:szCs w:val="20"/>
        </w:rPr>
        <w:tab/>
        <w:t>(141)</w:t>
      </w:r>
      <w:r w:rsidRPr="00610E48">
        <w:rPr>
          <w:rFonts w:ascii="Calibri" w:hAnsi="Calibri"/>
          <w:noProof/>
          <w:sz w:val="20"/>
          <w:szCs w:val="20"/>
        </w:rPr>
        <w:tab/>
        <w:t xml:space="preserve">Schoen, A.; Freire, E.: Thermodynamics of intersubunit interactions in cholera toxin upon binding to the oligosaccharide portion of its cell surface receptor, ganglioside GM1.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1989</w:t>
      </w:r>
      <w:r w:rsidRPr="00610E48">
        <w:rPr>
          <w:rFonts w:ascii="Calibri" w:hAnsi="Calibri"/>
          <w:noProof/>
          <w:sz w:val="20"/>
          <w:szCs w:val="20"/>
        </w:rPr>
        <w:t xml:space="preserve">, </w:t>
      </w:r>
      <w:r w:rsidRPr="00610E48">
        <w:rPr>
          <w:rFonts w:ascii="Calibri" w:hAnsi="Calibri"/>
          <w:i/>
          <w:noProof/>
          <w:sz w:val="20"/>
          <w:szCs w:val="20"/>
        </w:rPr>
        <w:t>28</w:t>
      </w:r>
      <w:r w:rsidRPr="00610E48">
        <w:rPr>
          <w:rFonts w:ascii="Calibri" w:hAnsi="Calibri"/>
          <w:noProof/>
          <w:sz w:val="20"/>
          <w:szCs w:val="20"/>
        </w:rPr>
        <w:t>, 5019-5024.</w:t>
      </w:r>
      <w:bookmarkEnd w:id="376"/>
    </w:p>
    <w:p w:rsidR="00512D09" w:rsidRPr="00610E48" w:rsidRDefault="00512D09" w:rsidP="00512D09">
      <w:pPr>
        <w:spacing w:after="0" w:line="240" w:lineRule="auto"/>
        <w:rPr>
          <w:rFonts w:ascii="Calibri" w:hAnsi="Calibri"/>
          <w:noProof/>
          <w:sz w:val="20"/>
          <w:szCs w:val="20"/>
        </w:rPr>
      </w:pPr>
      <w:bookmarkStart w:id="377" w:name="_ENREF_142"/>
      <w:r w:rsidRPr="00610E48">
        <w:rPr>
          <w:rFonts w:ascii="Calibri" w:hAnsi="Calibri"/>
          <w:noProof/>
          <w:sz w:val="20"/>
          <w:szCs w:val="20"/>
        </w:rPr>
        <w:tab/>
        <w:t>(142)</w:t>
      </w:r>
      <w:r w:rsidRPr="00610E48">
        <w:rPr>
          <w:rFonts w:ascii="Calibri" w:hAnsi="Calibri"/>
          <w:noProof/>
          <w:sz w:val="20"/>
          <w:szCs w:val="20"/>
        </w:rPr>
        <w:tab/>
        <w:t xml:space="preserve">Hu, H.-Y.; Li, Q.; Cheng, H.-C.; Du, H.-N.: β-Sheet structure formation of proteins in solid state as revealed by circular dichroism spectroscopy. </w:t>
      </w:r>
      <w:r w:rsidRPr="00610E48">
        <w:rPr>
          <w:rFonts w:ascii="Calibri" w:hAnsi="Calibri"/>
          <w:i/>
          <w:noProof/>
          <w:sz w:val="20"/>
          <w:szCs w:val="20"/>
        </w:rPr>
        <w:t>Biopolymers,</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62</w:t>
      </w:r>
      <w:r w:rsidRPr="00610E48">
        <w:rPr>
          <w:rFonts w:ascii="Calibri" w:hAnsi="Calibri"/>
          <w:noProof/>
          <w:sz w:val="20"/>
          <w:szCs w:val="20"/>
        </w:rPr>
        <w:t>, 15-21.</w:t>
      </w:r>
      <w:bookmarkEnd w:id="377"/>
    </w:p>
    <w:p w:rsidR="00512D09" w:rsidRPr="00610E48" w:rsidRDefault="00512D09" w:rsidP="00512D09">
      <w:pPr>
        <w:spacing w:after="0" w:line="240" w:lineRule="auto"/>
        <w:rPr>
          <w:rFonts w:ascii="Calibri" w:hAnsi="Calibri"/>
          <w:noProof/>
          <w:sz w:val="20"/>
          <w:szCs w:val="20"/>
        </w:rPr>
      </w:pPr>
      <w:bookmarkStart w:id="378" w:name="_ENREF_143"/>
      <w:r w:rsidRPr="00610E48">
        <w:rPr>
          <w:rFonts w:ascii="Calibri" w:hAnsi="Calibri"/>
          <w:noProof/>
          <w:sz w:val="20"/>
          <w:szCs w:val="20"/>
        </w:rPr>
        <w:tab/>
        <w:t>(143)</w:t>
      </w:r>
      <w:r w:rsidRPr="00610E48">
        <w:rPr>
          <w:rFonts w:ascii="Calibri" w:hAnsi="Calibri"/>
          <w:noProof/>
          <w:sz w:val="20"/>
          <w:szCs w:val="20"/>
        </w:rPr>
        <w:tab/>
        <w:t xml:space="preserve">Taschner, N.; Muller, S. A.; Alumella, V. R.; Goldie, K. N.; Drake, A. F.; Aebi, U.; Arvinte, T.: Modulation of antigenicity related to changes in antibody flexibility upon lyophilization.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310</w:t>
      </w:r>
      <w:r w:rsidRPr="00610E48">
        <w:rPr>
          <w:rFonts w:ascii="Calibri" w:hAnsi="Calibri"/>
          <w:noProof/>
          <w:sz w:val="20"/>
          <w:szCs w:val="20"/>
        </w:rPr>
        <w:t>, 169-79.</w:t>
      </w:r>
      <w:bookmarkEnd w:id="378"/>
    </w:p>
    <w:p w:rsidR="00512D09" w:rsidRPr="00610E48" w:rsidRDefault="00512D09" w:rsidP="00512D09">
      <w:pPr>
        <w:spacing w:after="0" w:line="240" w:lineRule="auto"/>
        <w:rPr>
          <w:rFonts w:ascii="Calibri" w:hAnsi="Calibri"/>
          <w:noProof/>
          <w:sz w:val="20"/>
          <w:szCs w:val="20"/>
        </w:rPr>
      </w:pPr>
      <w:bookmarkStart w:id="379" w:name="_ENREF_144"/>
      <w:r w:rsidRPr="00610E48">
        <w:rPr>
          <w:rFonts w:ascii="Calibri" w:hAnsi="Calibri"/>
          <w:noProof/>
          <w:sz w:val="20"/>
          <w:szCs w:val="20"/>
        </w:rPr>
        <w:tab/>
        <w:t>(144)</w:t>
      </w:r>
      <w:r w:rsidRPr="00610E48">
        <w:rPr>
          <w:rFonts w:ascii="Calibri" w:hAnsi="Calibri"/>
          <w:noProof/>
          <w:sz w:val="20"/>
          <w:szCs w:val="20"/>
        </w:rPr>
        <w:tab/>
        <w:t xml:space="preserve">Poncet-Legrand, C.; Gautier, C.; Cheynier, V.; Imberty, A.: Interactions between flavan-3-ols and poly (L-proline) studied by isothermal titration calorimetry: effect of the tannin structure.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55</w:t>
      </w:r>
      <w:r w:rsidRPr="00610E48">
        <w:rPr>
          <w:rFonts w:ascii="Calibri" w:hAnsi="Calibri"/>
          <w:noProof/>
          <w:sz w:val="20"/>
          <w:szCs w:val="20"/>
        </w:rPr>
        <w:t>, 9235-9240.</w:t>
      </w:r>
      <w:bookmarkEnd w:id="379"/>
    </w:p>
    <w:p w:rsidR="00512D09" w:rsidRPr="00610E48" w:rsidRDefault="00512D09" w:rsidP="00512D09">
      <w:pPr>
        <w:spacing w:after="0" w:line="240" w:lineRule="auto"/>
        <w:rPr>
          <w:rFonts w:ascii="Calibri" w:hAnsi="Calibri"/>
          <w:noProof/>
          <w:sz w:val="20"/>
          <w:szCs w:val="20"/>
        </w:rPr>
      </w:pPr>
      <w:bookmarkStart w:id="380" w:name="_ENREF_145"/>
      <w:r w:rsidRPr="00610E48">
        <w:rPr>
          <w:rFonts w:ascii="Calibri" w:hAnsi="Calibri"/>
          <w:noProof/>
          <w:sz w:val="20"/>
          <w:szCs w:val="20"/>
        </w:rPr>
        <w:tab/>
        <w:t>(145)</w:t>
      </w:r>
      <w:r w:rsidRPr="00610E48">
        <w:rPr>
          <w:rFonts w:ascii="Calibri" w:hAnsi="Calibri"/>
          <w:noProof/>
          <w:sz w:val="20"/>
          <w:szCs w:val="20"/>
        </w:rPr>
        <w:tab/>
        <w:t xml:space="preserve">Prigent, S. V. E.; Voragen, A. G. J.; van Koningsveld, G. A.; Baron, A.; Renard, C. M. G. C.; Gruppen, H.: Interactions between globular proteins and procyanidins of different degrees of polymerization. </w:t>
      </w:r>
      <w:r w:rsidRPr="00610E48">
        <w:rPr>
          <w:rFonts w:ascii="Calibri" w:hAnsi="Calibri"/>
          <w:i/>
          <w:noProof/>
          <w:sz w:val="20"/>
          <w:szCs w:val="20"/>
        </w:rPr>
        <w:t>Journal of Dairy Science,</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 xml:space="preserve">, </w:t>
      </w:r>
      <w:r w:rsidRPr="00610E48">
        <w:rPr>
          <w:rFonts w:ascii="Calibri" w:hAnsi="Calibri"/>
          <w:i/>
          <w:noProof/>
          <w:sz w:val="20"/>
          <w:szCs w:val="20"/>
        </w:rPr>
        <w:t>92</w:t>
      </w:r>
      <w:r w:rsidRPr="00610E48">
        <w:rPr>
          <w:rFonts w:ascii="Calibri" w:hAnsi="Calibri"/>
          <w:noProof/>
          <w:sz w:val="20"/>
          <w:szCs w:val="20"/>
        </w:rPr>
        <w:t>, 5843-5853.</w:t>
      </w:r>
      <w:bookmarkEnd w:id="380"/>
    </w:p>
    <w:p w:rsidR="00512D09" w:rsidRPr="00610E48" w:rsidRDefault="00512D09" w:rsidP="00512D09">
      <w:pPr>
        <w:spacing w:after="0" w:line="240" w:lineRule="auto"/>
        <w:rPr>
          <w:rFonts w:ascii="Calibri" w:hAnsi="Calibri"/>
          <w:noProof/>
          <w:sz w:val="20"/>
          <w:szCs w:val="20"/>
        </w:rPr>
      </w:pPr>
      <w:bookmarkStart w:id="381" w:name="_ENREF_146"/>
      <w:r w:rsidRPr="00610E48">
        <w:rPr>
          <w:rFonts w:ascii="Calibri" w:hAnsi="Calibri"/>
          <w:noProof/>
          <w:sz w:val="20"/>
          <w:szCs w:val="20"/>
        </w:rPr>
        <w:tab/>
        <w:t>(146)</w:t>
      </w:r>
      <w:r w:rsidRPr="00610E48">
        <w:rPr>
          <w:rFonts w:ascii="Calibri" w:hAnsi="Calibri"/>
          <w:noProof/>
          <w:sz w:val="20"/>
          <w:szCs w:val="20"/>
        </w:rPr>
        <w:tab/>
        <w:t xml:space="preserve">Frazier, R. A.; Papadopoulou, A.; Mueller-Harvey, I.; Kissoon, D.; Green, R. J.: Probing Protein−Tannin Interactions by Isothermal Titration Microcalorimetry.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51</w:t>
      </w:r>
      <w:r w:rsidRPr="00610E48">
        <w:rPr>
          <w:rFonts w:ascii="Calibri" w:hAnsi="Calibri"/>
          <w:noProof/>
          <w:sz w:val="20"/>
          <w:szCs w:val="20"/>
        </w:rPr>
        <w:t>, 5189-5195.</w:t>
      </w:r>
      <w:bookmarkEnd w:id="381"/>
    </w:p>
    <w:p w:rsidR="00512D09" w:rsidRPr="00610E48" w:rsidRDefault="00512D09" w:rsidP="00512D09">
      <w:pPr>
        <w:spacing w:after="0" w:line="240" w:lineRule="auto"/>
        <w:rPr>
          <w:rFonts w:ascii="Calibri" w:hAnsi="Calibri"/>
          <w:noProof/>
          <w:sz w:val="20"/>
          <w:szCs w:val="20"/>
        </w:rPr>
      </w:pPr>
      <w:bookmarkStart w:id="382" w:name="_ENREF_147"/>
      <w:r w:rsidRPr="00610E48">
        <w:rPr>
          <w:rFonts w:ascii="Calibri" w:hAnsi="Calibri"/>
          <w:noProof/>
          <w:sz w:val="20"/>
          <w:szCs w:val="20"/>
        </w:rPr>
        <w:tab/>
        <w:t>(147)</w:t>
      </w:r>
      <w:r w:rsidRPr="00610E48">
        <w:rPr>
          <w:rFonts w:ascii="Calibri" w:hAnsi="Calibri"/>
          <w:noProof/>
          <w:sz w:val="20"/>
          <w:szCs w:val="20"/>
        </w:rPr>
        <w:tab/>
        <w:t xml:space="preserve">Pascal, C.; Poncet-Legrand, C.; Imberty, A.; Gautier, C.; Sarni-Manchado, P.; Cheynier, V.; Vernhet, A.: Interactions between a Non Glycosylated Human Proline-Rich Protein and Flavan-3-ols Are Affected by Protein Concentration and Polyphenol/Protein Ratio.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55</w:t>
      </w:r>
      <w:r w:rsidRPr="00610E48">
        <w:rPr>
          <w:rFonts w:ascii="Calibri" w:hAnsi="Calibri"/>
          <w:noProof/>
          <w:sz w:val="20"/>
          <w:szCs w:val="20"/>
        </w:rPr>
        <w:t>, 4895-4901.</w:t>
      </w:r>
      <w:bookmarkEnd w:id="382"/>
    </w:p>
    <w:p w:rsidR="00512D09" w:rsidRPr="00610E48" w:rsidRDefault="00512D09" w:rsidP="00512D09">
      <w:pPr>
        <w:spacing w:after="0" w:line="240" w:lineRule="auto"/>
        <w:rPr>
          <w:rFonts w:ascii="Calibri" w:hAnsi="Calibri"/>
          <w:noProof/>
          <w:sz w:val="20"/>
          <w:szCs w:val="20"/>
        </w:rPr>
      </w:pPr>
      <w:bookmarkStart w:id="383" w:name="_ENREF_148"/>
      <w:r w:rsidRPr="00610E48">
        <w:rPr>
          <w:rFonts w:ascii="Calibri" w:hAnsi="Calibri"/>
          <w:noProof/>
          <w:sz w:val="20"/>
          <w:szCs w:val="20"/>
        </w:rPr>
        <w:tab/>
        <w:t>(148)</w:t>
      </w:r>
      <w:r w:rsidRPr="00610E48">
        <w:rPr>
          <w:rFonts w:ascii="Calibri" w:hAnsi="Calibri"/>
          <w:noProof/>
          <w:sz w:val="20"/>
          <w:szCs w:val="20"/>
        </w:rPr>
        <w:tab/>
        <w:t xml:space="preserve">Charlton, A. J.; Baxter, N. J.; Khan, M. L.; Moir, A. J.; Haslam, E.; Davies, A. P.; Williamson, M. P.: Polyphenol/peptide binding and precipitation.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50</w:t>
      </w:r>
      <w:r w:rsidRPr="00610E48">
        <w:rPr>
          <w:rFonts w:ascii="Calibri" w:hAnsi="Calibri"/>
          <w:noProof/>
          <w:sz w:val="20"/>
          <w:szCs w:val="20"/>
        </w:rPr>
        <w:t>, 1593-1601.</w:t>
      </w:r>
      <w:bookmarkEnd w:id="383"/>
    </w:p>
    <w:p w:rsidR="00512D09" w:rsidRPr="00610E48" w:rsidRDefault="00512D09" w:rsidP="00512D09">
      <w:pPr>
        <w:spacing w:after="0" w:line="240" w:lineRule="auto"/>
        <w:rPr>
          <w:rFonts w:ascii="Calibri" w:hAnsi="Calibri"/>
          <w:noProof/>
          <w:sz w:val="20"/>
          <w:szCs w:val="20"/>
        </w:rPr>
      </w:pPr>
      <w:bookmarkStart w:id="384" w:name="_ENREF_149"/>
      <w:r w:rsidRPr="00610E48">
        <w:rPr>
          <w:rFonts w:ascii="Calibri" w:hAnsi="Calibri"/>
          <w:noProof/>
          <w:sz w:val="20"/>
          <w:szCs w:val="20"/>
        </w:rPr>
        <w:tab/>
        <w:t>(149)</w:t>
      </w:r>
      <w:r w:rsidRPr="00610E48">
        <w:rPr>
          <w:rFonts w:ascii="Calibri" w:hAnsi="Calibri"/>
          <w:noProof/>
          <w:sz w:val="20"/>
          <w:szCs w:val="20"/>
        </w:rPr>
        <w:tab/>
        <w:t xml:space="preserve">Téllez‐Sanz, R.; Cesareo, E.; Nuccetelli, M.; Aguilera, A. M.; Barón, C.; Parker, L. J.; Adams, J. J.; Morton, C. J.; Lo Bello, M.; Parker, M. W.: Calorimetric and structural studies of the nitric oxide carrier S‐nitrosoglutathione bound to human glutathione transferase P1‐1. </w:t>
      </w:r>
      <w:r w:rsidRPr="00610E48">
        <w:rPr>
          <w:rFonts w:ascii="Calibri" w:hAnsi="Calibri"/>
          <w:i/>
          <w:noProof/>
          <w:sz w:val="20"/>
          <w:szCs w:val="20"/>
        </w:rPr>
        <w:t>Protein Science,</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15</w:t>
      </w:r>
      <w:r w:rsidRPr="00610E48">
        <w:rPr>
          <w:rFonts w:ascii="Calibri" w:hAnsi="Calibri"/>
          <w:noProof/>
          <w:sz w:val="20"/>
          <w:szCs w:val="20"/>
        </w:rPr>
        <w:t>, 1093-1105.</w:t>
      </w:r>
      <w:bookmarkEnd w:id="384"/>
    </w:p>
    <w:p w:rsidR="00512D09" w:rsidRPr="00610E48" w:rsidRDefault="00512D09" w:rsidP="00512D09">
      <w:pPr>
        <w:spacing w:after="0" w:line="240" w:lineRule="auto"/>
        <w:rPr>
          <w:rFonts w:ascii="Calibri" w:hAnsi="Calibri"/>
          <w:noProof/>
          <w:sz w:val="20"/>
          <w:szCs w:val="20"/>
        </w:rPr>
      </w:pPr>
      <w:bookmarkStart w:id="385" w:name="_ENREF_150"/>
      <w:r w:rsidRPr="00610E48">
        <w:rPr>
          <w:rFonts w:ascii="Calibri" w:hAnsi="Calibri"/>
          <w:noProof/>
          <w:sz w:val="20"/>
          <w:szCs w:val="20"/>
        </w:rPr>
        <w:lastRenderedPageBreak/>
        <w:tab/>
        <w:t>(150)</w:t>
      </w:r>
      <w:r w:rsidRPr="00610E48">
        <w:rPr>
          <w:rFonts w:ascii="Calibri" w:hAnsi="Calibri"/>
          <w:noProof/>
          <w:sz w:val="20"/>
          <w:szCs w:val="20"/>
        </w:rPr>
        <w:tab/>
        <w:t xml:space="preserve">García-Fuentes, L.; Barón, C.; Quesada-Soriano, I.; Ramiro; Téllez-Sanz: Thermodynamics of Molecular Recognition by Calorimetry. In </w:t>
      </w:r>
      <w:r w:rsidRPr="00610E48">
        <w:rPr>
          <w:rFonts w:ascii="Calibri" w:hAnsi="Calibri"/>
          <w:i/>
          <w:noProof/>
          <w:sz w:val="20"/>
          <w:szCs w:val="20"/>
        </w:rPr>
        <w:t>Thermodynamics - Physical Chemistry of Aqueous Systems</w:t>
      </w:r>
      <w:r w:rsidRPr="00610E48">
        <w:rPr>
          <w:rFonts w:ascii="Calibri" w:hAnsi="Calibri"/>
          <w:noProof/>
          <w:sz w:val="20"/>
          <w:szCs w:val="20"/>
        </w:rPr>
        <w:t>; Juan, P., Ed.; INTECH Open Access Publisher, 2011; pp 1-26.</w:t>
      </w:r>
      <w:bookmarkEnd w:id="385"/>
    </w:p>
    <w:p w:rsidR="00512D09" w:rsidRPr="00610E48" w:rsidRDefault="00512D09" w:rsidP="00512D09">
      <w:pPr>
        <w:spacing w:after="0" w:line="240" w:lineRule="auto"/>
        <w:rPr>
          <w:rFonts w:ascii="Calibri" w:hAnsi="Calibri"/>
          <w:noProof/>
          <w:sz w:val="20"/>
          <w:szCs w:val="20"/>
        </w:rPr>
      </w:pPr>
      <w:bookmarkStart w:id="386" w:name="_ENREF_151"/>
      <w:r w:rsidRPr="00610E48">
        <w:rPr>
          <w:rFonts w:ascii="Calibri" w:hAnsi="Calibri"/>
          <w:noProof/>
          <w:sz w:val="20"/>
          <w:szCs w:val="20"/>
        </w:rPr>
        <w:tab/>
        <w:t>(151)</w:t>
      </w:r>
      <w:r w:rsidRPr="00610E48">
        <w:rPr>
          <w:rFonts w:ascii="Calibri" w:hAnsi="Calibri"/>
          <w:noProof/>
          <w:sz w:val="20"/>
          <w:szCs w:val="20"/>
        </w:rPr>
        <w:tab/>
        <w:t xml:space="preserve">Pelton, J. T.; McLean, L. R.: Spectroscopic methods for analysis of protein secondary structure. </w:t>
      </w:r>
      <w:r w:rsidRPr="00610E48">
        <w:rPr>
          <w:rFonts w:ascii="Calibri" w:hAnsi="Calibri"/>
          <w:i/>
          <w:noProof/>
          <w:sz w:val="20"/>
          <w:szCs w:val="20"/>
        </w:rPr>
        <w:t>Analytical biochemistry,</w:t>
      </w:r>
      <w:r w:rsidRPr="00610E48">
        <w:rPr>
          <w:rFonts w:ascii="Calibri" w:hAnsi="Calibri"/>
          <w:noProof/>
          <w:sz w:val="20"/>
          <w:szCs w:val="20"/>
        </w:rPr>
        <w:t xml:space="preserve"> </w:t>
      </w:r>
      <w:r w:rsidRPr="00610E48">
        <w:rPr>
          <w:rFonts w:ascii="Calibri" w:hAnsi="Calibri"/>
          <w:b/>
          <w:noProof/>
          <w:sz w:val="20"/>
          <w:szCs w:val="20"/>
        </w:rPr>
        <w:t>2000</w:t>
      </w:r>
      <w:r w:rsidRPr="00610E48">
        <w:rPr>
          <w:rFonts w:ascii="Calibri" w:hAnsi="Calibri"/>
          <w:noProof/>
          <w:sz w:val="20"/>
          <w:szCs w:val="20"/>
        </w:rPr>
        <w:t xml:space="preserve">, </w:t>
      </w:r>
      <w:r w:rsidRPr="00610E48">
        <w:rPr>
          <w:rFonts w:ascii="Calibri" w:hAnsi="Calibri"/>
          <w:i/>
          <w:noProof/>
          <w:sz w:val="20"/>
          <w:szCs w:val="20"/>
        </w:rPr>
        <w:t>277</w:t>
      </w:r>
      <w:r w:rsidRPr="00610E48">
        <w:rPr>
          <w:rFonts w:ascii="Calibri" w:hAnsi="Calibri"/>
          <w:noProof/>
          <w:sz w:val="20"/>
          <w:szCs w:val="20"/>
        </w:rPr>
        <w:t>, 167-176.</w:t>
      </w:r>
      <w:bookmarkEnd w:id="386"/>
    </w:p>
    <w:p w:rsidR="00512D09" w:rsidRPr="00610E48" w:rsidRDefault="00512D09" w:rsidP="00512D09">
      <w:pPr>
        <w:spacing w:after="0" w:line="240" w:lineRule="auto"/>
        <w:rPr>
          <w:rFonts w:ascii="Calibri" w:hAnsi="Calibri"/>
          <w:noProof/>
          <w:sz w:val="20"/>
          <w:szCs w:val="20"/>
        </w:rPr>
      </w:pPr>
      <w:bookmarkStart w:id="387" w:name="_ENREF_152"/>
      <w:r w:rsidRPr="00610E48">
        <w:rPr>
          <w:rFonts w:ascii="Calibri" w:hAnsi="Calibri"/>
          <w:noProof/>
          <w:sz w:val="20"/>
          <w:szCs w:val="20"/>
        </w:rPr>
        <w:tab/>
        <w:t>(152)</w:t>
      </w:r>
      <w:r w:rsidRPr="00610E48">
        <w:rPr>
          <w:rFonts w:ascii="Calibri" w:hAnsi="Calibri"/>
          <w:noProof/>
          <w:sz w:val="20"/>
          <w:szCs w:val="20"/>
        </w:rPr>
        <w:tab/>
        <w:t>Hui, Y. H.: Handbook of food science, technology, and engineering. CRC press, 2006; Vol. 149; pp 19.</w:t>
      </w:r>
      <w:bookmarkEnd w:id="387"/>
    </w:p>
    <w:p w:rsidR="00512D09" w:rsidRPr="00610E48" w:rsidRDefault="00512D09" w:rsidP="00512D09">
      <w:pPr>
        <w:spacing w:after="0" w:line="240" w:lineRule="auto"/>
        <w:rPr>
          <w:rFonts w:ascii="Calibri" w:hAnsi="Calibri"/>
          <w:noProof/>
          <w:sz w:val="20"/>
          <w:szCs w:val="20"/>
        </w:rPr>
      </w:pPr>
      <w:bookmarkStart w:id="388" w:name="_ENREF_153"/>
      <w:r w:rsidRPr="00610E48">
        <w:rPr>
          <w:rFonts w:ascii="Calibri" w:hAnsi="Calibri"/>
          <w:noProof/>
          <w:sz w:val="20"/>
          <w:szCs w:val="20"/>
        </w:rPr>
        <w:tab/>
        <w:t>(153)</w:t>
      </w:r>
      <w:r w:rsidRPr="00610E48">
        <w:rPr>
          <w:rFonts w:ascii="Calibri" w:hAnsi="Calibri"/>
          <w:noProof/>
          <w:sz w:val="20"/>
          <w:szCs w:val="20"/>
        </w:rPr>
        <w:tab/>
        <w:t xml:space="preserve">Kelly, S. M.; Jess, T. J.; Price, N. C.: How to study proteins by circular dichroism. </w:t>
      </w:r>
      <w:r w:rsidRPr="00610E48">
        <w:rPr>
          <w:rFonts w:ascii="Calibri" w:hAnsi="Calibri"/>
          <w:i/>
          <w:noProof/>
          <w:sz w:val="20"/>
          <w:szCs w:val="20"/>
        </w:rPr>
        <w:t>Biochimica et Biophysica Acta (BBA)-Proteins and Proteomics,</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1751</w:t>
      </w:r>
      <w:r w:rsidRPr="00610E48">
        <w:rPr>
          <w:rFonts w:ascii="Calibri" w:hAnsi="Calibri"/>
          <w:noProof/>
          <w:sz w:val="20"/>
          <w:szCs w:val="20"/>
        </w:rPr>
        <w:t>, 119-139.</w:t>
      </w:r>
      <w:bookmarkEnd w:id="388"/>
    </w:p>
    <w:p w:rsidR="00512D09" w:rsidRPr="00610E48" w:rsidRDefault="00512D09" w:rsidP="00512D09">
      <w:pPr>
        <w:spacing w:after="0" w:line="240" w:lineRule="auto"/>
        <w:rPr>
          <w:rFonts w:ascii="Calibri" w:hAnsi="Calibri"/>
          <w:noProof/>
          <w:sz w:val="20"/>
          <w:szCs w:val="20"/>
        </w:rPr>
      </w:pPr>
      <w:bookmarkStart w:id="389" w:name="_ENREF_154"/>
      <w:r w:rsidRPr="00610E48">
        <w:rPr>
          <w:rFonts w:ascii="Calibri" w:hAnsi="Calibri"/>
          <w:noProof/>
          <w:sz w:val="20"/>
          <w:szCs w:val="20"/>
        </w:rPr>
        <w:tab/>
        <w:t>(154)</w:t>
      </w:r>
      <w:r w:rsidRPr="00610E48">
        <w:rPr>
          <w:rFonts w:ascii="Calibri" w:hAnsi="Calibri"/>
          <w:noProof/>
          <w:sz w:val="20"/>
          <w:szCs w:val="20"/>
        </w:rPr>
        <w:tab/>
        <w:t xml:space="preserve">Ranjbar, B.; Gill, P.: Circular Dichroism Techniques: Biomolecular and Nanostructural Analyses- A Review. </w:t>
      </w:r>
      <w:r w:rsidRPr="00610E48">
        <w:rPr>
          <w:rFonts w:ascii="Calibri" w:hAnsi="Calibri"/>
          <w:i/>
          <w:noProof/>
          <w:sz w:val="20"/>
          <w:szCs w:val="20"/>
        </w:rPr>
        <w:t>Chemical biology &amp; drug design,</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 xml:space="preserve">, </w:t>
      </w:r>
      <w:r w:rsidRPr="00610E48">
        <w:rPr>
          <w:rFonts w:ascii="Calibri" w:hAnsi="Calibri"/>
          <w:i/>
          <w:noProof/>
          <w:sz w:val="20"/>
          <w:szCs w:val="20"/>
        </w:rPr>
        <w:t>74</w:t>
      </w:r>
      <w:r w:rsidRPr="00610E48">
        <w:rPr>
          <w:rFonts w:ascii="Calibri" w:hAnsi="Calibri"/>
          <w:noProof/>
          <w:sz w:val="20"/>
          <w:szCs w:val="20"/>
        </w:rPr>
        <w:t>, 101-120.</w:t>
      </w:r>
      <w:bookmarkEnd w:id="389"/>
    </w:p>
    <w:p w:rsidR="00512D09" w:rsidRPr="00610E48" w:rsidRDefault="00512D09" w:rsidP="00512D09">
      <w:pPr>
        <w:spacing w:after="0" w:line="240" w:lineRule="auto"/>
        <w:rPr>
          <w:rFonts w:ascii="Calibri" w:hAnsi="Calibri"/>
          <w:noProof/>
          <w:sz w:val="20"/>
          <w:szCs w:val="20"/>
        </w:rPr>
      </w:pPr>
      <w:bookmarkStart w:id="390" w:name="_ENREF_155"/>
      <w:r w:rsidRPr="00610E48">
        <w:rPr>
          <w:rFonts w:ascii="Calibri" w:hAnsi="Calibri"/>
          <w:noProof/>
          <w:sz w:val="20"/>
          <w:szCs w:val="20"/>
        </w:rPr>
        <w:tab/>
        <w:t>(155)</w:t>
      </w:r>
      <w:r w:rsidRPr="00610E48">
        <w:rPr>
          <w:rFonts w:ascii="Calibri" w:hAnsi="Calibri"/>
          <w:noProof/>
          <w:sz w:val="20"/>
          <w:szCs w:val="20"/>
        </w:rPr>
        <w:tab/>
        <w:t xml:space="preserve">Gokce, I.; Woody, R. W.; Anderluh, G.; Lakey, J. H.: Single peptide bonds exhibit poly (pro) II (“random coil”) circular dichroism spectra.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127</w:t>
      </w:r>
      <w:r w:rsidRPr="00610E48">
        <w:rPr>
          <w:rFonts w:ascii="Calibri" w:hAnsi="Calibri"/>
          <w:noProof/>
          <w:sz w:val="20"/>
          <w:szCs w:val="20"/>
        </w:rPr>
        <w:t>, 9700-9701.</w:t>
      </w:r>
      <w:bookmarkEnd w:id="390"/>
    </w:p>
    <w:p w:rsidR="00512D09" w:rsidRPr="00610E48" w:rsidRDefault="00512D09" w:rsidP="00512D09">
      <w:pPr>
        <w:spacing w:after="0" w:line="240" w:lineRule="auto"/>
        <w:rPr>
          <w:rFonts w:ascii="Calibri" w:hAnsi="Calibri"/>
          <w:noProof/>
          <w:sz w:val="20"/>
          <w:szCs w:val="20"/>
        </w:rPr>
      </w:pPr>
      <w:bookmarkStart w:id="391" w:name="_ENREF_156"/>
      <w:r w:rsidRPr="00610E48">
        <w:rPr>
          <w:rFonts w:ascii="Calibri" w:hAnsi="Calibri"/>
          <w:noProof/>
          <w:sz w:val="20"/>
          <w:szCs w:val="20"/>
        </w:rPr>
        <w:tab/>
        <w:t>(156)</w:t>
      </w:r>
      <w:r w:rsidRPr="00610E48">
        <w:rPr>
          <w:rFonts w:ascii="Calibri" w:hAnsi="Calibri"/>
          <w:noProof/>
          <w:sz w:val="20"/>
          <w:szCs w:val="20"/>
        </w:rPr>
        <w:tab/>
        <w:t xml:space="preserve">Corrêa, D. H.; Ramos, C. H.: The use of circular dichroism spectroscopy to study protein folding, form and function. </w:t>
      </w:r>
      <w:r w:rsidRPr="00610E48">
        <w:rPr>
          <w:rFonts w:ascii="Calibri" w:hAnsi="Calibri"/>
          <w:i/>
          <w:noProof/>
          <w:sz w:val="20"/>
          <w:szCs w:val="20"/>
        </w:rPr>
        <w:t>African Journal of Biochemistry Research,</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 xml:space="preserve">, </w:t>
      </w:r>
      <w:r w:rsidRPr="00610E48">
        <w:rPr>
          <w:rFonts w:ascii="Calibri" w:hAnsi="Calibri"/>
          <w:i/>
          <w:noProof/>
          <w:sz w:val="20"/>
          <w:szCs w:val="20"/>
        </w:rPr>
        <w:t>3</w:t>
      </w:r>
      <w:r w:rsidRPr="00610E48">
        <w:rPr>
          <w:rFonts w:ascii="Calibri" w:hAnsi="Calibri"/>
          <w:noProof/>
          <w:sz w:val="20"/>
          <w:szCs w:val="20"/>
        </w:rPr>
        <w:t>, 164-173.</w:t>
      </w:r>
      <w:bookmarkEnd w:id="391"/>
    </w:p>
    <w:p w:rsidR="00512D09" w:rsidRPr="00610E48" w:rsidRDefault="00512D09" w:rsidP="00512D09">
      <w:pPr>
        <w:spacing w:after="0" w:line="240" w:lineRule="auto"/>
        <w:rPr>
          <w:rFonts w:ascii="Calibri" w:hAnsi="Calibri"/>
          <w:noProof/>
          <w:sz w:val="20"/>
          <w:szCs w:val="20"/>
        </w:rPr>
      </w:pPr>
      <w:bookmarkStart w:id="392" w:name="_ENREF_157"/>
      <w:r w:rsidRPr="00610E48">
        <w:rPr>
          <w:rFonts w:ascii="Calibri" w:hAnsi="Calibri"/>
          <w:noProof/>
          <w:sz w:val="20"/>
          <w:szCs w:val="20"/>
        </w:rPr>
        <w:tab/>
        <w:t>(157)</w:t>
      </w:r>
      <w:r w:rsidRPr="00610E48">
        <w:rPr>
          <w:rFonts w:ascii="Calibri" w:hAnsi="Calibri"/>
          <w:noProof/>
          <w:sz w:val="20"/>
          <w:szCs w:val="20"/>
        </w:rPr>
        <w:tab/>
        <w:t xml:space="preserve">Pierce, M. M.; Raman, C.; Nall, B. T.: Isothermal titration calorimetry of protein–protein interactions. </w:t>
      </w:r>
      <w:r w:rsidRPr="00610E48">
        <w:rPr>
          <w:rFonts w:ascii="Calibri" w:hAnsi="Calibri"/>
          <w:i/>
          <w:noProof/>
          <w:sz w:val="20"/>
          <w:szCs w:val="20"/>
        </w:rPr>
        <w:t>Methods,</w:t>
      </w:r>
      <w:r w:rsidRPr="00610E48">
        <w:rPr>
          <w:rFonts w:ascii="Calibri" w:hAnsi="Calibri"/>
          <w:noProof/>
          <w:sz w:val="20"/>
          <w:szCs w:val="20"/>
        </w:rPr>
        <w:t xml:space="preserve"> </w:t>
      </w:r>
      <w:r w:rsidRPr="00610E48">
        <w:rPr>
          <w:rFonts w:ascii="Calibri" w:hAnsi="Calibri"/>
          <w:b/>
          <w:noProof/>
          <w:sz w:val="20"/>
          <w:szCs w:val="20"/>
        </w:rPr>
        <w:t>1999</w:t>
      </w:r>
      <w:r w:rsidRPr="00610E48">
        <w:rPr>
          <w:rFonts w:ascii="Calibri" w:hAnsi="Calibri"/>
          <w:noProof/>
          <w:sz w:val="20"/>
          <w:szCs w:val="20"/>
        </w:rPr>
        <w:t xml:space="preserve">, </w:t>
      </w:r>
      <w:r w:rsidRPr="00610E48">
        <w:rPr>
          <w:rFonts w:ascii="Calibri" w:hAnsi="Calibri"/>
          <w:i/>
          <w:noProof/>
          <w:sz w:val="20"/>
          <w:szCs w:val="20"/>
        </w:rPr>
        <w:t>19</w:t>
      </w:r>
      <w:r w:rsidRPr="00610E48">
        <w:rPr>
          <w:rFonts w:ascii="Calibri" w:hAnsi="Calibri"/>
          <w:noProof/>
          <w:sz w:val="20"/>
          <w:szCs w:val="20"/>
        </w:rPr>
        <w:t>, 213-221.</w:t>
      </w:r>
      <w:bookmarkEnd w:id="392"/>
    </w:p>
    <w:p w:rsidR="00512D09" w:rsidRPr="00610E48" w:rsidRDefault="00512D09" w:rsidP="00512D09">
      <w:pPr>
        <w:spacing w:after="0" w:line="240" w:lineRule="auto"/>
        <w:rPr>
          <w:rFonts w:ascii="Calibri" w:hAnsi="Calibri"/>
          <w:noProof/>
          <w:sz w:val="20"/>
          <w:szCs w:val="20"/>
        </w:rPr>
      </w:pPr>
      <w:bookmarkStart w:id="393" w:name="_ENREF_158"/>
      <w:r w:rsidRPr="00610E48">
        <w:rPr>
          <w:rFonts w:ascii="Calibri" w:hAnsi="Calibri"/>
          <w:noProof/>
          <w:sz w:val="20"/>
          <w:szCs w:val="20"/>
        </w:rPr>
        <w:tab/>
        <w:t>(158)</w:t>
      </w:r>
      <w:r w:rsidRPr="00610E48">
        <w:rPr>
          <w:rFonts w:ascii="Calibri" w:hAnsi="Calibri"/>
          <w:noProof/>
          <w:sz w:val="20"/>
          <w:szCs w:val="20"/>
        </w:rPr>
        <w:tab/>
        <w:t xml:space="preserve">Wiseman, T.; Williston, S.; Brandts, J. F.; Lin, L. N.: Rapid Measurement of Binding Constants and Heats of Binding Using a New Titration Calorimeter. </w:t>
      </w:r>
      <w:r w:rsidRPr="00610E48">
        <w:rPr>
          <w:rFonts w:ascii="Calibri" w:hAnsi="Calibri"/>
          <w:i/>
          <w:noProof/>
          <w:sz w:val="20"/>
          <w:szCs w:val="20"/>
        </w:rPr>
        <w:t>Analytical biochemistry,</w:t>
      </w:r>
      <w:r w:rsidRPr="00610E48">
        <w:rPr>
          <w:rFonts w:ascii="Calibri" w:hAnsi="Calibri"/>
          <w:noProof/>
          <w:sz w:val="20"/>
          <w:szCs w:val="20"/>
        </w:rPr>
        <w:t xml:space="preserve"> </w:t>
      </w:r>
      <w:r w:rsidRPr="00610E48">
        <w:rPr>
          <w:rFonts w:ascii="Calibri" w:hAnsi="Calibri"/>
          <w:b/>
          <w:noProof/>
          <w:sz w:val="20"/>
          <w:szCs w:val="20"/>
        </w:rPr>
        <w:t>1989</w:t>
      </w:r>
      <w:r w:rsidRPr="00610E48">
        <w:rPr>
          <w:rFonts w:ascii="Calibri" w:hAnsi="Calibri"/>
          <w:noProof/>
          <w:sz w:val="20"/>
          <w:szCs w:val="20"/>
        </w:rPr>
        <w:t xml:space="preserve">, </w:t>
      </w:r>
      <w:r w:rsidRPr="00610E48">
        <w:rPr>
          <w:rFonts w:ascii="Calibri" w:hAnsi="Calibri"/>
          <w:i/>
          <w:noProof/>
          <w:sz w:val="20"/>
          <w:szCs w:val="20"/>
        </w:rPr>
        <w:t>179</w:t>
      </w:r>
      <w:r w:rsidRPr="00610E48">
        <w:rPr>
          <w:rFonts w:ascii="Calibri" w:hAnsi="Calibri"/>
          <w:noProof/>
          <w:sz w:val="20"/>
          <w:szCs w:val="20"/>
        </w:rPr>
        <w:t>, 131-137.</w:t>
      </w:r>
      <w:bookmarkEnd w:id="393"/>
    </w:p>
    <w:p w:rsidR="00512D09" w:rsidRPr="00610E48" w:rsidRDefault="00512D09" w:rsidP="00512D09">
      <w:pPr>
        <w:spacing w:after="0" w:line="240" w:lineRule="auto"/>
        <w:rPr>
          <w:rFonts w:ascii="Calibri" w:hAnsi="Calibri"/>
          <w:noProof/>
          <w:sz w:val="20"/>
          <w:szCs w:val="20"/>
        </w:rPr>
      </w:pPr>
      <w:bookmarkStart w:id="394" w:name="_ENREF_159"/>
      <w:r w:rsidRPr="00610E48">
        <w:rPr>
          <w:rFonts w:ascii="Calibri" w:hAnsi="Calibri"/>
          <w:noProof/>
          <w:sz w:val="20"/>
          <w:szCs w:val="20"/>
        </w:rPr>
        <w:tab/>
        <w:t>(159)</w:t>
      </w:r>
      <w:r w:rsidRPr="00610E48">
        <w:rPr>
          <w:rFonts w:ascii="Calibri" w:hAnsi="Calibri"/>
          <w:noProof/>
          <w:sz w:val="20"/>
          <w:szCs w:val="20"/>
        </w:rPr>
        <w:tab/>
        <w:t xml:space="preserve">Freire, E.; Mayorga, O. L.; Straume, M.: Isothermal titration calorimetry. </w:t>
      </w:r>
      <w:r w:rsidRPr="00610E48">
        <w:rPr>
          <w:rFonts w:ascii="Calibri" w:hAnsi="Calibri"/>
          <w:i/>
          <w:noProof/>
          <w:sz w:val="20"/>
          <w:szCs w:val="20"/>
        </w:rPr>
        <w:t>Analytical chemistry,</w:t>
      </w:r>
      <w:r w:rsidRPr="00610E48">
        <w:rPr>
          <w:rFonts w:ascii="Calibri" w:hAnsi="Calibri"/>
          <w:noProof/>
          <w:sz w:val="20"/>
          <w:szCs w:val="20"/>
        </w:rPr>
        <w:t xml:space="preserve"> </w:t>
      </w:r>
      <w:r w:rsidRPr="00610E48">
        <w:rPr>
          <w:rFonts w:ascii="Calibri" w:hAnsi="Calibri"/>
          <w:b/>
          <w:noProof/>
          <w:sz w:val="20"/>
          <w:szCs w:val="20"/>
        </w:rPr>
        <w:t>1990</w:t>
      </w:r>
      <w:r w:rsidRPr="00610E48">
        <w:rPr>
          <w:rFonts w:ascii="Calibri" w:hAnsi="Calibri"/>
          <w:noProof/>
          <w:sz w:val="20"/>
          <w:szCs w:val="20"/>
        </w:rPr>
        <w:t xml:space="preserve">, </w:t>
      </w:r>
      <w:r w:rsidRPr="00610E48">
        <w:rPr>
          <w:rFonts w:ascii="Calibri" w:hAnsi="Calibri"/>
          <w:i/>
          <w:noProof/>
          <w:sz w:val="20"/>
          <w:szCs w:val="20"/>
        </w:rPr>
        <w:t>62</w:t>
      </w:r>
      <w:r w:rsidRPr="00610E48">
        <w:rPr>
          <w:rFonts w:ascii="Calibri" w:hAnsi="Calibri"/>
          <w:noProof/>
          <w:sz w:val="20"/>
          <w:szCs w:val="20"/>
        </w:rPr>
        <w:t>, 950A-959A.</w:t>
      </w:r>
      <w:bookmarkEnd w:id="394"/>
    </w:p>
    <w:p w:rsidR="00512D09" w:rsidRPr="00610E48" w:rsidRDefault="00512D09" w:rsidP="00512D09">
      <w:pPr>
        <w:spacing w:after="0" w:line="240" w:lineRule="auto"/>
        <w:rPr>
          <w:rFonts w:ascii="Calibri" w:hAnsi="Calibri"/>
          <w:noProof/>
          <w:sz w:val="20"/>
          <w:szCs w:val="20"/>
        </w:rPr>
      </w:pPr>
      <w:bookmarkStart w:id="395" w:name="_ENREF_160"/>
      <w:r w:rsidRPr="00610E48">
        <w:rPr>
          <w:rFonts w:ascii="Calibri" w:hAnsi="Calibri"/>
          <w:noProof/>
          <w:sz w:val="20"/>
          <w:szCs w:val="20"/>
        </w:rPr>
        <w:tab/>
        <w:t>(160)</w:t>
      </w:r>
      <w:r w:rsidRPr="00610E48">
        <w:rPr>
          <w:rFonts w:ascii="Calibri" w:hAnsi="Calibri"/>
          <w:noProof/>
          <w:sz w:val="20"/>
          <w:szCs w:val="20"/>
        </w:rPr>
        <w:tab/>
        <w:t xml:space="preserve">Filipe, V.; Hawe, A.; Jiskoot, W.: Critical evaluation of Nanoparticle Tracking Analysis (NTA) by NanoSight for the measurement of nanoparticles and protein aggregates. </w:t>
      </w:r>
      <w:r w:rsidRPr="00610E48">
        <w:rPr>
          <w:rFonts w:ascii="Calibri" w:hAnsi="Calibri"/>
          <w:i/>
          <w:noProof/>
          <w:sz w:val="20"/>
          <w:szCs w:val="20"/>
        </w:rPr>
        <w:t>Pharmaceutical research,</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27</w:t>
      </w:r>
      <w:r w:rsidRPr="00610E48">
        <w:rPr>
          <w:rFonts w:ascii="Calibri" w:hAnsi="Calibri"/>
          <w:noProof/>
          <w:sz w:val="20"/>
          <w:szCs w:val="20"/>
        </w:rPr>
        <w:t>, 796-810.</w:t>
      </w:r>
      <w:bookmarkEnd w:id="395"/>
    </w:p>
    <w:p w:rsidR="00512D09" w:rsidRPr="00610E48" w:rsidRDefault="00512D09" w:rsidP="00512D09">
      <w:pPr>
        <w:spacing w:after="0" w:line="240" w:lineRule="auto"/>
        <w:rPr>
          <w:rFonts w:ascii="Calibri" w:hAnsi="Calibri"/>
          <w:noProof/>
          <w:sz w:val="20"/>
          <w:szCs w:val="20"/>
        </w:rPr>
      </w:pPr>
      <w:bookmarkStart w:id="396" w:name="_ENREF_161"/>
      <w:r w:rsidRPr="00610E48">
        <w:rPr>
          <w:rFonts w:ascii="Calibri" w:hAnsi="Calibri"/>
          <w:noProof/>
          <w:sz w:val="20"/>
          <w:szCs w:val="20"/>
        </w:rPr>
        <w:tab/>
        <w:t>(161)</w:t>
      </w:r>
      <w:r w:rsidRPr="00610E48">
        <w:rPr>
          <w:rFonts w:ascii="Calibri" w:hAnsi="Calibri"/>
          <w:noProof/>
          <w:sz w:val="20"/>
          <w:szCs w:val="20"/>
        </w:rPr>
        <w:tab/>
        <w:t xml:space="preserve">Shang, J.; Gao, X.: Nanoparticle counting: towards accurate determination of the molar concentration. </w:t>
      </w:r>
      <w:r w:rsidRPr="00610E48">
        <w:rPr>
          <w:rFonts w:ascii="Calibri" w:hAnsi="Calibri"/>
          <w:i/>
          <w:noProof/>
          <w:sz w:val="20"/>
          <w:szCs w:val="20"/>
        </w:rPr>
        <w:t>Chemical Society Reviews,</w:t>
      </w:r>
      <w:r w:rsidRPr="00610E48">
        <w:rPr>
          <w:rFonts w:ascii="Calibri" w:hAnsi="Calibri"/>
          <w:noProof/>
          <w:sz w:val="20"/>
          <w:szCs w:val="20"/>
        </w:rPr>
        <w:t xml:space="preserve">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43</w:t>
      </w:r>
      <w:r w:rsidRPr="00610E48">
        <w:rPr>
          <w:rFonts w:ascii="Calibri" w:hAnsi="Calibri"/>
          <w:noProof/>
          <w:sz w:val="20"/>
          <w:szCs w:val="20"/>
        </w:rPr>
        <w:t>, 7267-7278.</w:t>
      </w:r>
      <w:bookmarkEnd w:id="396"/>
    </w:p>
    <w:p w:rsidR="00512D09" w:rsidRPr="00610E48" w:rsidRDefault="00512D09" w:rsidP="00512D09">
      <w:pPr>
        <w:spacing w:after="0" w:line="240" w:lineRule="auto"/>
        <w:rPr>
          <w:rFonts w:ascii="Calibri" w:hAnsi="Calibri"/>
          <w:noProof/>
          <w:sz w:val="20"/>
          <w:szCs w:val="20"/>
        </w:rPr>
      </w:pPr>
      <w:bookmarkStart w:id="397" w:name="_ENREF_162"/>
      <w:r w:rsidRPr="00610E48">
        <w:rPr>
          <w:rFonts w:ascii="Calibri" w:hAnsi="Calibri"/>
          <w:noProof/>
          <w:sz w:val="20"/>
          <w:szCs w:val="20"/>
        </w:rPr>
        <w:tab/>
        <w:t>(162)</w:t>
      </w:r>
      <w:r w:rsidRPr="00610E48">
        <w:rPr>
          <w:rFonts w:ascii="Calibri" w:hAnsi="Calibri"/>
          <w:noProof/>
          <w:sz w:val="20"/>
          <w:szCs w:val="20"/>
        </w:rPr>
        <w:tab/>
        <w:t xml:space="preserve">Osawa, R.; Walsh, T. P.: Effects of acidic and alkaline treatments on tannic acid and its binding property to protein.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1993</w:t>
      </w:r>
      <w:r w:rsidRPr="00610E48">
        <w:rPr>
          <w:rFonts w:ascii="Calibri" w:hAnsi="Calibri"/>
          <w:noProof/>
          <w:sz w:val="20"/>
          <w:szCs w:val="20"/>
        </w:rPr>
        <w:t xml:space="preserve">, </w:t>
      </w:r>
      <w:r w:rsidRPr="00610E48">
        <w:rPr>
          <w:rFonts w:ascii="Calibri" w:hAnsi="Calibri"/>
          <w:i/>
          <w:noProof/>
          <w:sz w:val="20"/>
          <w:szCs w:val="20"/>
        </w:rPr>
        <w:t>41</w:t>
      </w:r>
      <w:r w:rsidRPr="00610E48">
        <w:rPr>
          <w:rFonts w:ascii="Calibri" w:hAnsi="Calibri"/>
          <w:noProof/>
          <w:sz w:val="20"/>
          <w:szCs w:val="20"/>
        </w:rPr>
        <w:t>, 704-707.</w:t>
      </w:r>
      <w:bookmarkEnd w:id="397"/>
    </w:p>
    <w:p w:rsidR="00512D09" w:rsidRPr="00610E48" w:rsidRDefault="00512D09" w:rsidP="00512D09">
      <w:pPr>
        <w:spacing w:after="0" w:line="240" w:lineRule="auto"/>
        <w:rPr>
          <w:rFonts w:ascii="Calibri" w:hAnsi="Calibri"/>
          <w:noProof/>
          <w:sz w:val="20"/>
          <w:szCs w:val="20"/>
        </w:rPr>
      </w:pPr>
      <w:bookmarkStart w:id="398" w:name="_ENREF_163"/>
      <w:r w:rsidRPr="00610E48">
        <w:rPr>
          <w:rFonts w:ascii="Calibri" w:hAnsi="Calibri"/>
          <w:noProof/>
          <w:sz w:val="20"/>
          <w:szCs w:val="20"/>
        </w:rPr>
        <w:tab/>
        <w:t>(163)</w:t>
      </w:r>
      <w:r w:rsidRPr="00610E48">
        <w:rPr>
          <w:rFonts w:ascii="Calibri" w:hAnsi="Calibri"/>
          <w:noProof/>
          <w:sz w:val="20"/>
          <w:szCs w:val="20"/>
        </w:rPr>
        <w:tab/>
        <w:t xml:space="preserve">Dobreva, M. A.; Green, R. J.; Mueller-Harvey, I.; Salminen, J.-P.; Howlin, B. J.; Frazier, R. A.: Size and Molecular Flexibility Affect the Binding of Ellagitannins to Bovine Serum Albumin.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62</w:t>
      </w:r>
      <w:r w:rsidRPr="00610E48">
        <w:rPr>
          <w:rFonts w:ascii="Calibri" w:hAnsi="Calibri"/>
          <w:noProof/>
          <w:sz w:val="20"/>
          <w:szCs w:val="20"/>
        </w:rPr>
        <w:t>, 9186-9194.</w:t>
      </w:r>
      <w:bookmarkEnd w:id="398"/>
    </w:p>
    <w:p w:rsidR="00512D09" w:rsidRPr="00610E48" w:rsidRDefault="00512D09" w:rsidP="00512D09">
      <w:pPr>
        <w:spacing w:after="0" w:line="240" w:lineRule="auto"/>
        <w:rPr>
          <w:rFonts w:ascii="Calibri" w:hAnsi="Calibri"/>
          <w:noProof/>
          <w:sz w:val="20"/>
          <w:szCs w:val="20"/>
        </w:rPr>
      </w:pPr>
      <w:bookmarkStart w:id="399" w:name="_ENREF_164"/>
      <w:r w:rsidRPr="00610E48">
        <w:rPr>
          <w:rFonts w:ascii="Calibri" w:hAnsi="Calibri"/>
          <w:noProof/>
          <w:sz w:val="20"/>
          <w:szCs w:val="20"/>
        </w:rPr>
        <w:tab/>
        <w:t>(164)</w:t>
      </w:r>
      <w:r w:rsidRPr="00610E48">
        <w:rPr>
          <w:rFonts w:ascii="Calibri" w:hAnsi="Calibri"/>
          <w:noProof/>
          <w:sz w:val="20"/>
          <w:szCs w:val="20"/>
        </w:rPr>
        <w:tab/>
        <w:t xml:space="preserve">Li, M.; Jia, X.; Yang, J.; Deng, J.; Zhao, G.: Effect of tannic acid on properties of soybean (Glycine max) seed ferritin: A model for interaction between naturally-occurring components in foodstuffs. </w:t>
      </w:r>
      <w:r w:rsidRPr="00610E48">
        <w:rPr>
          <w:rFonts w:ascii="Calibri" w:hAnsi="Calibri"/>
          <w:i/>
          <w:noProof/>
          <w:sz w:val="20"/>
          <w:szCs w:val="20"/>
        </w:rPr>
        <w:t>Food Chemistry,</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133</w:t>
      </w:r>
      <w:r w:rsidRPr="00610E48">
        <w:rPr>
          <w:rFonts w:ascii="Calibri" w:hAnsi="Calibri"/>
          <w:noProof/>
          <w:sz w:val="20"/>
          <w:szCs w:val="20"/>
        </w:rPr>
        <w:t>, 410-415.</w:t>
      </w:r>
      <w:bookmarkEnd w:id="399"/>
    </w:p>
    <w:p w:rsidR="00512D09" w:rsidRPr="00610E48" w:rsidRDefault="00512D09" w:rsidP="00512D09">
      <w:pPr>
        <w:spacing w:after="0" w:line="240" w:lineRule="auto"/>
        <w:rPr>
          <w:rFonts w:ascii="Calibri" w:hAnsi="Calibri"/>
          <w:noProof/>
          <w:sz w:val="20"/>
          <w:szCs w:val="20"/>
        </w:rPr>
      </w:pPr>
      <w:bookmarkStart w:id="400" w:name="_ENREF_165"/>
      <w:r w:rsidRPr="00610E48">
        <w:rPr>
          <w:rFonts w:ascii="Calibri" w:hAnsi="Calibri"/>
          <w:noProof/>
          <w:sz w:val="20"/>
          <w:szCs w:val="20"/>
        </w:rPr>
        <w:tab/>
        <w:t>(165)</w:t>
      </w:r>
      <w:r w:rsidRPr="00610E48">
        <w:rPr>
          <w:rFonts w:ascii="Calibri" w:hAnsi="Calibri"/>
          <w:noProof/>
          <w:sz w:val="20"/>
          <w:szCs w:val="20"/>
        </w:rPr>
        <w:tab/>
        <w:t xml:space="preserve">Kim, T.; Silva, J.; Kim, M.; Jung, Y.: Enhanced antioxidant capacity and antimicrobial activity of tannic acid by thermal processing. </w:t>
      </w:r>
      <w:r w:rsidRPr="00610E48">
        <w:rPr>
          <w:rFonts w:ascii="Calibri" w:hAnsi="Calibri"/>
          <w:i/>
          <w:noProof/>
          <w:sz w:val="20"/>
          <w:szCs w:val="20"/>
        </w:rPr>
        <w:t>Food Chemistry,</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118</w:t>
      </w:r>
      <w:r w:rsidRPr="00610E48">
        <w:rPr>
          <w:rFonts w:ascii="Calibri" w:hAnsi="Calibri"/>
          <w:noProof/>
          <w:sz w:val="20"/>
          <w:szCs w:val="20"/>
        </w:rPr>
        <w:t>, 740-746.</w:t>
      </w:r>
      <w:bookmarkEnd w:id="400"/>
    </w:p>
    <w:p w:rsidR="00512D09" w:rsidRPr="00610E48" w:rsidRDefault="00512D09" w:rsidP="00512D09">
      <w:pPr>
        <w:spacing w:after="0" w:line="240" w:lineRule="auto"/>
        <w:rPr>
          <w:rFonts w:ascii="Calibri" w:hAnsi="Calibri"/>
          <w:noProof/>
          <w:sz w:val="20"/>
          <w:szCs w:val="20"/>
        </w:rPr>
      </w:pPr>
      <w:bookmarkStart w:id="401" w:name="_ENREF_166"/>
      <w:r w:rsidRPr="00610E48">
        <w:rPr>
          <w:rFonts w:ascii="Calibri" w:hAnsi="Calibri"/>
          <w:noProof/>
          <w:sz w:val="20"/>
          <w:szCs w:val="20"/>
        </w:rPr>
        <w:tab/>
        <w:t>(166)</w:t>
      </w:r>
      <w:r w:rsidRPr="00610E48">
        <w:rPr>
          <w:rFonts w:ascii="Calibri" w:hAnsi="Calibri"/>
          <w:noProof/>
          <w:sz w:val="20"/>
          <w:szCs w:val="20"/>
        </w:rPr>
        <w:tab/>
        <w:t xml:space="preserve">Fathima, N. N.; Saravanabhavan, S.; Rao, J. R.; Nair, B. U.: An eco-benign tanning system using aluminiuum, tannic acid, and silica combination. </w:t>
      </w:r>
      <w:r w:rsidRPr="00610E48">
        <w:rPr>
          <w:rFonts w:ascii="Calibri" w:hAnsi="Calibri"/>
          <w:i/>
          <w:noProof/>
          <w:sz w:val="20"/>
          <w:szCs w:val="20"/>
        </w:rPr>
        <w:t>Journal of the American Leather Chemists Association,</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99</w:t>
      </w:r>
      <w:r w:rsidRPr="00610E48">
        <w:rPr>
          <w:rFonts w:ascii="Calibri" w:hAnsi="Calibri"/>
          <w:noProof/>
          <w:sz w:val="20"/>
          <w:szCs w:val="20"/>
        </w:rPr>
        <w:t>, 73-81.</w:t>
      </w:r>
      <w:bookmarkEnd w:id="401"/>
    </w:p>
    <w:p w:rsidR="00512D09" w:rsidRPr="00610E48" w:rsidRDefault="00512D09" w:rsidP="00512D09">
      <w:pPr>
        <w:spacing w:after="0" w:line="240" w:lineRule="auto"/>
        <w:rPr>
          <w:rFonts w:ascii="Calibri" w:hAnsi="Calibri"/>
          <w:noProof/>
          <w:sz w:val="20"/>
          <w:szCs w:val="20"/>
        </w:rPr>
      </w:pPr>
      <w:bookmarkStart w:id="402" w:name="_ENREF_167"/>
      <w:r w:rsidRPr="00610E48">
        <w:rPr>
          <w:rFonts w:ascii="Calibri" w:hAnsi="Calibri"/>
          <w:noProof/>
          <w:sz w:val="20"/>
          <w:szCs w:val="20"/>
        </w:rPr>
        <w:tab/>
        <w:t>(167)</w:t>
      </w:r>
      <w:r w:rsidRPr="00610E48">
        <w:rPr>
          <w:rFonts w:ascii="Calibri" w:hAnsi="Calibri"/>
          <w:noProof/>
          <w:sz w:val="20"/>
          <w:szCs w:val="20"/>
        </w:rPr>
        <w:tab/>
        <w:t xml:space="preserve">Hachiro, Y.; Kunimoto, M.; Abe, T.; Kitada, M.; Ebisawa, Y.: Aluminum potassium sulfate and tannic acid (ALTA) injection as the mainstay of treatment for internal hemorrhoids. </w:t>
      </w:r>
      <w:r w:rsidRPr="00610E48">
        <w:rPr>
          <w:rFonts w:ascii="Calibri" w:hAnsi="Calibri"/>
          <w:i/>
          <w:noProof/>
          <w:sz w:val="20"/>
          <w:szCs w:val="20"/>
        </w:rPr>
        <w:t>Surgery today,</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41</w:t>
      </w:r>
      <w:r w:rsidRPr="00610E48">
        <w:rPr>
          <w:rFonts w:ascii="Calibri" w:hAnsi="Calibri"/>
          <w:noProof/>
          <w:sz w:val="20"/>
          <w:szCs w:val="20"/>
        </w:rPr>
        <w:t>, 806-809.</w:t>
      </w:r>
      <w:bookmarkEnd w:id="402"/>
    </w:p>
    <w:p w:rsidR="00512D09" w:rsidRPr="00610E48" w:rsidRDefault="00512D09" w:rsidP="00512D09">
      <w:pPr>
        <w:spacing w:after="0" w:line="240" w:lineRule="auto"/>
        <w:rPr>
          <w:rFonts w:ascii="Calibri" w:hAnsi="Calibri"/>
          <w:noProof/>
          <w:sz w:val="20"/>
          <w:szCs w:val="20"/>
        </w:rPr>
      </w:pPr>
      <w:bookmarkStart w:id="403" w:name="_ENREF_168"/>
      <w:r w:rsidRPr="00610E48">
        <w:rPr>
          <w:rFonts w:ascii="Calibri" w:hAnsi="Calibri"/>
          <w:noProof/>
          <w:sz w:val="20"/>
          <w:szCs w:val="20"/>
        </w:rPr>
        <w:tab/>
        <w:t>(168)</w:t>
      </w:r>
      <w:r w:rsidRPr="00610E48">
        <w:rPr>
          <w:rFonts w:ascii="Calibri" w:hAnsi="Calibri"/>
          <w:noProof/>
          <w:sz w:val="20"/>
          <w:szCs w:val="20"/>
        </w:rPr>
        <w:tab/>
        <w:t xml:space="preserve">Ren, A. X.; Zhang, W. Q.; Thomas, H. G.; Barish, A.; Berry, S.; Kiel, J. S.; Naren, A. P.: A Tannic Acid-Based Medical Food, Cesinex(A (R)), Exhibits Broad-Spectrum Antidiarrheal Properties: A Mechanistic and Clinical Study. </w:t>
      </w:r>
      <w:r w:rsidRPr="00610E48">
        <w:rPr>
          <w:rFonts w:ascii="Calibri" w:hAnsi="Calibri"/>
          <w:i/>
          <w:noProof/>
          <w:sz w:val="20"/>
          <w:szCs w:val="20"/>
        </w:rPr>
        <w:t>Digestive diseases and sciences,</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57</w:t>
      </w:r>
      <w:r w:rsidRPr="00610E48">
        <w:rPr>
          <w:rFonts w:ascii="Calibri" w:hAnsi="Calibri"/>
          <w:noProof/>
          <w:sz w:val="20"/>
          <w:szCs w:val="20"/>
        </w:rPr>
        <w:t>, 99-108.</w:t>
      </w:r>
      <w:bookmarkEnd w:id="403"/>
    </w:p>
    <w:p w:rsidR="00512D09" w:rsidRPr="00610E48" w:rsidRDefault="00512D09" w:rsidP="00512D09">
      <w:pPr>
        <w:spacing w:after="0" w:line="240" w:lineRule="auto"/>
        <w:rPr>
          <w:rFonts w:ascii="Calibri" w:hAnsi="Calibri"/>
          <w:noProof/>
          <w:sz w:val="20"/>
          <w:szCs w:val="20"/>
        </w:rPr>
      </w:pPr>
      <w:bookmarkStart w:id="404" w:name="_ENREF_169"/>
      <w:r w:rsidRPr="00610E48">
        <w:rPr>
          <w:rFonts w:ascii="Calibri" w:hAnsi="Calibri"/>
          <w:noProof/>
          <w:sz w:val="20"/>
          <w:szCs w:val="20"/>
        </w:rPr>
        <w:tab/>
        <w:t>(169)</w:t>
      </w:r>
      <w:r w:rsidRPr="00610E48">
        <w:rPr>
          <w:rFonts w:ascii="Calibri" w:hAnsi="Calibri"/>
          <w:noProof/>
          <w:sz w:val="20"/>
          <w:szCs w:val="20"/>
        </w:rPr>
        <w:tab/>
        <w:t>Namkung, W.; Thiagarajah, J. R.; Phuan, P.-W.; Verkman, A.: Inhibition of Ca</w:t>
      </w:r>
      <w:r w:rsidRPr="00610E48">
        <w:rPr>
          <w:rFonts w:ascii="Calibri" w:hAnsi="Calibri"/>
          <w:noProof/>
          <w:sz w:val="20"/>
          <w:szCs w:val="20"/>
          <w:vertAlign w:val="superscript"/>
        </w:rPr>
        <w:t>2+</w:t>
      </w:r>
      <w:r w:rsidRPr="00610E48">
        <w:rPr>
          <w:rFonts w:ascii="Calibri" w:hAnsi="Calibri"/>
          <w:noProof/>
          <w:sz w:val="20"/>
          <w:szCs w:val="20"/>
        </w:rPr>
        <w:t>-activated Cl</w:t>
      </w:r>
      <w:r w:rsidRPr="00610E48">
        <w:rPr>
          <w:rFonts w:ascii="Calibri" w:hAnsi="Calibri"/>
          <w:noProof/>
          <w:sz w:val="20"/>
          <w:szCs w:val="20"/>
          <w:vertAlign w:val="superscript"/>
        </w:rPr>
        <w:t>−</w:t>
      </w:r>
      <w:r w:rsidRPr="00610E48">
        <w:rPr>
          <w:rFonts w:ascii="Calibri" w:hAnsi="Calibri"/>
          <w:noProof/>
          <w:sz w:val="20"/>
          <w:szCs w:val="20"/>
        </w:rPr>
        <w:t xml:space="preserve"> channels by gallotannins as a possible molecular basis for health benefits of red wine and green tea. </w:t>
      </w:r>
      <w:r w:rsidRPr="00610E48">
        <w:rPr>
          <w:rFonts w:ascii="Calibri" w:hAnsi="Calibri"/>
          <w:i/>
          <w:noProof/>
          <w:sz w:val="20"/>
          <w:szCs w:val="20"/>
        </w:rPr>
        <w:t>The FASEB Journal,</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24</w:t>
      </w:r>
      <w:r w:rsidRPr="00610E48">
        <w:rPr>
          <w:rFonts w:ascii="Calibri" w:hAnsi="Calibri"/>
          <w:noProof/>
          <w:sz w:val="20"/>
          <w:szCs w:val="20"/>
        </w:rPr>
        <w:t>, 4178-4186.</w:t>
      </w:r>
      <w:bookmarkEnd w:id="404"/>
    </w:p>
    <w:p w:rsidR="00512D09" w:rsidRPr="00610E48" w:rsidRDefault="00512D09" w:rsidP="00512D09">
      <w:pPr>
        <w:spacing w:after="0" w:line="240" w:lineRule="auto"/>
        <w:rPr>
          <w:rFonts w:ascii="Calibri" w:hAnsi="Calibri"/>
          <w:noProof/>
          <w:sz w:val="20"/>
          <w:szCs w:val="20"/>
        </w:rPr>
      </w:pPr>
      <w:bookmarkStart w:id="405" w:name="_ENREF_170"/>
      <w:r w:rsidRPr="00610E48">
        <w:rPr>
          <w:rFonts w:ascii="Calibri" w:hAnsi="Calibri"/>
          <w:noProof/>
          <w:sz w:val="20"/>
          <w:szCs w:val="20"/>
        </w:rPr>
        <w:tab/>
        <w:t>(170)</w:t>
      </w:r>
      <w:r w:rsidRPr="00610E48">
        <w:rPr>
          <w:rFonts w:ascii="Calibri" w:hAnsi="Calibri"/>
          <w:noProof/>
          <w:sz w:val="20"/>
          <w:szCs w:val="20"/>
        </w:rPr>
        <w:tab/>
        <w:t xml:space="preserve">Chen, C. H.; Liu, T. Z.; Chen, C. H.; Wong, C. H.; Chen, C. H.; Lu, F. J.; Chen, S. C.: The efficacy of protective effects of tannic acid, gallic acid, ellagic acid, and propyl gallate against hydrogen peroxide‐induced oxidative stress and DNA damages in IMR‐90 cells. </w:t>
      </w:r>
      <w:r w:rsidRPr="00610E48">
        <w:rPr>
          <w:rFonts w:ascii="Calibri" w:hAnsi="Calibri"/>
          <w:i/>
          <w:noProof/>
          <w:sz w:val="20"/>
          <w:szCs w:val="20"/>
        </w:rPr>
        <w:t>Molecular Nutrition &amp; Food Research,</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51</w:t>
      </w:r>
      <w:r w:rsidRPr="00610E48">
        <w:rPr>
          <w:rFonts w:ascii="Calibri" w:hAnsi="Calibri"/>
          <w:noProof/>
          <w:sz w:val="20"/>
          <w:szCs w:val="20"/>
        </w:rPr>
        <w:t>, 962-968.</w:t>
      </w:r>
      <w:bookmarkEnd w:id="405"/>
    </w:p>
    <w:p w:rsidR="00512D09" w:rsidRPr="00610E48" w:rsidRDefault="00512D09" w:rsidP="00512D09">
      <w:pPr>
        <w:spacing w:after="0" w:line="240" w:lineRule="auto"/>
        <w:rPr>
          <w:rFonts w:ascii="Calibri" w:hAnsi="Calibri"/>
          <w:noProof/>
          <w:sz w:val="20"/>
          <w:szCs w:val="20"/>
        </w:rPr>
      </w:pPr>
      <w:bookmarkStart w:id="406" w:name="_ENREF_171"/>
      <w:r w:rsidRPr="00610E48">
        <w:rPr>
          <w:rFonts w:ascii="Calibri" w:hAnsi="Calibri"/>
          <w:noProof/>
          <w:sz w:val="20"/>
          <w:szCs w:val="20"/>
        </w:rPr>
        <w:tab/>
        <w:t>(171)</w:t>
      </w:r>
      <w:r w:rsidRPr="00610E48">
        <w:rPr>
          <w:rFonts w:ascii="Calibri" w:hAnsi="Calibri"/>
          <w:noProof/>
          <w:sz w:val="20"/>
          <w:szCs w:val="20"/>
        </w:rPr>
        <w:tab/>
        <w:t xml:space="preserve">van Ampting, M. T.; Schonewille, A. J.; Vink, C.; Brummer, R. J. M.; van der Meer, R.; Bovee‐Oudenhoven, I. M.: Damage to the intestinal epithelial barrier by antibiotic pretreatment </w:t>
      </w:r>
      <w:r w:rsidRPr="00610E48">
        <w:rPr>
          <w:rFonts w:ascii="Calibri" w:hAnsi="Calibri"/>
          <w:noProof/>
          <w:sz w:val="20"/>
          <w:szCs w:val="20"/>
        </w:rPr>
        <w:lastRenderedPageBreak/>
        <w:t xml:space="preserve">of salmonella-infected rats is lessened by dietary calcium or tannic acid. </w:t>
      </w:r>
      <w:r w:rsidRPr="00610E48">
        <w:rPr>
          <w:rFonts w:ascii="Calibri" w:hAnsi="Calibri"/>
          <w:i/>
          <w:noProof/>
          <w:sz w:val="20"/>
          <w:szCs w:val="20"/>
        </w:rPr>
        <w:t>The Journal of Nutrition,</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140</w:t>
      </w:r>
      <w:r w:rsidRPr="00610E48">
        <w:rPr>
          <w:rFonts w:ascii="Calibri" w:hAnsi="Calibri"/>
          <w:noProof/>
          <w:sz w:val="20"/>
          <w:szCs w:val="20"/>
        </w:rPr>
        <w:t>, 2167-2172.</w:t>
      </w:r>
      <w:bookmarkEnd w:id="406"/>
    </w:p>
    <w:p w:rsidR="00512D09" w:rsidRPr="00610E48" w:rsidRDefault="00512D09" w:rsidP="00512D09">
      <w:pPr>
        <w:spacing w:after="0" w:line="240" w:lineRule="auto"/>
        <w:rPr>
          <w:rFonts w:ascii="Calibri" w:hAnsi="Calibri"/>
          <w:noProof/>
          <w:sz w:val="20"/>
          <w:szCs w:val="20"/>
        </w:rPr>
      </w:pPr>
      <w:bookmarkStart w:id="407" w:name="_ENREF_172"/>
      <w:r w:rsidRPr="00610E48">
        <w:rPr>
          <w:rFonts w:ascii="Calibri" w:hAnsi="Calibri"/>
          <w:noProof/>
          <w:sz w:val="20"/>
          <w:szCs w:val="20"/>
        </w:rPr>
        <w:tab/>
        <w:t>(172)</w:t>
      </w:r>
      <w:r w:rsidRPr="00610E48">
        <w:rPr>
          <w:rFonts w:ascii="Calibri" w:hAnsi="Calibri"/>
          <w:noProof/>
          <w:sz w:val="20"/>
          <w:szCs w:val="20"/>
        </w:rPr>
        <w:tab/>
        <w:t xml:space="preserve">Chung, K. T.; SE Jr, S.; Lin, W. F.; Wei, C.: Growth inhibition of selected food‐borne bacteria by tannic acid, propyl gallate and related compounds. </w:t>
      </w:r>
      <w:r w:rsidRPr="00610E48">
        <w:rPr>
          <w:rFonts w:ascii="Calibri" w:hAnsi="Calibri"/>
          <w:i/>
          <w:noProof/>
          <w:sz w:val="20"/>
          <w:szCs w:val="20"/>
        </w:rPr>
        <w:t>Letters in Applied Microbiology,</w:t>
      </w:r>
      <w:r w:rsidRPr="00610E48">
        <w:rPr>
          <w:rFonts w:ascii="Calibri" w:hAnsi="Calibri"/>
          <w:noProof/>
          <w:sz w:val="20"/>
          <w:szCs w:val="20"/>
        </w:rPr>
        <w:t xml:space="preserve"> </w:t>
      </w:r>
      <w:r w:rsidRPr="00610E48">
        <w:rPr>
          <w:rFonts w:ascii="Calibri" w:hAnsi="Calibri"/>
          <w:b/>
          <w:noProof/>
          <w:sz w:val="20"/>
          <w:szCs w:val="20"/>
        </w:rPr>
        <w:t>1993</w:t>
      </w:r>
      <w:r w:rsidRPr="00610E48">
        <w:rPr>
          <w:rFonts w:ascii="Calibri" w:hAnsi="Calibri"/>
          <w:noProof/>
          <w:sz w:val="20"/>
          <w:szCs w:val="20"/>
        </w:rPr>
        <w:t xml:space="preserve">, </w:t>
      </w:r>
      <w:r w:rsidRPr="00610E48">
        <w:rPr>
          <w:rFonts w:ascii="Calibri" w:hAnsi="Calibri"/>
          <w:i/>
          <w:noProof/>
          <w:sz w:val="20"/>
          <w:szCs w:val="20"/>
        </w:rPr>
        <w:t>17</w:t>
      </w:r>
      <w:r w:rsidRPr="00610E48">
        <w:rPr>
          <w:rFonts w:ascii="Calibri" w:hAnsi="Calibri"/>
          <w:noProof/>
          <w:sz w:val="20"/>
          <w:szCs w:val="20"/>
        </w:rPr>
        <w:t>, 29-32.</w:t>
      </w:r>
      <w:bookmarkEnd w:id="407"/>
    </w:p>
    <w:p w:rsidR="00512D09" w:rsidRPr="00610E48" w:rsidRDefault="00512D09" w:rsidP="00512D09">
      <w:pPr>
        <w:spacing w:after="0" w:line="240" w:lineRule="auto"/>
        <w:rPr>
          <w:rFonts w:ascii="Calibri" w:hAnsi="Calibri"/>
          <w:noProof/>
          <w:sz w:val="20"/>
          <w:szCs w:val="20"/>
        </w:rPr>
      </w:pPr>
      <w:bookmarkStart w:id="408" w:name="_ENREF_173"/>
      <w:r w:rsidRPr="00610E48">
        <w:rPr>
          <w:rFonts w:ascii="Calibri" w:hAnsi="Calibri"/>
          <w:noProof/>
          <w:sz w:val="20"/>
          <w:szCs w:val="20"/>
        </w:rPr>
        <w:tab/>
        <w:t>(173)</w:t>
      </w:r>
      <w:r w:rsidRPr="00610E48">
        <w:rPr>
          <w:rFonts w:ascii="Calibri" w:hAnsi="Calibri"/>
          <w:noProof/>
          <w:sz w:val="20"/>
          <w:szCs w:val="20"/>
        </w:rPr>
        <w:tab/>
        <w:t xml:space="preserve">Ferreira, D.: Antioxidant, antimalarial and antimicrobial activities of tannin-rich fractions, ellagitannins and phenolic acids from Punica granatum L. </w:t>
      </w:r>
      <w:r w:rsidRPr="00610E48">
        <w:rPr>
          <w:rFonts w:ascii="Calibri" w:hAnsi="Calibri"/>
          <w:b/>
          <w:noProof/>
          <w:sz w:val="20"/>
          <w:szCs w:val="20"/>
        </w:rPr>
        <w:t>2007</w:t>
      </w:r>
      <w:r w:rsidRPr="00610E48">
        <w:rPr>
          <w:rFonts w:ascii="Calibri" w:hAnsi="Calibri"/>
          <w:noProof/>
          <w:sz w:val="20"/>
          <w:szCs w:val="20"/>
        </w:rPr>
        <w:t>.</w:t>
      </w:r>
      <w:bookmarkEnd w:id="408"/>
    </w:p>
    <w:p w:rsidR="00512D09" w:rsidRPr="00610E48" w:rsidRDefault="00512D09" w:rsidP="00512D09">
      <w:pPr>
        <w:spacing w:after="0" w:line="240" w:lineRule="auto"/>
        <w:rPr>
          <w:rFonts w:ascii="Calibri" w:hAnsi="Calibri"/>
          <w:noProof/>
          <w:sz w:val="20"/>
          <w:szCs w:val="20"/>
        </w:rPr>
      </w:pPr>
      <w:bookmarkStart w:id="409" w:name="_ENREF_174"/>
      <w:r w:rsidRPr="00610E48">
        <w:rPr>
          <w:rFonts w:ascii="Calibri" w:hAnsi="Calibri"/>
          <w:noProof/>
          <w:sz w:val="20"/>
          <w:szCs w:val="20"/>
        </w:rPr>
        <w:tab/>
        <w:t>(174)</w:t>
      </w:r>
      <w:r w:rsidRPr="00610E48">
        <w:rPr>
          <w:rFonts w:ascii="Calibri" w:hAnsi="Calibri"/>
          <w:noProof/>
          <w:sz w:val="20"/>
          <w:szCs w:val="20"/>
        </w:rPr>
        <w:tab/>
        <w:t xml:space="preserve">Akiyama, H.; Fujii, K.; Yamasaki, O.; Oono, T.; Iwatsuki, K.: Antibacterial action of several tannins against Staphylococcus aureus. </w:t>
      </w:r>
      <w:r w:rsidRPr="00610E48">
        <w:rPr>
          <w:rFonts w:ascii="Calibri" w:hAnsi="Calibri"/>
          <w:i/>
          <w:noProof/>
          <w:sz w:val="20"/>
          <w:szCs w:val="20"/>
        </w:rPr>
        <w:t>Journal of Antimicrobial Chemotherapy,</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48</w:t>
      </w:r>
      <w:r w:rsidRPr="00610E48">
        <w:rPr>
          <w:rFonts w:ascii="Calibri" w:hAnsi="Calibri"/>
          <w:noProof/>
          <w:sz w:val="20"/>
          <w:szCs w:val="20"/>
        </w:rPr>
        <w:t>, 487-491.</w:t>
      </w:r>
      <w:bookmarkEnd w:id="409"/>
    </w:p>
    <w:p w:rsidR="00512D09" w:rsidRPr="00610E48" w:rsidRDefault="00512D09" w:rsidP="00512D09">
      <w:pPr>
        <w:spacing w:after="0" w:line="240" w:lineRule="auto"/>
        <w:rPr>
          <w:rFonts w:ascii="Calibri" w:hAnsi="Calibri"/>
          <w:noProof/>
          <w:sz w:val="20"/>
          <w:szCs w:val="20"/>
        </w:rPr>
      </w:pPr>
      <w:bookmarkStart w:id="410" w:name="_ENREF_175"/>
      <w:r w:rsidRPr="00610E48">
        <w:rPr>
          <w:rFonts w:ascii="Calibri" w:hAnsi="Calibri"/>
          <w:noProof/>
          <w:sz w:val="20"/>
          <w:szCs w:val="20"/>
        </w:rPr>
        <w:tab/>
        <w:t>(175)</w:t>
      </w:r>
      <w:r w:rsidRPr="00610E48">
        <w:rPr>
          <w:rFonts w:ascii="Calibri" w:hAnsi="Calibri"/>
          <w:noProof/>
          <w:sz w:val="20"/>
          <w:szCs w:val="20"/>
        </w:rPr>
        <w:tab/>
        <w:t xml:space="preserve">Glick, Z.; Joslyn, M.: Food intake depression and other metabolic effects of tannic acid in the rat. </w:t>
      </w:r>
      <w:r w:rsidRPr="00610E48">
        <w:rPr>
          <w:rFonts w:ascii="Calibri" w:hAnsi="Calibri"/>
          <w:i/>
          <w:noProof/>
          <w:sz w:val="20"/>
          <w:szCs w:val="20"/>
        </w:rPr>
        <w:t>Journal of Nutrition,</w:t>
      </w:r>
      <w:r w:rsidRPr="00610E48">
        <w:rPr>
          <w:rFonts w:ascii="Calibri" w:hAnsi="Calibri"/>
          <w:noProof/>
          <w:sz w:val="20"/>
          <w:szCs w:val="20"/>
        </w:rPr>
        <w:t xml:space="preserve"> </w:t>
      </w:r>
      <w:r w:rsidRPr="00610E48">
        <w:rPr>
          <w:rFonts w:ascii="Calibri" w:hAnsi="Calibri"/>
          <w:b/>
          <w:noProof/>
          <w:sz w:val="20"/>
          <w:szCs w:val="20"/>
        </w:rPr>
        <w:t>1970</w:t>
      </w:r>
      <w:r w:rsidRPr="00610E48">
        <w:rPr>
          <w:rFonts w:ascii="Calibri" w:hAnsi="Calibri"/>
          <w:noProof/>
          <w:sz w:val="20"/>
          <w:szCs w:val="20"/>
        </w:rPr>
        <w:t xml:space="preserve">, </w:t>
      </w:r>
      <w:r w:rsidRPr="00610E48">
        <w:rPr>
          <w:rFonts w:ascii="Calibri" w:hAnsi="Calibri"/>
          <w:i/>
          <w:noProof/>
          <w:sz w:val="20"/>
          <w:szCs w:val="20"/>
        </w:rPr>
        <w:t>100</w:t>
      </w:r>
      <w:r w:rsidRPr="00610E48">
        <w:rPr>
          <w:rFonts w:ascii="Calibri" w:hAnsi="Calibri"/>
          <w:noProof/>
          <w:sz w:val="20"/>
          <w:szCs w:val="20"/>
        </w:rPr>
        <w:t>, 509-515.</w:t>
      </w:r>
      <w:bookmarkEnd w:id="410"/>
    </w:p>
    <w:p w:rsidR="00512D09" w:rsidRPr="00610E48" w:rsidRDefault="00512D09" w:rsidP="00512D09">
      <w:pPr>
        <w:spacing w:after="0" w:line="240" w:lineRule="auto"/>
        <w:rPr>
          <w:rFonts w:ascii="Calibri" w:hAnsi="Calibri"/>
          <w:noProof/>
          <w:sz w:val="20"/>
          <w:szCs w:val="20"/>
        </w:rPr>
      </w:pPr>
      <w:bookmarkStart w:id="411" w:name="_ENREF_176"/>
      <w:r w:rsidRPr="00610E48">
        <w:rPr>
          <w:rFonts w:ascii="Calibri" w:hAnsi="Calibri"/>
          <w:noProof/>
          <w:sz w:val="20"/>
          <w:szCs w:val="20"/>
        </w:rPr>
        <w:tab/>
        <w:t>(176)</w:t>
      </w:r>
      <w:r w:rsidRPr="00610E48">
        <w:rPr>
          <w:rFonts w:ascii="Calibri" w:hAnsi="Calibri"/>
          <w:noProof/>
          <w:sz w:val="20"/>
          <w:szCs w:val="20"/>
        </w:rPr>
        <w:tab/>
        <w:t xml:space="preserve">Hagerman, A. E.; Butler, L. G.: The specificity of proanthocyanidin-protein interactions.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1981</w:t>
      </w:r>
      <w:r w:rsidRPr="00610E48">
        <w:rPr>
          <w:rFonts w:ascii="Calibri" w:hAnsi="Calibri"/>
          <w:noProof/>
          <w:sz w:val="20"/>
          <w:szCs w:val="20"/>
        </w:rPr>
        <w:t xml:space="preserve">, </w:t>
      </w:r>
      <w:r w:rsidRPr="00610E48">
        <w:rPr>
          <w:rFonts w:ascii="Calibri" w:hAnsi="Calibri"/>
          <w:i/>
          <w:noProof/>
          <w:sz w:val="20"/>
          <w:szCs w:val="20"/>
        </w:rPr>
        <w:t>256</w:t>
      </w:r>
      <w:r w:rsidRPr="00610E48">
        <w:rPr>
          <w:rFonts w:ascii="Calibri" w:hAnsi="Calibri"/>
          <w:noProof/>
          <w:sz w:val="20"/>
          <w:szCs w:val="20"/>
        </w:rPr>
        <w:t>, 4494-4497.</w:t>
      </w:r>
      <w:bookmarkEnd w:id="411"/>
    </w:p>
    <w:p w:rsidR="00512D09" w:rsidRPr="00610E48" w:rsidRDefault="00512D09" w:rsidP="00512D09">
      <w:pPr>
        <w:spacing w:after="0" w:line="240" w:lineRule="auto"/>
        <w:rPr>
          <w:rFonts w:ascii="Calibri" w:hAnsi="Calibri"/>
          <w:noProof/>
          <w:sz w:val="20"/>
          <w:szCs w:val="20"/>
        </w:rPr>
      </w:pPr>
      <w:bookmarkStart w:id="412" w:name="_ENREF_177"/>
      <w:r w:rsidRPr="00610E48">
        <w:rPr>
          <w:rFonts w:ascii="Calibri" w:hAnsi="Calibri"/>
          <w:noProof/>
          <w:sz w:val="20"/>
          <w:szCs w:val="20"/>
        </w:rPr>
        <w:tab/>
        <w:t>(177)</w:t>
      </w:r>
      <w:r w:rsidRPr="00610E48">
        <w:rPr>
          <w:rFonts w:ascii="Calibri" w:hAnsi="Calibri"/>
          <w:noProof/>
          <w:sz w:val="20"/>
          <w:szCs w:val="20"/>
        </w:rPr>
        <w:tab/>
        <w:t xml:space="preserve">Sulkowska, A.: Interaction of drugs with bovine and human serum albumin. </w:t>
      </w:r>
      <w:r w:rsidRPr="00610E48">
        <w:rPr>
          <w:rFonts w:ascii="Calibri" w:hAnsi="Calibri"/>
          <w:i/>
          <w:noProof/>
          <w:sz w:val="20"/>
          <w:szCs w:val="20"/>
        </w:rPr>
        <w:t>Journal of Molecular Structure,</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614</w:t>
      </w:r>
      <w:r w:rsidRPr="00610E48">
        <w:rPr>
          <w:rFonts w:ascii="Calibri" w:hAnsi="Calibri"/>
          <w:noProof/>
          <w:sz w:val="20"/>
          <w:szCs w:val="20"/>
        </w:rPr>
        <w:t>, 227-232.</w:t>
      </w:r>
      <w:bookmarkEnd w:id="412"/>
    </w:p>
    <w:p w:rsidR="00512D09" w:rsidRPr="00610E48" w:rsidRDefault="00512D09" w:rsidP="00512D09">
      <w:pPr>
        <w:spacing w:after="0" w:line="240" w:lineRule="auto"/>
        <w:rPr>
          <w:rFonts w:ascii="Calibri" w:hAnsi="Calibri"/>
          <w:noProof/>
          <w:sz w:val="20"/>
          <w:szCs w:val="20"/>
        </w:rPr>
      </w:pPr>
      <w:bookmarkStart w:id="413" w:name="_ENREF_178"/>
      <w:r w:rsidRPr="00610E48">
        <w:rPr>
          <w:rFonts w:ascii="Calibri" w:hAnsi="Calibri"/>
          <w:noProof/>
          <w:sz w:val="20"/>
          <w:szCs w:val="20"/>
        </w:rPr>
        <w:tab/>
        <w:t>(178)</w:t>
      </w:r>
      <w:r w:rsidRPr="00610E48">
        <w:rPr>
          <w:rFonts w:ascii="Calibri" w:hAnsi="Calibri"/>
          <w:noProof/>
          <w:sz w:val="20"/>
          <w:szCs w:val="20"/>
        </w:rPr>
        <w:tab/>
        <w:t xml:space="preserve">Majorek, K. A.; Porebski, P. J.; Dayal, A.; Zimmerman, M. D.; Jablonska, K.; Stewart, A. J.; Chruszcz, M.; Minor, W.: Structural and immunologic characterization of bovine, horse, and rabbit serum albumins. </w:t>
      </w:r>
      <w:r w:rsidRPr="00610E48">
        <w:rPr>
          <w:rFonts w:ascii="Calibri" w:hAnsi="Calibri"/>
          <w:i/>
          <w:noProof/>
          <w:sz w:val="20"/>
          <w:szCs w:val="20"/>
        </w:rPr>
        <w:t>Molecular Immunology,</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52</w:t>
      </w:r>
      <w:r w:rsidRPr="00610E48">
        <w:rPr>
          <w:rFonts w:ascii="Calibri" w:hAnsi="Calibri"/>
          <w:noProof/>
          <w:sz w:val="20"/>
          <w:szCs w:val="20"/>
        </w:rPr>
        <w:t>, 174-182.</w:t>
      </w:r>
      <w:bookmarkEnd w:id="413"/>
    </w:p>
    <w:p w:rsidR="00512D09" w:rsidRPr="00610E48" w:rsidRDefault="00512D09" w:rsidP="00512D09">
      <w:pPr>
        <w:spacing w:after="0" w:line="240" w:lineRule="auto"/>
        <w:rPr>
          <w:rFonts w:ascii="Calibri" w:hAnsi="Calibri"/>
          <w:noProof/>
          <w:sz w:val="20"/>
          <w:szCs w:val="20"/>
        </w:rPr>
      </w:pPr>
      <w:bookmarkStart w:id="414" w:name="_ENREF_179"/>
      <w:r w:rsidRPr="00610E48">
        <w:rPr>
          <w:rFonts w:ascii="Calibri" w:hAnsi="Calibri"/>
          <w:noProof/>
          <w:sz w:val="20"/>
          <w:szCs w:val="20"/>
        </w:rPr>
        <w:tab/>
        <w:t>(179)</w:t>
      </w:r>
      <w:r w:rsidRPr="00610E48">
        <w:rPr>
          <w:rFonts w:ascii="Calibri" w:hAnsi="Calibri"/>
          <w:noProof/>
          <w:sz w:val="20"/>
          <w:szCs w:val="20"/>
        </w:rPr>
        <w:tab/>
        <w:t xml:space="preserve">Michnik, A.: Thermal stability of bovine serum albumin DSC study. </w:t>
      </w:r>
      <w:r w:rsidRPr="00610E48">
        <w:rPr>
          <w:rFonts w:ascii="Calibri" w:hAnsi="Calibri"/>
          <w:i/>
          <w:noProof/>
          <w:sz w:val="20"/>
          <w:szCs w:val="20"/>
        </w:rPr>
        <w:t>Journal of Thermal Analysis and Calorimetry,</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71</w:t>
      </w:r>
      <w:r w:rsidRPr="00610E48">
        <w:rPr>
          <w:rFonts w:ascii="Calibri" w:hAnsi="Calibri"/>
          <w:noProof/>
          <w:sz w:val="20"/>
          <w:szCs w:val="20"/>
        </w:rPr>
        <w:t>, 509-519.</w:t>
      </w:r>
      <w:bookmarkEnd w:id="414"/>
    </w:p>
    <w:p w:rsidR="00512D09" w:rsidRPr="00610E48" w:rsidRDefault="00512D09" w:rsidP="00512D09">
      <w:pPr>
        <w:spacing w:after="0" w:line="240" w:lineRule="auto"/>
        <w:rPr>
          <w:rFonts w:ascii="Calibri" w:hAnsi="Calibri"/>
          <w:noProof/>
          <w:sz w:val="20"/>
          <w:szCs w:val="20"/>
        </w:rPr>
      </w:pPr>
      <w:bookmarkStart w:id="415" w:name="_ENREF_180"/>
      <w:r w:rsidRPr="00610E48">
        <w:rPr>
          <w:rFonts w:ascii="Calibri" w:hAnsi="Calibri"/>
          <w:noProof/>
          <w:sz w:val="20"/>
          <w:szCs w:val="20"/>
        </w:rPr>
        <w:tab/>
        <w:t>(180)</w:t>
      </w:r>
      <w:r w:rsidRPr="00610E48">
        <w:rPr>
          <w:rFonts w:ascii="Calibri" w:hAnsi="Calibri"/>
          <w:noProof/>
          <w:sz w:val="20"/>
          <w:szCs w:val="20"/>
        </w:rPr>
        <w:tab/>
        <w:t xml:space="preserve">Arakawa, T.; Timasheff, S.: The mechanism of action of Na glutamate, lysine HCl, and piperazine-N, N'-bis (2-ethanesulfonic acid) in the stabilization of tubulin and microtubule formation.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1984</w:t>
      </w:r>
      <w:r w:rsidRPr="00610E48">
        <w:rPr>
          <w:rFonts w:ascii="Calibri" w:hAnsi="Calibri"/>
          <w:noProof/>
          <w:sz w:val="20"/>
          <w:szCs w:val="20"/>
        </w:rPr>
        <w:t xml:space="preserve">, </w:t>
      </w:r>
      <w:r w:rsidRPr="00610E48">
        <w:rPr>
          <w:rFonts w:ascii="Calibri" w:hAnsi="Calibri"/>
          <w:i/>
          <w:noProof/>
          <w:sz w:val="20"/>
          <w:szCs w:val="20"/>
        </w:rPr>
        <w:t>259</w:t>
      </w:r>
      <w:r w:rsidRPr="00610E48">
        <w:rPr>
          <w:rFonts w:ascii="Calibri" w:hAnsi="Calibri"/>
          <w:noProof/>
          <w:sz w:val="20"/>
          <w:szCs w:val="20"/>
        </w:rPr>
        <w:t>, 4979-4986.</w:t>
      </w:r>
      <w:bookmarkEnd w:id="415"/>
    </w:p>
    <w:p w:rsidR="00512D09" w:rsidRPr="00610E48" w:rsidRDefault="00512D09" w:rsidP="00512D09">
      <w:pPr>
        <w:spacing w:after="0" w:line="240" w:lineRule="auto"/>
        <w:rPr>
          <w:rFonts w:ascii="Calibri" w:hAnsi="Calibri"/>
          <w:noProof/>
          <w:sz w:val="20"/>
          <w:szCs w:val="20"/>
        </w:rPr>
      </w:pPr>
      <w:bookmarkStart w:id="416" w:name="_ENREF_181"/>
      <w:r w:rsidRPr="00610E48">
        <w:rPr>
          <w:rFonts w:ascii="Calibri" w:hAnsi="Calibri"/>
          <w:noProof/>
          <w:sz w:val="20"/>
          <w:szCs w:val="20"/>
        </w:rPr>
        <w:tab/>
        <w:t>(181)</w:t>
      </w:r>
      <w:r w:rsidRPr="00610E48">
        <w:rPr>
          <w:rFonts w:ascii="Calibri" w:hAnsi="Calibri"/>
          <w:noProof/>
          <w:sz w:val="20"/>
          <w:szCs w:val="20"/>
        </w:rPr>
        <w:tab/>
        <w:t xml:space="preserve">Barbosa, L. R. S.; Ortore, M. G.; Spinozzi, F.; Mariani, P.; Bernstorff, S.; Itri, R.: The Importance of Protein-Protein Interactions on the pH-Induced Conformational Changes of Bovine Serum Albumin: A Small-Angle X-Ray Scattering Study. </w:t>
      </w:r>
      <w:r w:rsidRPr="00610E48">
        <w:rPr>
          <w:rFonts w:ascii="Calibri" w:hAnsi="Calibri"/>
          <w:i/>
          <w:noProof/>
          <w:sz w:val="20"/>
          <w:szCs w:val="20"/>
        </w:rPr>
        <w:t>Biophysical Journal,</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98</w:t>
      </w:r>
      <w:r w:rsidRPr="00610E48">
        <w:rPr>
          <w:rFonts w:ascii="Calibri" w:hAnsi="Calibri"/>
          <w:noProof/>
          <w:sz w:val="20"/>
          <w:szCs w:val="20"/>
        </w:rPr>
        <w:t>, 147-157.</w:t>
      </w:r>
      <w:bookmarkEnd w:id="416"/>
    </w:p>
    <w:p w:rsidR="00512D09" w:rsidRPr="00610E48" w:rsidRDefault="00512D09" w:rsidP="00512D09">
      <w:pPr>
        <w:spacing w:after="0" w:line="240" w:lineRule="auto"/>
        <w:rPr>
          <w:rFonts w:ascii="Calibri" w:hAnsi="Calibri"/>
          <w:noProof/>
          <w:sz w:val="20"/>
          <w:szCs w:val="20"/>
        </w:rPr>
      </w:pPr>
      <w:bookmarkStart w:id="417" w:name="_ENREF_182"/>
      <w:r w:rsidRPr="00610E48">
        <w:rPr>
          <w:rFonts w:ascii="Calibri" w:hAnsi="Calibri"/>
          <w:noProof/>
          <w:sz w:val="20"/>
          <w:szCs w:val="20"/>
        </w:rPr>
        <w:tab/>
        <w:t>(182)</w:t>
      </w:r>
      <w:r w:rsidRPr="00610E48">
        <w:rPr>
          <w:rFonts w:ascii="Calibri" w:hAnsi="Calibri"/>
          <w:noProof/>
          <w:sz w:val="20"/>
          <w:szCs w:val="20"/>
        </w:rPr>
        <w:tab/>
        <w:t xml:space="preserve">Hatano, T.; Hori, M.; Hemingway, R. W.; Yoshida, T.: Size exclusion chromatographic analysis of polyphenol–serum albumin complexes. </w:t>
      </w:r>
      <w:r w:rsidRPr="00610E48">
        <w:rPr>
          <w:rFonts w:ascii="Calibri" w:hAnsi="Calibri"/>
          <w:i/>
          <w:noProof/>
          <w:sz w:val="20"/>
          <w:szCs w:val="20"/>
        </w:rPr>
        <w:t>Phytochemistry,</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63</w:t>
      </w:r>
      <w:r w:rsidRPr="00610E48">
        <w:rPr>
          <w:rFonts w:ascii="Calibri" w:hAnsi="Calibri"/>
          <w:noProof/>
          <w:sz w:val="20"/>
          <w:szCs w:val="20"/>
        </w:rPr>
        <w:t>, 817-823.</w:t>
      </w:r>
      <w:bookmarkEnd w:id="417"/>
    </w:p>
    <w:p w:rsidR="00512D09" w:rsidRPr="00610E48" w:rsidRDefault="00512D09" w:rsidP="00512D09">
      <w:pPr>
        <w:spacing w:after="0" w:line="240" w:lineRule="auto"/>
        <w:rPr>
          <w:rFonts w:ascii="Calibri" w:hAnsi="Calibri"/>
          <w:noProof/>
          <w:sz w:val="20"/>
          <w:szCs w:val="20"/>
        </w:rPr>
      </w:pPr>
      <w:bookmarkStart w:id="418" w:name="_ENREF_183"/>
      <w:r w:rsidRPr="00610E48">
        <w:rPr>
          <w:rFonts w:ascii="Calibri" w:hAnsi="Calibri"/>
          <w:noProof/>
          <w:sz w:val="20"/>
          <w:szCs w:val="20"/>
        </w:rPr>
        <w:tab/>
        <w:t>(183)</w:t>
      </w:r>
      <w:r w:rsidRPr="00610E48">
        <w:rPr>
          <w:rFonts w:ascii="Calibri" w:hAnsi="Calibri"/>
          <w:noProof/>
          <w:sz w:val="20"/>
          <w:szCs w:val="20"/>
        </w:rPr>
        <w:tab/>
        <w:t xml:space="preserve">Bujacz, A.: Structures of bovine, equine and leporine serum albumin. </w:t>
      </w:r>
      <w:r w:rsidRPr="00610E48">
        <w:rPr>
          <w:rFonts w:ascii="Calibri" w:hAnsi="Calibri"/>
          <w:i/>
          <w:noProof/>
          <w:sz w:val="20"/>
          <w:szCs w:val="20"/>
        </w:rPr>
        <w:t>Acta Crystallographica Section D: Biological Crystallography,</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68</w:t>
      </w:r>
      <w:r w:rsidRPr="00610E48">
        <w:rPr>
          <w:rFonts w:ascii="Calibri" w:hAnsi="Calibri"/>
          <w:noProof/>
          <w:sz w:val="20"/>
          <w:szCs w:val="20"/>
        </w:rPr>
        <w:t>, 1278-1289.</w:t>
      </w:r>
      <w:bookmarkEnd w:id="418"/>
    </w:p>
    <w:p w:rsidR="00512D09" w:rsidRPr="00610E48" w:rsidRDefault="00512D09" w:rsidP="00512D09">
      <w:pPr>
        <w:spacing w:after="0" w:line="240" w:lineRule="auto"/>
        <w:rPr>
          <w:rFonts w:ascii="Calibri" w:hAnsi="Calibri"/>
          <w:noProof/>
          <w:sz w:val="20"/>
          <w:szCs w:val="20"/>
        </w:rPr>
      </w:pPr>
      <w:bookmarkStart w:id="419" w:name="_ENREF_184"/>
      <w:r w:rsidRPr="00610E48">
        <w:rPr>
          <w:rFonts w:ascii="Calibri" w:hAnsi="Calibri"/>
          <w:noProof/>
          <w:sz w:val="20"/>
          <w:szCs w:val="20"/>
        </w:rPr>
        <w:tab/>
        <w:t>(184)</w:t>
      </w:r>
      <w:r w:rsidRPr="00610E48">
        <w:rPr>
          <w:rFonts w:ascii="Calibri" w:hAnsi="Calibri"/>
          <w:noProof/>
          <w:sz w:val="20"/>
          <w:szCs w:val="20"/>
        </w:rPr>
        <w:tab/>
        <w:t xml:space="preserve">Serafini, M.; Maiani, G.; Ferro-Luzzi, A.: Effect of Ethanol on Red Wine Tannin−Protein (BSA) Interactions.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1997</w:t>
      </w:r>
      <w:r w:rsidRPr="00610E48">
        <w:rPr>
          <w:rFonts w:ascii="Calibri" w:hAnsi="Calibri"/>
          <w:noProof/>
          <w:sz w:val="20"/>
          <w:szCs w:val="20"/>
        </w:rPr>
        <w:t xml:space="preserve">, </w:t>
      </w:r>
      <w:r w:rsidRPr="00610E48">
        <w:rPr>
          <w:rFonts w:ascii="Calibri" w:hAnsi="Calibri"/>
          <w:i/>
          <w:noProof/>
          <w:sz w:val="20"/>
          <w:szCs w:val="20"/>
        </w:rPr>
        <w:t>45</w:t>
      </w:r>
      <w:r w:rsidRPr="00610E48">
        <w:rPr>
          <w:rFonts w:ascii="Calibri" w:hAnsi="Calibri"/>
          <w:noProof/>
          <w:sz w:val="20"/>
          <w:szCs w:val="20"/>
        </w:rPr>
        <w:t>, 3148-3151.</w:t>
      </w:r>
      <w:bookmarkEnd w:id="419"/>
    </w:p>
    <w:p w:rsidR="00512D09" w:rsidRPr="00610E48" w:rsidRDefault="00512D09" w:rsidP="00512D09">
      <w:pPr>
        <w:spacing w:after="0" w:line="240" w:lineRule="auto"/>
        <w:rPr>
          <w:rFonts w:ascii="Calibri" w:hAnsi="Calibri"/>
          <w:noProof/>
          <w:sz w:val="20"/>
          <w:szCs w:val="20"/>
        </w:rPr>
      </w:pPr>
      <w:bookmarkStart w:id="420" w:name="_ENREF_185"/>
      <w:r w:rsidRPr="00610E48">
        <w:rPr>
          <w:rFonts w:ascii="Calibri" w:hAnsi="Calibri"/>
          <w:noProof/>
          <w:sz w:val="20"/>
          <w:szCs w:val="20"/>
        </w:rPr>
        <w:tab/>
        <w:t>(185)</w:t>
      </w:r>
      <w:r w:rsidRPr="00610E48">
        <w:rPr>
          <w:rFonts w:ascii="Calibri" w:hAnsi="Calibri"/>
          <w:noProof/>
          <w:sz w:val="20"/>
          <w:szCs w:val="20"/>
        </w:rPr>
        <w:tab/>
        <w:t xml:space="preserve">Oh, H. I.; Hoff, J. E.; Armstrong, G. S.; Haff, L. A.: Hydrophobic interaction in tannin-protein complexes.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1980</w:t>
      </w:r>
      <w:r w:rsidRPr="00610E48">
        <w:rPr>
          <w:rFonts w:ascii="Calibri" w:hAnsi="Calibri"/>
          <w:noProof/>
          <w:sz w:val="20"/>
          <w:szCs w:val="20"/>
        </w:rPr>
        <w:t xml:space="preserve">, </w:t>
      </w:r>
      <w:r w:rsidRPr="00610E48">
        <w:rPr>
          <w:rFonts w:ascii="Calibri" w:hAnsi="Calibri"/>
          <w:i/>
          <w:noProof/>
          <w:sz w:val="20"/>
          <w:szCs w:val="20"/>
        </w:rPr>
        <w:t>28</w:t>
      </w:r>
      <w:r w:rsidRPr="00610E48">
        <w:rPr>
          <w:rFonts w:ascii="Calibri" w:hAnsi="Calibri"/>
          <w:noProof/>
          <w:sz w:val="20"/>
          <w:szCs w:val="20"/>
        </w:rPr>
        <w:t>, 394-398.</w:t>
      </w:r>
      <w:bookmarkEnd w:id="420"/>
    </w:p>
    <w:p w:rsidR="00512D09" w:rsidRPr="00610E48" w:rsidRDefault="00512D09" w:rsidP="00512D09">
      <w:pPr>
        <w:spacing w:after="0" w:line="240" w:lineRule="auto"/>
        <w:rPr>
          <w:rFonts w:ascii="Calibri" w:hAnsi="Calibri"/>
          <w:noProof/>
          <w:sz w:val="20"/>
          <w:szCs w:val="20"/>
        </w:rPr>
      </w:pPr>
      <w:bookmarkStart w:id="421" w:name="_ENREF_186"/>
      <w:r w:rsidRPr="00610E48">
        <w:rPr>
          <w:rFonts w:ascii="Calibri" w:hAnsi="Calibri"/>
          <w:noProof/>
          <w:sz w:val="20"/>
          <w:szCs w:val="20"/>
        </w:rPr>
        <w:tab/>
        <w:t>(186)</w:t>
      </w:r>
      <w:r w:rsidRPr="00610E48">
        <w:rPr>
          <w:rFonts w:ascii="Calibri" w:hAnsi="Calibri"/>
          <w:noProof/>
          <w:sz w:val="20"/>
          <w:szCs w:val="20"/>
        </w:rPr>
        <w:tab/>
        <w:t xml:space="preserve">Santos-Buelga, C.; Scalbert, A.: Proanthocyanidins and tannin-like compounds – nature, occurrence, dietary intake and effects on nutrition and health. </w:t>
      </w:r>
      <w:r w:rsidRPr="00610E48">
        <w:rPr>
          <w:rFonts w:ascii="Calibri" w:hAnsi="Calibri"/>
          <w:i/>
          <w:noProof/>
          <w:sz w:val="20"/>
          <w:szCs w:val="20"/>
        </w:rPr>
        <w:t>Journal of the Science of Food and Agriculture,</w:t>
      </w:r>
      <w:r w:rsidRPr="00610E48">
        <w:rPr>
          <w:rFonts w:ascii="Calibri" w:hAnsi="Calibri"/>
          <w:noProof/>
          <w:sz w:val="20"/>
          <w:szCs w:val="20"/>
        </w:rPr>
        <w:t xml:space="preserve"> </w:t>
      </w:r>
      <w:r w:rsidRPr="00610E48">
        <w:rPr>
          <w:rFonts w:ascii="Calibri" w:hAnsi="Calibri"/>
          <w:b/>
          <w:noProof/>
          <w:sz w:val="20"/>
          <w:szCs w:val="20"/>
        </w:rPr>
        <w:t>2000</w:t>
      </w:r>
      <w:r w:rsidRPr="00610E48">
        <w:rPr>
          <w:rFonts w:ascii="Calibri" w:hAnsi="Calibri"/>
          <w:noProof/>
          <w:sz w:val="20"/>
          <w:szCs w:val="20"/>
        </w:rPr>
        <w:t xml:space="preserve">, </w:t>
      </w:r>
      <w:r w:rsidRPr="00610E48">
        <w:rPr>
          <w:rFonts w:ascii="Calibri" w:hAnsi="Calibri"/>
          <w:i/>
          <w:noProof/>
          <w:sz w:val="20"/>
          <w:szCs w:val="20"/>
        </w:rPr>
        <w:t>80</w:t>
      </w:r>
      <w:r w:rsidRPr="00610E48">
        <w:rPr>
          <w:rFonts w:ascii="Calibri" w:hAnsi="Calibri"/>
          <w:noProof/>
          <w:sz w:val="20"/>
          <w:szCs w:val="20"/>
        </w:rPr>
        <w:t>, 1094-1117.</w:t>
      </w:r>
      <w:bookmarkEnd w:id="421"/>
    </w:p>
    <w:p w:rsidR="00512D09" w:rsidRPr="00610E48" w:rsidRDefault="00512D09" w:rsidP="00512D09">
      <w:pPr>
        <w:spacing w:after="0" w:line="240" w:lineRule="auto"/>
        <w:rPr>
          <w:rFonts w:ascii="Calibri" w:hAnsi="Calibri"/>
          <w:noProof/>
          <w:sz w:val="20"/>
          <w:szCs w:val="20"/>
        </w:rPr>
      </w:pPr>
      <w:bookmarkStart w:id="422" w:name="_ENREF_187"/>
      <w:r w:rsidRPr="00610E48">
        <w:rPr>
          <w:rFonts w:ascii="Calibri" w:hAnsi="Calibri"/>
          <w:noProof/>
          <w:sz w:val="20"/>
          <w:szCs w:val="20"/>
        </w:rPr>
        <w:tab/>
        <w:t>(187)</w:t>
      </w:r>
      <w:r w:rsidRPr="00610E48">
        <w:rPr>
          <w:rFonts w:ascii="Calibri" w:hAnsi="Calibri"/>
          <w:noProof/>
          <w:sz w:val="20"/>
          <w:szCs w:val="20"/>
        </w:rPr>
        <w:tab/>
        <w:t xml:space="preserve">Abrahamse, S. L.; Kloots, W. J.; van Amelsvoort, J. M. M.: Absorption, distribution, and secretion of epicatechin and quercetin in the rat. </w:t>
      </w:r>
      <w:r w:rsidRPr="00610E48">
        <w:rPr>
          <w:rFonts w:ascii="Calibri" w:hAnsi="Calibri"/>
          <w:i/>
          <w:noProof/>
          <w:sz w:val="20"/>
          <w:szCs w:val="20"/>
        </w:rPr>
        <w:t>Nutrition Research,</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25</w:t>
      </w:r>
      <w:r w:rsidRPr="00610E48">
        <w:rPr>
          <w:rFonts w:ascii="Calibri" w:hAnsi="Calibri"/>
          <w:noProof/>
          <w:sz w:val="20"/>
          <w:szCs w:val="20"/>
        </w:rPr>
        <w:t>, 305-317.</w:t>
      </w:r>
      <w:bookmarkEnd w:id="422"/>
    </w:p>
    <w:p w:rsidR="00512D09" w:rsidRPr="00610E48" w:rsidRDefault="00512D09" w:rsidP="00512D09">
      <w:pPr>
        <w:spacing w:after="0" w:line="240" w:lineRule="auto"/>
        <w:rPr>
          <w:rFonts w:ascii="Calibri" w:hAnsi="Calibri"/>
          <w:noProof/>
          <w:sz w:val="20"/>
          <w:szCs w:val="20"/>
        </w:rPr>
      </w:pPr>
      <w:bookmarkStart w:id="423" w:name="_ENREF_188"/>
      <w:r w:rsidRPr="00610E48">
        <w:rPr>
          <w:rFonts w:ascii="Calibri" w:hAnsi="Calibri"/>
          <w:noProof/>
          <w:sz w:val="20"/>
          <w:szCs w:val="20"/>
        </w:rPr>
        <w:tab/>
        <w:t>(188)</w:t>
      </w:r>
      <w:r w:rsidRPr="00610E48">
        <w:rPr>
          <w:rFonts w:ascii="Calibri" w:hAnsi="Calibri"/>
          <w:noProof/>
          <w:sz w:val="20"/>
          <w:szCs w:val="20"/>
        </w:rPr>
        <w:tab/>
        <w:t xml:space="preserve">Prescott, E.; Grønbæk, M.; Becker, U.; Sørensen, T. I. A.: Alcohol Intake and the Risk of Lung Cancer: Influence of Type of Alcoholic Beverage. </w:t>
      </w:r>
      <w:r w:rsidRPr="00610E48">
        <w:rPr>
          <w:rFonts w:ascii="Calibri" w:hAnsi="Calibri"/>
          <w:i/>
          <w:noProof/>
          <w:sz w:val="20"/>
          <w:szCs w:val="20"/>
        </w:rPr>
        <w:t>American Journal of Epidemiology,</w:t>
      </w:r>
      <w:r w:rsidRPr="00610E48">
        <w:rPr>
          <w:rFonts w:ascii="Calibri" w:hAnsi="Calibri"/>
          <w:noProof/>
          <w:sz w:val="20"/>
          <w:szCs w:val="20"/>
        </w:rPr>
        <w:t xml:space="preserve"> </w:t>
      </w:r>
      <w:r w:rsidRPr="00610E48">
        <w:rPr>
          <w:rFonts w:ascii="Calibri" w:hAnsi="Calibri"/>
          <w:b/>
          <w:noProof/>
          <w:sz w:val="20"/>
          <w:szCs w:val="20"/>
        </w:rPr>
        <w:t>1999</w:t>
      </w:r>
      <w:r w:rsidRPr="00610E48">
        <w:rPr>
          <w:rFonts w:ascii="Calibri" w:hAnsi="Calibri"/>
          <w:noProof/>
          <w:sz w:val="20"/>
          <w:szCs w:val="20"/>
        </w:rPr>
        <w:t xml:space="preserve">, </w:t>
      </w:r>
      <w:r w:rsidRPr="00610E48">
        <w:rPr>
          <w:rFonts w:ascii="Calibri" w:hAnsi="Calibri"/>
          <w:i/>
          <w:noProof/>
          <w:sz w:val="20"/>
          <w:szCs w:val="20"/>
        </w:rPr>
        <w:t>149</w:t>
      </w:r>
      <w:r w:rsidRPr="00610E48">
        <w:rPr>
          <w:rFonts w:ascii="Calibri" w:hAnsi="Calibri"/>
          <w:noProof/>
          <w:sz w:val="20"/>
          <w:szCs w:val="20"/>
        </w:rPr>
        <w:t>, 463-470.</w:t>
      </w:r>
      <w:bookmarkEnd w:id="423"/>
    </w:p>
    <w:p w:rsidR="00512D09" w:rsidRPr="00610E48" w:rsidRDefault="00512D09" w:rsidP="00512D09">
      <w:pPr>
        <w:spacing w:after="0" w:line="240" w:lineRule="auto"/>
        <w:rPr>
          <w:rFonts w:ascii="Calibri" w:hAnsi="Calibri"/>
          <w:noProof/>
          <w:sz w:val="20"/>
          <w:szCs w:val="20"/>
        </w:rPr>
      </w:pPr>
      <w:bookmarkStart w:id="424" w:name="_ENREF_189"/>
      <w:r w:rsidRPr="00610E48">
        <w:rPr>
          <w:rFonts w:ascii="Calibri" w:hAnsi="Calibri"/>
          <w:noProof/>
          <w:sz w:val="20"/>
          <w:szCs w:val="20"/>
        </w:rPr>
        <w:tab/>
        <w:t>(189)</w:t>
      </w:r>
      <w:r w:rsidRPr="00610E48">
        <w:rPr>
          <w:rFonts w:ascii="Calibri" w:hAnsi="Calibri"/>
          <w:noProof/>
          <w:sz w:val="20"/>
          <w:szCs w:val="20"/>
        </w:rPr>
        <w:tab/>
        <w:t xml:space="preserve">Cao, J.; Xu, Y.; Chen, J.; Klaunig, J. E.: Chemopreventive Effects of Green and Black Tea on Pulmonary and Hepatic Carcinogenesis. </w:t>
      </w:r>
      <w:r w:rsidRPr="00610E48">
        <w:rPr>
          <w:rFonts w:ascii="Calibri" w:hAnsi="Calibri"/>
          <w:i/>
          <w:noProof/>
          <w:sz w:val="20"/>
          <w:szCs w:val="20"/>
        </w:rPr>
        <w:t>Fundamental and Applied Toxicology,</w:t>
      </w:r>
      <w:r w:rsidRPr="00610E48">
        <w:rPr>
          <w:rFonts w:ascii="Calibri" w:hAnsi="Calibri"/>
          <w:noProof/>
          <w:sz w:val="20"/>
          <w:szCs w:val="20"/>
        </w:rPr>
        <w:t xml:space="preserve"> </w:t>
      </w:r>
      <w:r w:rsidRPr="00610E48">
        <w:rPr>
          <w:rFonts w:ascii="Calibri" w:hAnsi="Calibri"/>
          <w:b/>
          <w:noProof/>
          <w:sz w:val="20"/>
          <w:szCs w:val="20"/>
        </w:rPr>
        <w:t>1996</w:t>
      </w:r>
      <w:r w:rsidRPr="00610E48">
        <w:rPr>
          <w:rFonts w:ascii="Calibri" w:hAnsi="Calibri"/>
          <w:noProof/>
          <w:sz w:val="20"/>
          <w:szCs w:val="20"/>
        </w:rPr>
        <w:t xml:space="preserve">, </w:t>
      </w:r>
      <w:r w:rsidRPr="00610E48">
        <w:rPr>
          <w:rFonts w:ascii="Calibri" w:hAnsi="Calibri"/>
          <w:i/>
          <w:noProof/>
          <w:sz w:val="20"/>
          <w:szCs w:val="20"/>
        </w:rPr>
        <w:t>29</w:t>
      </w:r>
      <w:r w:rsidRPr="00610E48">
        <w:rPr>
          <w:rFonts w:ascii="Calibri" w:hAnsi="Calibri"/>
          <w:noProof/>
          <w:sz w:val="20"/>
          <w:szCs w:val="20"/>
        </w:rPr>
        <w:t>, 244-250.</w:t>
      </w:r>
      <w:bookmarkEnd w:id="424"/>
    </w:p>
    <w:p w:rsidR="00512D09" w:rsidRPr="00610E48" w:rsidRDefault="00512D09" w:rsidP="00512D09">
      <w:pPr>
        <w:spacing w:after="0" w:line="240" w:lineRule="auto"/>
        <w:rPr>
          <w:rFonts w:ascii="Calibri" w:hAnsi="Calibri"/>
          <w:noProof/>
          <w:sz w:val="20"/>
          <w:szCs w:val="20"/>
        </w:rPr>
      </w:pPr>
      <w:bookmarkStart w:id="425" w:name="_ENREF_190"/>
      <w:r w:rsidRPr="00610E48">
        <w:rPr>
          <w:rFonts w:ascii="Calibri" w:hAnsi="Calibri"/>
          <w:noProof/>
          <w:sz w:val="20"/>
          <w:szCs w:val="20"/>
        </w:rPr>
        <w:tab/>
        <w:t>(190)</w:t>
      </w:r>
      <w:r w:rsidRPr="00610E48">
        <w:rPr>
          <w:rFonts w:ascii="Calibri" w:hAnsi="Calibri"/>
          <w:noProof/>
          <w:sz w:val="20"/>
          <w:szCs w:val="20"/>
        </w:rPr>
        <w:tab/>
        <w:t xml:space="preserve">Natella, F.; Belelli, F.; Gentili, V.; Ursini, F.; Scaccini, C.: Grape Seed Proanthocyanidins Prevent Plasma Postprandial Oxidative Stress in Humans.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50</w:t>
      </w:r>
      <w:r w:rsidRPr="00610E48">
        <w:rPr>
          <w:rFonts w:ascii="Calibri" w:hAnsi="Calibri"/>
          <w:noProof/>
          <w:sz w:val="20"/>
          <w:szCs w:val="20"/>
        </w:rPr>
        <w:t>, 7720-7725.</w:t>
      </w:r>
      <w:bookmarkEnd w:id="425"/>
    </w:p>
    <w:p w:rsidR="00512D09" w:rsidRPr="00610E48" w:rsidRDefault="00512D09" w:rsidP="00512D09">
      <w:pPr>
        <w:spacing w:after="0" w:line="240" w:lineRule="auto"/>
        <w:rPr>
          <w:rFonts w:ascii="Calibri" w:hAnsi="Calibri"/>
          <w:noProof/>
          <w:sz w:val="20"/>
          <w:szCs w:val="20"/>
        </w:rPr>
      </w:pPr>
      <w:bookmarkStart w:id="426" w:name="_ENREF_191"/>
      <w:r w:rsidRPr="00610E48">
        <w:rPr>
          <w:rFonts w:ascii="Calibri" w:hAnsi="Calibri"/>
          <w:noProof/>
          <w:sz w:val="20"/>
          <w:szCs w:val="20"/>
        </w:rPr>
        <w:tab/>
        <w:t>(191)</w:t>
      </w:r>
      <w:r w:rsidRPr="00610E48">
        <w:rPr>
          <w:rFonts w:ascii="Calibri" w:hAnsi="Calibri"/>
          <w:noProof/>
          <w:sz w:val="20"/>
          <w:szCs w:val="20"/>
        </w:rPr>
        <w:tab/>
        <w:t xml:space="preserve">Tagliazucchi, D.; Verzelloni, E.; Conte, A.: Effect of Some Phenolic Compounds and Beverages on Pepsin Activity during Simulated Gastric Digestion.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53</w:t>
      </w:r>
      <w:r w:rsidRPr="00610E48">
        <w:rPr>
          <w:rFonts w:ascii="Calibri" w:hAnsi="Calibri"/>
          <w:noProof/>
          <w:sz w:val="20"/>
          <w:szCs w:val="20"/>
        </w:rPr>
        <w:t>, 8706-8713.</w:t>
      </w:r>
      <w:bookmarkEnd w:id="426"/>
    </w:p>
    <w:p w:rsidR="00512D09" w:rsidRPr="00610E48" w:rsidRDefault="00512D09" w:rsidP="00512D09">
      <w:pPr>
        <w:spacing w:after="0" w:line="240" w:lineRule="auto"/>
        <w:rPr>
          <w:rFonts w:ascii="Calibri" w:hAnsi="Calibri"/>
          <w:noProof/>
          <w:sz w:val="20"/>
          <w:szCs w:val="20"/>
        </w:rPr>
      </w:pPr>
      <w:bookmarkStart w:id="427" w:name="_ENREF_192"/>
      <w:r w:rsidRPr="00610E48">
        <w:rPr>
          <w:rFonts w:ascii="Calibri" w:hAnsi="Calibri"/>
          <w:noProof/>
          <w:sz w:val="20"/>
          <w:szCs w:val="20"/>
        </w:rPr>
        <w:tab/>
        <w:t>(192)</w:t>
      </w:r>
      <w:r w:rsidRPr="00610E48">
        <w:rPr>
          <w:rFonts w:ascii="Calibri" w:hAnsi="Calibri"/>
          <w:noProof/>
          <w:sz w:val="20"/>
          <w:szCs w:val="20"/>
        </w:rPr>
        <w:tab/>
        <w:t xml:space="preserve">McRae, J. M.; Kennedy, J. A.: Wine and grape tannin interactions with salivary proteins and their impact on astringency: a review of current research. </w:t>
      </w:r>
      <w:r w:rsidRPr="00610E48">
        <w:rPr>
          <w:rFonts w:ascii="Calibri" w:hAnsi="Calibri"/>
          <w:i/>
          <w:noProof/>
          <w:sz w:val="20"/>
          <w:szCs w:val="20"/>
        </w:rPr>
        <w:t>Molecules,</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16</w:t>
      </w:r>
      <w:r w:rsidRPr="00610E48">
        <w:rPr>
          <w:rFonts w:ascii="Calibri" w:hAnsi="Calibri"/>
          <w:noProof/>
          <w:sz w:val="20"/>
          <w:szCs w:val="20"/>
        </w:rPr>
        <w:t>, 2348-2364.</w:t>
      </w:r>
      <w:bookmarkEnd w:id="427"/>
    </w:p>
    <w:p w:rsidR="00512D09" w:rsidRPr="00610E48" w:rsidRDefault="00512D09" w:rsidP="00512D09">
      <w:pPr>
        <w:spacing w:after="0" w:line="240" w:lineRule="auto"/>
        <w:rPr>
          <w:rFonts w:ascii="Calibri" w:hAnsi="Calibri"/>
          <w:noProof/>
          <w:sz w:val="20"/>
          <w:szCs w:val="20"/>
        </w:rPr>
      </w:pPr>
      <w:bookmarkStart w:id="428" w:name="_ENREF_193"/>
      <w:r w:rsidRPr="00610E48">
        <w:rPr>
          <w:rFonts w:ascii="Calibri" w:hAnsi="Calibri"/>
          <w:noProof/>
          <w:sz w:val="20"/>
          <w:szCs w:val="20"/>
        </w:rPr>
        <w:lastRenderedPageBreak/>
        <w:tab/>
        <w:t>(193)</w:t>
      </w:r>
      <w:r w:rsidRPr="00610E48">
        <w:rPr>
          <w:rFonts w:ascii="Calibri" w:hAnsi="Calibri"/>
          <w:noProof/>
          <w:sz w:val="20"/>
          <w:szCs w:val="20"/>
        </w:rPr>
        <w:tab/>
        <w:t xml:space="preserve">Prinz, J. F.; Lucas, P. W.: Saliva tannin interactions. </w:t>
      </w:r>
      <w:r w:rsidRPr="00610E48">
        <w:rPr>
          <w:rFonts w:ascii="Calibri" w:hAnsi="Calibri"/>
          <w:i/>
          <w:noProof/>
          <w:sz w:val="20"/>
          <w:szCs w:val="20"/>
        </w:rPr>
        <w:t>Journal of Oral Rehabilitation,</w:t>
      </w:r>
      <w:r w:rsidRPr="00610E48">
        <w:rPr>
          <w:rFonts w:ascii="Calibri" w:hAnsi="Calibri"/>
          <w:noProof/>
          <w:sz w:val="20"/>
          <w:szCs w:val="20"/>
        </w:rPr>
        <w:t xml:space="preserve"> </w:t>
      </w:r>
      <w:r w:rsidRPr="00610E48">
        <w:rPr>
          <w:rFonts w:ascii="Calibri" w:hAnsi="Calibri"/>
          <w:b/>
          <w:noProof/>
          <w:sz w:val="20"/>
          <w:szCs w:val="20"/>
        </w:rPr>
        <w:t>2000</w:t>
      </w:r>
      <w:r w:rsidRPr="00610E48">
        <w:rPr>
          <w:rFonts w:ascii="Calibri" w:hAnsi="Calibri"/>
          <w:noProof/>
          <w:sz w:val="20"/>
          <w:szCs w:val="20"/>
        </w:rPr>
        <w:t xml:space="preserve">, </w:t>
      </w:r>
      <w:r w:rsidRPr="00610E48">
        <w:rPr>
          <w:rFonts w:ascii="Calibri" w:hAnsi="Calibri"/>
          <w:i/>
          <w:noProof/>
          <w:sz w:val="20"/>
          <w:szCs w:val="20"/>
        </w:rPr>
        <w:t>27</w:t>
      </w:r>
      <w:r w:rsidRPr="00610E48">
        <w:rPr>
          <w:rFonts w:ascii="Calibri" w:hAnsi="Calibri"/>
          <w:noProof/>
          <w:sz w:val="20"/>
          <w:szCs w:val="20"/>
        </w:rPr>
        <w:t>, 991-994.</w:t>
      </w:r>
      <w:bookmarkEnd w:id="428"/>
    </w:p>
    <w:p w:rsidR="00512D09" w:rsidRPr="00610E48" w:rsidRDefault="00512D09" w:rsidP="00512D09">
      <w:pPr>
        <w:spacing w:after="0" w:line="240" w:lineRule="auto"/>
        <w:rPr>
          <w:rFonts w:ascii="Calibri" w:hAnsi="Calibri"/>
          <w:noProof/>
          <w:sz w:val="20"/>
          <w:szCs w:val="20"/>
        </w:rPr>
      </w:pPr>
      <w:bookmarkStart w:id="429" w:name="_ENREF_194"/>
      <w:r w:rsidRPr="00610E48">
        <w:rPr>
          <w:rFonts w:ascii="Calibri" w:hAnsi="Calibri"/>
          <w:noProof/>
          <w:sz w:val="20"/>
          <w:szCs w:val="20"/>
        </w:rPr>
        <w:tab/>
        <w:t>(194)</w:t>
      </w:r>
      <w:r w:rsidRPr="00610E48">
        <w:rPr>
          <w:rFonts w:ascii="Calibri" w:hAnsi="Calibri"/>
          <w:noProof/>
          <w:sz w:val="20"/>
          <w:szCs w:val="20"/>
        </w:rPr>
        <w:tab/>
        <w:t xml:space="preserve">Payne, C.; Bowyer, P. K.; Herderich, M.; Bastian, S. E. P.: Interaction of astringent grape seed procyanidins with oral epithelial cells. </w:t>
      </w:r>
      <w:r w:rsidRPr="00610E48">
        <w:rPr>
          <w:rFonts w:ascii="Calibri" w:hAnsi="Calibri"/>
          <w:i/>
          <w:noProof/>
          <w:sz w:val="20"/>
          <w:szCs w:val="20"/>
        </w:rPr>
        <w:t>Food Chemistry,</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 xml:space="preserve">, </w:t>
      </w:r>
      <w:r w:rsidRPr="00610E48">
        <w:rPr>
          <w:rFonts w:ascii="Calibri" w:hAnsi="Calibri"/>
          <w:i/>
          <w:noProof/>
          <w:sz w:val="20"/>
          <w:szCs w:val="20"/>
        </w:rPr>
        <w:t>115</w:t>
      </w:r>
      <w:r w:rsidRPr="00610E48">
        <w:rPr>
          <w:rFonts w:ascii="Calibri" w:hAnsi="Calibri"/>
          <w:noProof/>
          <w:sz w:val="20"/>
          <w:szCs w:val="20"/>
        </w:rPr>
        <w:t>, 551-557.</w:t>
      </w:r>
      <w:bookmarkEnd w:id="429"/>
    </w:p>
    <w:p w:rsidR="00512D09" w:rsidRPr="00610E48" w:rsidRDefault="00512D09" w:rsidP="00512D09">
      <w:pPr>
        <w:spacing w:after="0" w:line="240" w:lineRule="auto"/>
        <w:rPr>
          <w:rFonts w:ascii="Calibri" w:hAnsi="Calibri"/>
          <w:noProof/>
          <w:sz w:val="20"/>
          <w:szCs w:val="20"/>
        </w:rPr>
      </w:pPr>
      <w:bookmarkStart w:id="430" w:name="_ENREF_195"/>
      <w:r w:rsidRPr="00610E48">
        <w:rPr>
          <w:rFonts w:ascii="Calibri" w:hAnsi="Calibri"/>
          <w:noProof/>
          <w:sz w:val="20"/>
          <w:szCs w:val="20"/>
        </w:rPr>
        <w:tab/>
        <w:t>(195)</w:t>
      </w:r>
      <w:r w:rsidRPr="00610E48">
        <w:rPr>
          <w:rFonts w:ascii="Calibri" w:hAnsi="Calibri"/>
          <w:noProof/>
          <w:sz w:val="20"/>
          <w:szCs w:val="20"/>
        </w:rPr>
        <w:tab/>
        <w:t xml:space="preserve">Vidal, S.; Francis, L.; Guyot, S.; Marnet, N.; Kwiatkowski, M.; Gawel, R.; Cheynier, V.; Waters, E. J.: The mouth-feel properties of grape and apple proanthocyanidins in a wine-like medium. </w:t>
      </w:r>
      <w:r w:rsidRPr="00610E48">
        <w:rPr>
          <w:rFonts w:ascii="Calibri" w:hAnsi="Calibri"/>
          <w:i/>
          <w:noProof/>
          <w:sz w:val="20"/>
          <w:szCs w:val="20"/>
        </w:rPr>
        <w:t>Journal of the Science of Food and Agriculture,</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83</w:t>
      </w:r>
      <w:r w:rsidRPr="00610E48">
        <w:rPr>
          <w:rFonts w:ascii="Calibri" w:hAnsi="Calibri"/>
          <w:noProof/>
          <w:sz w:val="20"/>
          <w:szCs w:val="20"/>
        </w:rPr>
        <w:t>, 564-573.</w:t>
      </w:r>
      <w:bookmarkEnd w:id="430"/>
    </w:p>
    <w:p w:rsidR="00512D09" w:rsidRPr="00610E48" w:rsidRDefault="00512D09" w:rsidP="00512D09">
      <w:pPr>
        <w:spacing w:after="0" w:line="240" w:lineRule="auto"/>
        <w:rPr>
          <w:rFonts w:ascii="Calibri" w:hAnsi="Calibri"/>
          <w:noProof/>
          <w:sz w:val="20"/>
          <w:szCs w:val="20"/>
        </w:rPr>
      </w:pPr>
      <w:bookmarkStart w:id="431" w:name="_ENREF_196"/>
      <w:r w:rsidRPr="00610E48">
        <w:rPr>
          <w:rFonts w:ascii="Calibri" w:hAnsi="Calibri"/>
          <w:noProof/>
          <w:sz w:val="20"/>
          <w:szCs w:val="20"/>
        </w:rPr>
        <w:tab/>
        <w:t>(196)</w:t>
      </w:r>
      <w:r w:rsidRPr="00610E48">
        <w:rPr>
          <w:rFonts w:ascii="Calibri" w:hAnsi="Calibri"/>
          <w:noProof/>
          <w:sz w:val="20"/>
          <w:szCs w:val="20"/>
        </w:rPr>
        <w:tab/>
        <w:t xml:space="preserve">Cala, O.; Dufourc, E. J.; Fouquet, E.; Manigand, C.; Laguerre, M.; Pianet, I.: The Colloidal State of Tannins Impacts the Nature of Their Interaction with Proteins: The Case of Salivary Proline-Rich Protein/Procyanidins Binding. </w:t>
      </w:r>
      <w:r w:rsidRPr="00610E48">
        <w:rPr>
          <w:rFonts w:ascii="Calibri" w:hAnsi="Calibri"/>
          <w:i/>
          <w:noProof/>
          <w:sz w:val="20"/>
          <w:szCs w:val="20"/>
        </w:rPr>
        <w:t>Langmuir,</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28</w:t>
      </w:r>
      <w:r w:rsidRPr="00610E48">
        <w:rPr>
          <w:rFonts w:ascii="Calibri" w:hAnsi="Calibri"/>
          <w:noProof/>
          <w:sz w:val="20"/>
          <w:szCs w:val="20"/>
        </w:rPr>
        <w:t>, 17410-17418.</w:t>
      </w:r>
      <w:bookmarkEnd w:id="431"/>
    </w:p>
    <w:p w:rsidR="00512D09" w:rsidRPr="00610E48" w:rsidRDefault="00512D09" w:rsidP="00512D09">
      <w:pPr>
        <w:spacing w:after="0" w:line="240" w:lineRule="auto"/>
        <w:rPr>
          <w:rFonts w:ascii="Calibri" w:hAnsi="Calibri"/>
          <w:noProof/>
          <w:sz w:val="20"/>
          <w:szCs w:val="20"/>
        </w:rPr>
      </w:pPr>
      <w:bookmarkStart w:id="432" w:name="_ENREF_197"/>
      <w:r w:rsidRPr="00610E48">
        <w:rPr>
          <w:rFonts w:ascii="Calibri" w:hAnsi="Calibri"/>
          <w:noProof/>
          <w:sz w:val="20"/>
          <w:szCs w:val="20"/>
        </w:rPr>
        <w:tab/>
        <w:t>(197)</w:t>
      </w:r>
      <w:r w:rsidRPr="00610E48">
        <w:rPr>
          <w:rFonts w:ascii="Calibri" w:hAnsi="Calibri"/>
          <w:noProof/>
          <w:sz w:val="20"/>
          <w:szCs w:val="20"/>
        </w:rPr>
        <w:tab/>
        <w:t xml:space="preserve">Simon, C.; Barathieu, K.; Laguerre, M.; Schmitter, J.-M.; Fouquet, E.; Pianet, I.; Dufourc, E. J.: Three-Dimensional Structure and Dynamics of Wine Tannin−Saliva Protein Complexes. A Multitechnique Approach†.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42</w:t>
      </w:r>
      <w:r w:rsidRPr="00610E48">
        <w:rPr>
          <w:rFonts w:ascii="Calibri" w:hAnsi="Calibri"/>
          <w:noProof/>
          <w:sz w:val="20"/>
          <w:szCs w:val="20"/>
        </w:rPr>
        <w:t>, 10385-10395.</w:t>
      </w:r>
      <w:bookmarkEnd w:id="432"/>
    </w:p>
    <w:p w:rsidR="00512D09" w:rsidRPr="00610E48" w:rsidRDefault="00512D09" w:rsidP="00512D09">
      <w:pPr>
        <w:spacing w:after="0" w:line="240" w:lineRule="auto"/>
        <w:rPr>
          <w:rFonts w:ascii="Calibri" w:hAnsi="Calibri"/>
          <w:noProof/>
          <w:sz w:val="20"/>
          <w:szCs w:val="20"/>
        </w:rPr>
      </w:pPr>
      <w:bookmarkStart w:id="433" w:name="_ENREF_198"/>
      <w:r w:rsidRPr="00610E48">
        <w:rPr>
          <w:rFonts w:ascii="Calibri" w:hAnsi="Calibri"/>
          <w:noProof/>
          <w:sz w:val="20"/>
          <w:szCs w:val="20"/>
        </w:rPr>
        <w:tab/>
        <w:t>(198)</w:t>
      </w:r>
      <w:r w:rsidRPr="00610E48">
        <w:rPr>
          <w:rFonts w:ascii="Calibri" w:hAnsi="Calibri"/>
          <w:noProof/>
          <w:sz w:val="20"/>
          <w:szCs w:val="20"/>
        </w:rPr>
        <w:tab/>
        <w:t xml:space="preserve">Adzhubei, A. A.; Sternberg, M. J. E.; Makarov, A. A.: Polyproline-II Helix in Proteins: Structure and Function.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425</w:t>
      </w:r>
      <w:r w:rsidRPr="00610E48">
        <w:rPr>
          <w:rFonts w:ascii="Calibri" w:hAnsi="Calibri"/>
          <w:noProof/>
          <w:sz w:val="20"/>
          <w:szCs w:val="20"/>
        </w:rPr>
        <w:t>, 2100-2132.</w:t>
      </w:r>
      <w:bookmarkEnd w:id="433"/>
    </w:p>
    <w:p w:rsidR="00512D09" w:rsidRPr="00610E48" w:rsidRDefault="00512D09" w:rsidP="00512D09">
      <w:pPr>
        <w:spacing w:after="0" w:line="240" w:lineRule="auto"/>
        <w:rPr>
          <w:rFonts w:ascii="Calibri" w:hAnsi="Calibri"/>
          <w:noProof/>
          <w:sz w:val="20"/>
          <w:szCs w:val="20"/>
        </w:rPr>
      </w:pPr>
      <w:bookmarkStart w:id="434" w:name="_ENREF_199"/>
      <w:r w:rsidRPr="00610E48">
        <w:rPr>
          <w:rFonts w:ascii="Calibri" w:hAnsi="Calibri"/>
          <w:noProof/>
          <w:sz w:val="20"/>
          <w:szCs w:val="20"/>
        </w:rPr>
        <w:tab/>
        <w:t>(199)</w:t>
      </w:r>
      <w:r w:rsidRPr="00610E48">
        <w:rPr>
          <w:rFonts w:ascii="Calibri" w:hAnsi="Calibri"/>
          <w:noProof/>
          <w:sz w:val="20"/>
          <w:szCs w:val="20"/>
        </w:rPr>
        <w:tab/>
        <w:t xml:space="preserve">Baxter, N. J.; Lilley, T. H.; Haslam, E.; Williamson, M. P.: Multiple Interactions between Polyphenols and a Salivary Proline-Rich Protein Repeat Result in Complexation and Precipitation†.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1997</w:t>
      </w:r>
      <w:r w:rsidRPr="00610E48">
        <w:rPr>
          <w:rFonts w:ascii="Calibri" w:hAnsi="Calibri"/>
          <w:noProof/>
          <w:sz w:val="20"/>
          <w:szCs w:val="20"/>
        </w:rPr>
        <w:t xml:space="preserve">, </w:t>
      </w:r>
      <w:r w:rsidRPr="00610E48">
        <w:rPr>
          <w:rFonts w:ascii="Calibri" w:hAnsi="Calibri"/>
          <w:i/>
          <w:noProof/>
          <w:sz w:val="20"/>
          <w:szCs w:val="20"/>
        </w:rPr>
        <w:t>36</w:t>
      </w:r>
      <w:r w:rsidRPr="00610E48">
        <w:rPr>
          <w:rFonts w:ascii="Calibri" w:hAnsi="Calibri"/>
          <w:noProof/>
          <w:sz w:val="20"/>
          <w:szCs w:val="20"/>
        </w:rPr>
        <w:t>, 5566-5577.</w:t>
      </w:r>
      <w:bookmarkEnd w:id="434"/>
    </w:p>
    <w:p w:rsidR="00512D09" w:rsidRPr="00610E48" w:rsidRDefault="00512D09" w:rsidP="00512D09">
      <w:pPr>
        <w:spacing w:after="0" w:line="240" w:lineRule="auto"/>
        <w:rPr>
          <w:rFonts w:ascii="Calibri" w:hAnsi="Calibri"/>
          <w:noProof/>
          <w:sz w:val="20"/>
          <w:szCs w:val="20"/>
        </w:rPr>
      </w:pPr>
      <w:bookmarkStart w:id="435" w:name="_ENREF_200"/>
      <w:r w:rsidRPr="00610E48">
        <w:rPr>
          <w:rFonts w:ascii="Calibri" w:hAnsi="Calibri"/>
          <w:noProof/>
          <w:sz w:val="20"/>
          <w:szCs w:val="20"/>
        </w:rPr>
        <w:tab/>
        <w:t>(200)</w:t>
      </w:r>
      <w:r w:rsidRPr="00610E48">
        <w:rPr>
          <w:rFonts w:ascii="Calibri" w:hAnsi="Calibri"/>
          <w:noProof/>
          <w:sz w:val="20"/>
          <w:szCs w:val="20"/>
        </w:rPr>
        <w:tab/>
        <w:t xml:space="preserve">Charlton, A. J.; Baxter, N. J.; Lilley, T. H.; Haslam, E.; McDonald, C. J.; Williamson, M. P.: Tannin interactions with a full-length human salivary proline-rich protein display a stronger affinity than with single proline-rich repeats. </w:t>
      </w:r>
      <w:r w:rsidRPr="00610E48">
        <w:rPr>
          <w:rFonts w:ascii="Calibri" w:hAnsi="Calibri"/>
          <w:i/>
          <w:noProof/>
          <w:sz w:val="20"/>
          <w:szCs w:val="20"/>
        </w:rPr>
        <w:t>FEBS Letters,</w:t>
      </w:r>
      <w:r w:rsidRPr="00610E48">
        <w:rPr>
          <w:rFonts w:ascii="Calibri" w:hAnsi="Calibri"/>
          <w:noProof/>
          <w:sz w:val="20"/>
          <w:szCs w:val="20"/>
        </w:rPr>
        <w:t xml:space="preserve"> </w:t>
      </w:r>
      <w:r w:rsidRPr="00610E48">
        <w:rPr>
          <w:rFonts w:ascii="Calibri" w:hAnsi="Calibri"/>
          <w:b/>
          <w:noProof/>
          <w:sz w:val="20"/>
          <w:szCs w:val="20"/>
        </w:rPr>
        <w:t>1996</w:t>
      </w:r>
      <w:r w:rsidRPr="00610E48">
        <w:rPr>
          <w:rFonts w:ascii="Calibri" w:hAnsi="Calibri"/>
          <w:noProof/>
          <w:sz w:val="20"/>
          <w:szCs w:val="20"/>
        </w:rPr>
        <w:t xml:space="preserve">, </w:t>
      </w:r>
      <w:r w:rsidRPr="00610E48">
        <w:rPr>
          <w:rFonts w:ascii="Calibri" w:hAnsi="Calibri"/>
          <w:i/>
          <w:noProof/>
          <w:sz w:val="20"/>
          <w:szCs w:val="20"/>
        </w:rPr>
        <w:t>382</w:t>
      </w:r>
      <w:r w:rsidRPr="00610E48">
        <w:rPr>
          <w:rFonts w:ascii="Calibri" w:hAnsi="Calibri"/>
          <w:noProof/>
          <w:sz w:val="20"/>
          <w:szCs w:val="20"/>
        </w:rPr>
        <w:t>, 289-292.</w:t>
      </w:r>
      <w:bookmarkEnd w:id="435"/>
    </w:p>
    <w:p w:rsidR="00512D09" w:rsidRPr="00610E48" w:rsidRDefault="00512D09" w:rsidP="00512D09">
      <w:pPr>
        <w:spacing w:after="0" w:line="240" w:lineRule="auto"/>
        <w:rPr>
          <w:rFonts w:ascii="Calibri" w:hAnsi="Calibri"/>
          <w:noProof/>
          <w:sz w:val="20"/>
          <w:szCs w:val="20"/>
        </w:rPr>
      </w:pPr>
      <w:bookmarkStart w:id="436" w:name="_ENREF_201"/>
      <w:r w:rsidRPr="00610E48">
        <w:rPr>
          <w:rFonts w:ascii="Calibri" w:hAnsi="Calibri"/>
          <w:noProof/>
          <w:sz w:val="20"/>
          <w:szCs w:val="20"/>
        </w:rPr>
        <w:tab/>
        <w:t>(201)</w:t>
      </w:r>
      <w:r w:rsidRPr="00610E48">
        <w:rPr>
          <w:rFonts w:ascii="Calibri" w:hAnsi="Calibri"/>
          <w:noProof/>
          <w:sz w:val="20"/>
          <w:szCs w:val="20"/>
        </w:rPr>
        <w:tab/>
        <w:t xml:space="preserve">Dvir, H.; Harel, M.; Bon, S.; Liu, W. Q.; Vidal, M.; Garbay, C.; Sussman, J. L.; Massoulié, J.; Silman, I.: The synaptic acetylcholinesterase tetramer assembles around a polyproline II helix. </w:t>
      </w:r>
      <w:r w:rsidRPr="00610E48">
        <w:rPr>
          <w:rFonts w:ascii="Calibri" w:hAnsi="Calibri"/>
          <w:i/>
          <w:noProof/>
          <w:sz w:val="20"/>
          <w:szCs w:val="20"/>
        </w:rPr>
        <w:t>The EMBO Journal,</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23</w:t>
      </w:r>
      <w:r w:rsidRPr="00610E48">
        <w:rPr>
          <w:rFonts w:ascii="Calibri" w:hAnsi="Calibri"/>
          <w:noProof/>
          <w:sz w:val="20"/>
          <w:szCs w:val="20"/>
        </w:rPr>
        <w:t>, 4394-4405.</w:t>
      </w:r>
      <w:bookmarkEnd w:id="436"/>
    </w:p>
    <w:p w:rsidR="00512D09" w:rsidRPr="00610E48" w:rsidRDefault="00512D09" w:rsidP="00512D09">
      <w:pPr>
        <w:spacing w:after="0" w:line="240" w:lineRule="auto"/>
        <w:rPr>
          <w:rFonts w:ascii="Calibri" w:hAnsi="Calibri"/>
          <w:noProof/>
          <w:sz w:val="20"/>
          <w:szCs w:val="20"/>
        </w:rPr>
      </w:pPr>
      <w:bookmarkStart w:id="437" w:name="_ENREF_202"/>
      <w:r w:rsidRPr="00610E48">
        <w:rPr>
          <w:rFonts w:ascii="Calibri" w:hAnsi="Calibri"/>
          <w:noProof/>
          <w:sz w:val="20"/>
          <w:szCs w:val="20"/>
        </w:rPr>
        <w:tab/>
        <w:t>(202)</w:t>
      </w:r>
      <w:r w:rsidRPr="00610E48">
        <w:rPr>
          <w:rFonts w:ascii="Calibri" w:hAnsi="Calibri"/>
          <w:noProof/>
          <w:sz w:val="20"/>
          <w:szCs w:val="20"/>
        </w:rPr>
        <w:tab/>
        <w:t xml:space="preserve">Miller, J. P.; Melicher, M. S.; Schepartz, A.: Positive Allostery in Metal Ion Binding by a Cooperatively Folded β-Peptide Bundle.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136</w:t>
      </w:r>
      <w:r w:rsidRPr="00610E48">
        <w:rPr>
          <w:rFonts w:ascii="Calibri" w:hAnsi="Calibri"/>
          <w:noProof/>
          <w:sz w:val="20"/>
          <w:szCs w:val="20"/>
        </w:rPr>
        <w:t>, 14726-14729.</w:t>
      </w:r>
      <w:bookmarkEnd w:id="437"/>
    </w:p>
    <w:p w:rsidR="00512D09" w:rsidRPr="00610E48" w:rsidRDefault="00512D09" w:rsidP="00512D09">
      <w:pPr>
        <w:spacing w:after="0" w:line="240" w:lineRule="auto"/>
        <w:rPr>
          <w:rFonts w:ascii="Calibri" w:hAnsi="Calibri"/>
          <w:noProof/>
          <w:sz w:val="20"/>
          <w:szCs w:val="20"/>
        </w:rPr>
      </w:pPr>
      <w:bookmarkStart w:id="438" w:name="_ENREF_203"/>
      <w:r w:rsidRPr="00610E48">
        <w:rPr>
          <w:rFonts w:ascii="Calibri" w:hAnsi="Calibri"/>
          <w:noProof/>
          <w:sz w:val="20"/>
          <w:szCs w:val="20"/>
        </w:rPr>
        <w:tab/>
        <w:t>(203)</w:t>
      </w:r>
      <w:r w:rsidRPr="00610E48">
        <w:rPr>
          <w:rFonts w:ascii="Calibri" w:hAnsi="Calibri"/>
          <w:noProof/>
          <w:sz w:val="20"/>
          <w:szCs w:val="20"/>
        </w:rPr>
        <w:tab/>
        <w:t xml:space="preserve">Velazquez-Campoy, A.; Freire, E.: Isothermal titration calorimetry to determine association constants for high-affinity ligands. </w:t>
      </w:r>
      <w:r w:rsidRPr="00610E48">
        <w:rPr>
          <w:rFonts w:ascii="Calibri" w:hAnsi="Calibri"/>
          <w:i/>
          <w:noProof/>
          <w:sz w:val="20"/>
          <w:szCs w:val="20"/>
        </w:rPr>
        <w:t>Nature Protocols,</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1</w:t>
      </w:r>
      <w:r w:rsidRPr="00610E48">
        <w:rPr>
          <w:rFonts w:ascii="Calibri" w:hAnsi="Calibri"/>
          <w:noProof/>
          <w:sz w:val="20"/>
          <w:szCs w:val="20"/>
        </w:rPr>
        <w:t>, 186-191.</w:t>
      </w:r>
      <w:bookmarkEnd w:id="438"/>
    </w:p>
    <w:p w:rsidR="00512D09" w:rsidRPr="00610E48" w:rsidRDefault="00512D09" w:rsidP="00512D09">
      <w:pPr>
        <w:spacing w:after="0" w:line="240" w:lineRule="auto"/>
        <w:rPr>
          <w:rFonts w:ascii="Calibri" w:hAnsi="Calibri"/>
          <w:noProof/>
          <w:sz w:val="20"/>
          <w:szCs w:val="20"/>
        </w:rPr>
      </w:pPr>
      <w:bookmarkStart w:id="439" w:name="_ENREF_204"/>
      <w:r w:rsidRPr="00610E48">
        <w:rPr>
          <w:rFonts w:ascii="Calibri" w:hAnsi="Calibri"/>
          <w:noProof/>
          <w:sz w:val="20"/>
          <w:szCs w:val="20"/>
        </w:rPr>
        <w:tab/>
        <w:t>(204)</w:t>
      </w:r>
      <w:r w:rsidRPr="00610E48">
        <w:rPr>
          <w:rFonts w:ascii="Calibri" w:hAnsi="Calibri"/>
          <w:noProof/>
          <w:sz w:val="20"/>
          <w:szCs w:val="20"/>
        </w:rPr>
        <w:tab/>
        <w:t xml:space="preserve">Karonen, M.; Oraviita, M.; Mueller-Harvey, I.; Salminen, J. P.; Green, R. J.: Binding of an Oligomeric Ellagitannin Series to Bovine Serum Albumin (BSA): Analysis by Isothermal Titration Calorimetry (ITC).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2015</w:t>
      </w:r>
      <w:r w:rsidRPr="00610E48">
        <w:rPr>
          <w:rFonts w:ascii="Calibri" w:hAnsi="Calibri"/>
          <w:noProof/>
          <w:sz w:val="20"/>
          <w:szCs w:val="20"/>
        </w:rPr>
        <w:t xml:space="preserve">, </w:t>
      </w:r>
      <w:r w:rsidRPr="00610E48">
        <w:rPr>
          <w:rFonts w:ascii="Calibri" w:hAnsi="Calibri"/>
          <w:i/>
          <w:noProof/>
          <w:sz w:val="20"/>
          <w:szCs w:val="20"/>
        </w:rPr>
        <w:t>63</w:t>
      </w:r>
      <w:r w:rsidRPr="00610E48">
        <w:rPr>
          <w:rFonts w:ascii="Calibri" w:hAnsi="Calibri"/>
          <w:noProof/>
          <w:sz w:val="20"/>
          <w:szCs w:val="20"/>
        </w:rPr>
        <w:t>, 10647-54.</w:t>
      </w:r>
      <w:bookmarkEnd w:id="439"/>
    </w:p>
    <w:p w:rsidR="00512D09" w:rsidRPr="00610E48" w:rsidRDefault="00512D09" w:rsidP="00512D09">
      <w:pPr>
        <w:spacing w:after="0" w:line="240" w:lineRule="auto"/>
        <w:rPr>
          <w:rFonts w:ascii="Calibri" w:hAnsi="Calibri"/>
          <w:noProof/>
          <w:sz w:val="20"/>
          <w:szCs w:val="20"/>
        </w:rPr>
      </w:pPr>
      <w:bookmarkStart w:id="440" w:name="_ENREF_205"/>
      <w:r w:rsidRPr="00610E48">
        <w:rPr>
          <w:rFonts w:ascii="Calibri" w:hAnsi="Calibri"/>
          <w:noProof/>
          <w:sz w:val="20"/>
          <w:szCs w:val="20"/>
        </w:rPr>
        <w:tab/>
        <w:t>(205)</w:t>
      </w:r>
      <w:r w:rsidRPr="00610E48">
        <w:rPr>
          <w:rFonts w:ascii="Calibri" w:hAnsi="Calibri"/>
          <w:noProof/>
          <w:sz w:val="20"/>
          <w:szCs w:val="20"/>
        </w:rPr>
        <w:tab/>
        <w:t xml:space="preserve">Tame, J. R. H.; Sleigh, S. H.; Wilkinson, A. J.; Ladbury, J. E.: The role of water in sequence-independent ligand binding by an oligopeptide transporter protein. </w:t>
      </w:r>
      <w:r w:rsidRPr="00610E48">
        <w:rPr>
          <w:rFonts w:ascii="Calibri" w:hAnsi="Calibri"/>
          <w:i/>
          <w:noProof/>
          <w:sz w:val="20"/>
          <w:szCs w:val="20"/>
        </w:rPr>
        <w:t>Nature Structural Biology,</w:t>
      </w:r>
      <w:r w:rsidRPr="00610E48">
        <w:rPr>
          <w:rFonts w:ascii="Calibri" w:hAnsi="Calibri"/>
          <w:noProof/>
          <w:sz w:val="20"/>
          <w:szCs w:val="20"/>
        </w:rPr>
        <w:t xml:space="preserve"> </w:t>
      </w:r>
      <w:r w:rsidRPr="00610E48">
        <w:rPr>
          <w:rFonts w:ascii="Calibri" w:hAnsi="Calibri"/>
          <w:b/>
          <w:noProof/>
          <w:sz w:val="20"/>
          <w:szCs w:val="20"/>
        </w:rPr>
        <w:t>1996</w:t>
      </w:r>
      <w:r w:rsidRPr="00610E48">
        <w:rPr>
          <w:rFonts w:ascii="Calibri" w:hAnsi="Calibri"/>
          <w:noProof/>
          <w:sz w:val="20"/>
          <w:szCs w:val="20"/>
        </w:rPr>
        <w:t xml:space="preserve">, </w:t>
      </w:r>
      <w:r w:rsidRPr="00610E48">
        <w:rPr>
          <w:rFonts w:ascii="Calibri" w:hAnsi="Calibri"/>
          <w:i/>
          <w:noProof/>
          <w:sz w:val="20"/>
          <w:szCs w:val="20"/>
        </w:rPr>
        <w:t>3</w:t>
      </w:r>
      <w:r w:rsidRPr="00610E48">
        <w:rPr>
          <w:rFonts w:ascii="Calibri" w:hAnsi="Calibri"/>
          <w:noProof/>
          <w:sz w:val="20"/>
          <w:szCs w:val="20"/>
        </w:rPr>
        <w:t>, 998-1001.</w:t>
      </w:r>
      <w:bookmarkEnd w:id="440"/>
    </w:p>
    <w:p w:rsidR="00512D09" w:rsidRPr="00610E48" w:rsidRDefault="00512D09" w:rsidP="00512D09">
      <w:pPr>
        <w:spacing w:after="0" w:line="240" w:lineRule="auto"/>
        <w:rPr>
          <w:rFonts w:ascii="Calibri" w:hAnsi="Calibri"/>
          <w:noProof/>
          <w:sz w:val="20"/>
          <w:szCs w:val="20"/>
        </w:rPr>
      </w:pPr>
      <w:bookmarkStart w:id="441" w:name="_ENREF_206"/>
      <w:r w:rsidRPr="00610E48">
        <w:rPr>
          <w:rFonts w:ascii="Calibri" w:hAnsi="Calibri"/>
          <w:noProof/>
          <w:sz w:val="20"/>
          <w:szCs w:val="20"/>
        </w:rPr>
        <w:tab/>
        <w:t>(206)</w:t>
      </w:r>
      <w:r w:rsidRPr="00610E48">
        <w:rPr>
          <w:rFonts w:ascii="Calibri" w:hAnsi="Calibri"/>
          <w:noProof/>
          <w:sz w:val="20"/>
          <w:szCs w:val="20"/>
        </w:rPr>
        <w:tab/>
        <w:t xml:space="preserve">Varshney, A.; Sen, P.; Ahmad, E.; Rehan, M.; Subbarao, N.; Khan, R. H.: Ligand Binding Strategies of Human Serum Albumin: How Can the Cargo be Utilized? </w:t>
      </w:r>
      <w:r w:rsidRPr="00610E48">
        <w:rPr>
          <w:rFonts w:ascii="Calibri" w:hAnsi="Calibri"/>
          <w:i/>
          <w:noProof/>
          <w:sz w:val="20"/>
          <w:szCs w:val="20"/>
        </w:rPr>
        <w:t>Chirality,</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22</w:t>
      </w:r>
      <w:r w:rsidRPr="00610E48">
        <w:rPr>
          <w:rFonts w:ascii="Calibri" w:hAnsi="Calibri"/>
          <w:noProof/>
          <w:sz w:val="20"/>
          <w:szCs w:val="20"/>
        </w:rPr>
        <w:t>, 77-87.</w:t>
      </w:r>
      <w:bookmarkEnd w:id="441"/>
    </w:p>
    <w:p w:rsidR="00512D09" w:rsidRPr="00610E48" w:rsidRDefault="00512D09" w:rsidP="00512D09">
      <w:pPr>
        <w:spacing w:after="0" w:line="240" w:lineRule="auto"/>
        <w:rPr>
          <w:rFonts w:ascii="Calibri" w:hAnsi="Calibri"/>
          <w:noProof/>
          <w:sz w:val="20"/>
          <w:szCs w:val="20"/>
        </w:rPr>
      </w:pPr>
      <w:bookmarkStart w:id="442" w:name="_ENREF_207"/>
      <w:r w:rsidRPr="00610E48">
        <w:rPr>
          <w:rFonts w:ascii="Calibri" w:hAnsi="Calibri"/>
          <w:noProof/>
          <w:sz w:val="20"/>
          <w:szCs w:val="20"/>
        </w:rPr>
        <w:tab/>
        <w:t>(207)</w:t>
      </w:r>
      <w:r w:rsidRPr="00610E48">
        <w:rPr>
          <w:rFonts w:ascii="Calibri" w:hAnsi="Calibri"/>
          <w:noProof/>
          <w:sz w:val="20"/>
          <w:szCs w:val="20"/>
        </w:rPr>
        <w:tab/>
        <w:t xml:space="preserve">Fitos, I.; Visy, J.; Kardos, J.: Stereoselective kinetics of warfarin binding to human serum albumin: effect of an allosteric interaction. </w:t>
      </w:r>
      <w:r w:rsidRPr="00610E48">
        <w:rPr>
          <w:rFonts w:ascii="Calibri" w:hAnsi="Calibri"/>
          <w:i/>
          <w:noProof/>
          <w:sz w:val="20"/>
          <w:szCs w:val="20"/>
        </w:rPr>
        <w:t>Chirality,</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14</w:t>
      </w:r>
      <w:r w:rsidRPr="00610E48">
        <w:rPr>
          <w:rFonts w:ascii="Calibri" w:hAnsi="Calibri"/>
          <w:noProof/>
          <w:sz w:val="20"/>
          <w:szCs w:val="20"/>
        </w:rPr>
        <w:t>, 442-448.</w:t>
      </w:r>
      <w:bookmarkEnd w:id="442"/>
    </w:p>
    <w:p w:rsidR="00512D09" w:rsidRPr="00610E48" w:rsidRDefault="00512D09" w:rsidP="00512D09">
      <w:pPr>
        <w:spacing w:after="0" w:line="240" w:lineRule="auto"/>
        <w:rPr>
          <w:rFonts w:ascii="Calibri" w:hAnsi="Calibri"/>
          <w:noProof/>
          <w:sz w:val="20"/>
          <w:szCs w:val="20"/>
        </w:rPr>
      </w:pPr>
      <w:bookmarkStart w:id="443" w:name="_ENREF_208"/>
      <w:r w:rsidRPr="00610E48">
        <w:rPr>
          <w:rFonts w:ascii="Calibri" w:hAnsi="Calibri"/>
          <w:noProof/>
          <w:sz w:val="20"/>
          <w:szCs w:val="20"/>
        </w:rPr>
        <w:tab/>
        <w:t>(208)</w:t>
      </w:r>
      <w:r w:rsidRPr="00610E48">
        <w:rPr>
          <w:rFonts w:ascii="Calibri" w:hAnsi="Calibri"/>
          <w:noProof/>
          <w:sz w:val="20"/>
          <w:szCs w:val="20"/>
        </w:rPr>
        <w:tab/>
        <w:t xml:space="preserve">Petitpas, I.; Petersen, C. E.; Ha, C.-E.; Bhattacharya, A. A.; Zunszain, P. A.; Ghuman, J.; Bhagavan, N. V.; Curry, S.: Structural basis of albumin–thyroxine interactions and familial dysalbuminemic hyperthyroxinemia.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100</w:t>
      </w:r>
      <w:r w:rsidRPr="00610E48">
        <w:rPr>
          <w:rFonts w:ascii="Calibri" w:hAnsi="Calibri"/>
          <w:noProof/>
          <w:sz w:val="20"/>
          <w:szCs w:val="20"/>
        </w:rPr>
        <w:t>, 6440-6445.</w:t>
      </w:r>
      <w:bookmarkEnd w:id="443"/>
    </w:p>
    <w:p w:rsidR="00512D09" w:rsidRPr="00610E48" w:rsidRDefault="00512D09" w:rsidP="00512D09">
      <w:pPr>
        <w:spacing w:after="0" w:line="240" w:lineRule="auto"/>
        <w:rPr>
          <w:rFonts w:ascii="Calibri" w:hAnsi="Calibri"/>
          <w:noProof/>
          <w:sz w:val="20"/>
          <w:szCs w:val="20"/>
        </w:rPr>
      </w:pPr>
      <w:bookmarkStart w:id="444" w:name="_ENREF_209"/>
      <w:r w:rsidRPr="00610E48">
        <w:rPr>
          <w:rFonts w:ascii="Calibri" w:hAnsi="Calibri"/>
          <w:noProof/>
          <w:sz w:val="20"/>
          <w:szCs w:val="20"/>
        </w:rPr>
        <w:tab/>
        <w:t>(209)</w:t>
      </w:r>
      <w:r w:rsidRPr="00610E48">
        <w:rPr>
          <w:rFonts w:ascii="Calibri" w:hAnsi="Calibri"/>
          <w:noProof/>
          <w:sz w:val="20"/>
          <w:szCs w:val="20"/>
        </w:rPr>
        <w:tab/>
        <w:t xml:space="preserve">Velazquez-Campoy, A.; Goñi, G.; Peregrina, J. R.; Medina, M.: Exact Analysis of Heterotropic Interactions in Proteins: Characterization of Cooperative Ligand Binding by Isothermal Titration Calorimetry. </w:t>
      </w:r>
      <w:r w:rsidRPr="00610E48">
        <w:rPr>
          <w:rFonts w:ascii="Calibri" w:hAnsi="Calibri"/>
          <w:i/>
          <w:noProof/>
          <w:sz w:val="20"/>
          <w:szCs w:val="20"/>
        </w:rPr>
        <w:t>Biophysical Journal,</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91</w:t>
      </w:r>
      <w:r w:rsidRPr="00610E48">
        <w:rPr>
          <w:rFonts w:ascii="Calibri" w:hAnsi="Calibri"/>
          <w:noProof/>
          <w:sz w:val="20"/>
          <w:szCs w:val="20"/>
        </w:rPr>
        <w:t>, 1887-1904.</w:t>
      </w:r>
      <w:bookmarkEnd w:id="444"/>
    </w:p>
    <w:p w:rsidR="00512D09" w:rsidRPr="00610E48" w:rsidRDefault="00512D09" w:rsidP="00512D09">
      <w:pPr>
        <w:spacing w:after="0" w:line="240" w:lineRule="auto"/>
        <w:rPr>
          <w:rFonts w:ascii="Calibri" w:hAnsi="Calibri"/>
          <w:noProof/>
          <w:sz w:val="20"/>
          <w:szCs w:val="20"/>
        </w:rPr>
      </w:pPr>
      <w:bookmarkStart w:id="445" w:name="_ENREF_210"/>
      <w:r w:rsidRPr="00610E48">
        <w:rPr>
          <w:rFonts w:ascii="Calibri" w:hAnsi="Calibri"/>
          <w:noProof/>
          <w:sz w:val="20"/>
          <w:szCs w:val="20"/>
        </w:rPr>
        <w:tab/>
        <w:t>(210)</w:t>
      </w:r>
      <w:r w:rsidRPr="00610E48">
        <w:rPr>
          <w:rFonts w:ascii="Calibri" w:hAnsi="Calibri"/>
          <w:noProof/>
          <w:sz w:val="20"/>
          <w:szCs w:val="20"/>
        </w:rPr>
        <w:tab/>
        <w:t xml:space="preserve">Freiburger, L.; Miletti, T.; Zhu, S.; Baettig, O.; Berghuis, A.; Auclair, K.; Mittermaier, A.: Substrate-dependent switching of the allosteric binding mechanism of a dimeric enzyme. </w:t>
      </w:r>
      <w:r w:rsidRPr="00610E48">
        <w:rPr>
          <w:rFonts w:ascii="Calibri" w:hAnsi="Calibri"/>
          <w:i/>
          <w:noProof/>
          <w:sz w:val="20"/>
          <w:szCs w:val="20"/>
        </w:rPr>
        <w:t xml:space="preserve">Nature Chemical Biology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10</w:t>
      </w:r>
      <w:r w:rsidRPr="00610E48">
        <w:rPr>
          <w:rFonts w:ascii="Calibri" w:hAnsi="Calibri"/>
          <w:noProof/>
          <w:sz w:val="20"/>
          <w:szCs w:val="20"/>
        </w:rPr>
        <w:t>, 937-942.</w:t>
      </w:r>
      <w:bookmarkEnd w:id="445"/>
    </w:p>
    <w:p w:rsidR="00512D09" w:rsidRPr="00610E48" w:rsidRDefault="00512D09" w:rsidP="00512D09">
      <w:pPr>
        <w:spacing w:after="0" w:line="240" w:lineRule="auto"/>
        <w:rPr>
          <w:rFonts w:ascii="Calibri" w:hAnsi="Calibri"/>
          <w:noProof/>
          <w:sz w:val="20"/>
          <w:szCs w:val="20"/>
        </w:rPr>
      </w:pPr>
      <w:bookmarkStart w:id="446" w:name="_ENREF_211"/>
      <w:r w:rsidRPr="00610E48">
        <w:rPr>
          <w:rFonts w:ascii="Calibri" w:hAnsi="Calibri"/>
          <w:noProof/>
          <w:sz w:val="20"/>
          <w:szCs w:val="20"/>
        </w:rPr>
        <w:tab/>
        <w:t>(211)</w:t>
      </w:r>
      <w:r w:rsidRPr="00610E48">
        <w:rPr>
          <w:rFonts w:ascii="Calibri" w:hAnsi="Calibri"/>
          <w:noProof/>
          <w:sz w:val="20"/>
          <w:szCs w:val="20"/>
        </w:rPr>
        <w:tab/>
        <w:t xml:space="preserve">Poon, G. M. K.: Explicit formulation of titration models for isothermal titration calorimetry. </w:t>
      </w:r>
      <w:r w:rsidRPr="00610E48">
        <w:rPr>
          <w:rFonts w:ascii="Calibri" w:hAnsi="Calibri"/>
          <w:i/>
          <w:noProof/>
          <w:sz w:val="20"/>
          <w:szCs w:val="20"/>
        </w:rPr>
        <w:t>Analytical biochemistry,</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400</w:t>
      </w:r>
      <w:r w:rsidRPr="00610E48">
        <w:rPr>
          <w:rFonts w:ascii="Calibri" w:hAnsi="Calibri"/>
          <w:noProof/>
          <w:sz w:val="20"/>
          <w:szCs w:val="20"/>
        </w:rPr>
        <w:t>, 229-236.</w:t>
      </w:r>
      <w:bookmarkEnd w:id="446"/>
    </w:p>
    <w:p w:rsidR="00512D09" w:rsidRPr="00610E48" w:rsidRDefault="00512D09" w:rsidP="00512D09">
      <w:pPr>
        <w:spacing w:after="0" w:line="240" w:lineRule="auto"/>
        <w:rPr>
          <w:rFonts w:ascii="Calibri" w:hAnsi="Calibri"/>
          <w:noProof/>
          <w:sz w:val="20"/>
          <w:szCs w:val="20"/>
        </w:rPr>
      </w:pPr>
      <w:bookmarkStart w:id="447" w:name="_ENREF_212"/>
      <w:r w:rsidRPr="00610E48">
        <w:rPr>
          <w:rFonts w:ascii="Calibri" w:hAnsi="Calibri"/>
          <w:noProof/>
          <w:sz w:val="20"/>
          <w:szCs w:val="20"/>
        </w:rPr>
        <w:tab/>
        <w:t>(212)</w:t>
      </w:r>
      <w:r w:rsidRPr="00610E48">
        <w:rPr>
          <w:rFonts w:ascii="Calibri" w:hAnsi="Calibri"/>
          <w:noProof/>
          <w:sz w:val="20"/>
          <w:szCs w:val="20"/>
        </w:rPr>
        <w:tab/>
        <w:t xml:space="preserve">Freiburger, L.; Auclair, K.; Mittermaier, A.: Global ITC fitting methods in studies of protein allostery. </w:t>
      </w:r>
      <w:r w:rsidRPr="00610E48">
        <w:rPr>
          <w:rFonts w:ascii="Calibri" w:hAnsi="Calibri"/>
          <w:i/>
          <w:noProof/>
          <w:sz w:val="20"/>
          <w:szCs w:val="20"/>
        </w:rPr>
        <w:t>Methods,</w:t>
      </w:r>
      <w:r w:rsidRPr="00610E48">
        <w:rPr>
          <w:rFonts w:ascii="Calibri" w:hAnsi="Calibri"/>
          <w:noProof/>
          <w:sz w:val="20"/>
          <w:szCs w:val="20"/>
        </w:rPr>
        <w:t xml:space="preserve"> </w:t>
      </w:r>
      <w:r w:rsidRPr="00610E48">
        <w:rPr>
          <w:rFonts w:ascii="Calibri" w:hAnsi="Calibri"/>
          <w:b/>
          <w:noProof/>
          <w:sz w:val="20"/>
          <w:szCs w:val="20"/>
        </w:rPr>
        <w:t>2015</w:t>
      </w:r>
      <w:r w:rsidRPr="00610E48">
        <w:rPr>
          <w:rFonts w:ascii="Calibri" w:hAnsi="Calibri"/>
          <w:noProof/>
          <w:sz w:val="20"/>
          <w:szCs w:val="20"/>
        </w:rPr>
        <w:t xml:space="preserve">, </w:t>
      </w:r>
      <w:r w:rsidRPr="00610E48">
        <w:rPr>
          <w:rFonts w:ascii="Calibri" w:hAnsi="Calibri"/>
          <w:i/>
          <w:noProof/>
          <w:sz w:val="20"/>
          <w:szCs w:val="20"/>
        </w:rPr>
        <w:t>76</w:t>
      </w:r>
      <w:r w:rsidRPr="00610E48">
        <w:rPr>
          <w:rFonts w:ascii="Calibri" w:hAnsi="Calibri"/>
          <w:noProof/>
          <w:sz w:val="20"/>
          <w:szCs w:val="20"/>
        </w:rPr>
        <w:t>, 149-161.</w:t>
      </w:r>
      <w:bookmarkEnd w:id="447"/>
    </w:p>
    <w:p w:rsidR="00512D09" w:rsidRPr="00610E48" w:rsidRDefault="00512D09" w:rsidP="00512D09">
      <w:pPr>
        <w:spacing w:after="0" w:line="240" w:lineRule="auto"/>
        <w:rPr>
          <w:rFonts w:ascii="Calibri" w:hAnsi="Calibri"/>
          <w:noProof/>
          <w:sz w:val="20"/>
          <w:szCs w:val="20"/>
        </w:rPr>
      </w:pPr>
      <w:bookmarkStart w:id="448" w:name="_ENREF_213"/>
      <w:r w:rsidRPr="00610E48">
        <w:rPr>
          <w:rFonts w:ascii="Calibri" w:hAnsi="Calibri"/>
          <w:noProof/>
          <w:sz w:val="20"/>
          <w:szCs w:val="20"/>
        </w:rPr>
        <w:tab/>
        <w:t>(213)</w:t>
      </w:r>
      <w:r w:rsidRPr="00610E48">
        <w:rPr>
          <w:rFonts w:ascii="Calibri" w:hAnsi="Calibri"/>
          <w:noProof/>
          <w:sz w:val="20"/>
          <w:szCs w:val="20"/>
        </w:rPr>
        <w:tab/>
        <w:t xml:space="preserve">Cooper, A.; McAuley-Hecht, K. E.: Microcalorimetry and the Molecular Recognition of Peptides and Proteins. </w:t>
      </w:r>
      <w:r w:rsidRPr="00610E48">
        <w:rPr>
          <w:rFonts w:ascii="Calibri" w:hAnsi="Calibri"/>
          <w:i/>
          <w:noProof/>
          <w:sz w:val="20"/>
          <w:szCs w:val="20"/>
        </w:rPr>
        <w:t>Philosophical Transactions of the Royal Society of London. Series A: Physical and Engineering Sciences,</w:t>
      </w:r>
      <w:r w:rsidRPr="00610E48">
        <w:rPr>
          <w:rFonts w:ascii="Calibri" w:hAnsi="Calibri"/>
          <w:noProof/>
          <w:sz w:val="20"/>
          <w:szCs w:val="20"/>
        </w:rPr>
        <w:t xml:space="preserve"> </w:t>
      </w:r>
      <w:r w:rsidRPr="00610E48">
        <w:rPr>
          <w:rFonts w:ascii="Calibri" w:hAnsi="Calibri"/>
          <w:b/>
          <w:noProof/>
          <w:sz w:val="20"/>
          <w:szCs w:val="20"/>
        </w:rPr>
        <w:t>1993</w:t>
      </w:r>
      <w:r w:rsidRPr="00610E48">
        <w:rPr>
          <w:rFonts w:ascii="Calibri" w:hAnsi="Calibri"/>
          <w:noProof/>
          <w:sz w:val="20"/>
          <w:szCs w:val="20"/>
        </w:rPr>
        <w:t xml:space="preserve">, </w:t>
      </w:r>
      <w:r w:rsidRPr="00610E48">
        <w:rPr>
          <w:rFonts w:ascii="Calibri" w:hAnsi="Calibri"/>
          <w:i/>
          <w:noProof/>
          <w:sz w:val="20"/>
          <w:szCs w:val="20"/>
        </w:rPr>
        <w:t>345</w:t>
      </w:r>
      <w:r w:rsidRPr="00610E48">
        <w:rPr>
          <w:rFonts w:ascii="Calibri" w:hAnsi="Calibri"/>
          <w:noProof/>
          <w:sz w:val="20"/>
          <w:szCs w:val="20"/>
        </w:rPr>
        <w:t>, 23-35.</w:t>
      </w:r>
      <w:bookmarkEnd w:id="448"/>
    </w:p>
    <w:p w:rsidR="00512D09" w:rsidRPr="00610E48" w:rsidRDefault="00512D09" w:rsidP="00512D09">
      <w:pPr>
        <w:spacing w:after="0" w:line="240" w:lineRule="auto"/>
        <w:rPr>
          <w:rFonts w:ascii="Calibri" w:hAnsi="Calibri"/>
          <w:noProof/>
          <w:sz w:val="20"/>
          <w:szCs w:val="20"/>
        </w:rPr>
      </w:pPr>
      <w:bookmarkStart w:id="449" w:name="_ENREF_214"/>
      <w:r w:rsidRPr="00610E48">
        <w:rPr>
          <w:rFonts w:ascii="Calibri" w:hAnsi="Calibri"/>
          <w:noProof/>
          <w:sz w:val="20"/>
          <w:szCs w:val="20"/>
        </w:rPr>
        <w:lastRenderedPageBreak/>
        <w:tab/>
        <w:t>(214)</w:t>
      </w:r>
      <w:r w:rsidRPr="00610E48">
        <w:rPr>
          <w:rFonts w:ascii="Calibri" w:hAnsi="Calibri"/>
          <w:noProof/>
          <w:sz w:val="20"/>
          <w:szCs w:val="20"/>
        </w:rPr>
        <w:tab/>
        <w:t xml:space="preserve">Privalov, P.; Gill, S. J.: The hydrophobic effect: a reappraisal. </w:t>
      </w:r>
      <w:r w:rsidRPr="00610E48">
        <w:rPr>
          <w:rFonts w:ascii="Calibri" w:hAnsi="Calibri"/>
          <w:i/>
          <w:noProof/>
          <w:sz w:val="20"/>
          <w:szCs w:val="20"/>
        </w:rPr>
        <w:t>Pure and applied chemistry,</w:t>
      </w:r>
      <w:r w:rsidRPr="00610E48">
        <w:rPr>
          <w:rFonts w:ascii="Calibri" w:hAnsi="Calibri"/>
          <w:noProof/>
          <w:sz w:val="20"/>
          <w:szCs w:val="20"/>
        </w:rPr>
        <w:t xml:space="preserve"> </w:t>
      </w:r>
      <w:r w:rsidRPr="00610E48">
        <w:rPr>
          <w:rFonts w:ascii="Calibri" w:hAnsi="Calibri"/>
          <w:b/>
          <w:noProof/>
          <w:sz w:val="20"/>
          <w:szCs w:val="20"/>
        </w:rPr>
        <w:t>1989</w:t>
      </w:r>
      <w:r w:rsidRPr="00610E48">
        <w:rPr>
          <w:rFonts w:ascii="Calibri" w:hAnsi="Calibri"/>
          <w:noProof/>
          <w:sz w:val="20"/>
          <w:szCs w:val="20"/>
        </w:rPr>
        <w:t xml:space="preserve">, </w:t>
      </w:r>
      <w:r w:rsidRPr="00610E48">
        <w:rPr>
          <w:rFonts w:ascii="Calibri" w:hAnsi="Calibri"/>
          <w:i/>
          <w:noProof/>
          <w:sz w:val="20"/>
          <w:szCs w:val="20"/>
        </w:rPr>
        <w:t>61</w:t>
      </w:r>
      <w:r w:rsidRPr="00610E48">
        <w:rPr>
          <w:rFonts w:ascii="Calibri" w:hAnsi="Calibri"/>
          <w:noProof/>
          <w:sz w:val="20"/>
          <w:szCs w:val="20"/>
        </w:rPr>
        <w:t>, 1097-1104.</w:t>
      </w:r>
      <w:bookmarkEnd w:id="449"/>
    </w:p>
    <w:p w:rsidR="00512D09" w:rsidRPr="00610E48" w:rsidRDefault="00512D09" w:rsidP="00512D09">
      <w:pPr>
        <w:spacing w:after="0" w:line="240" w:lineRule="auto"/>
        <w:rPr>
          <w:rFonts w:ascii="Calibri" w:hAnsi="Calibri"/>
          <w:noProof/>
          <w:sz w:val="20"/>
          <w:szCs w:val="20"/>
        </w:rPr>
      </w:pPr>
      <w:bookmarkStart w:id="450" w:name="_ENREF_215"/>
      <w:r w:rsidRPr="00610E48">
        <w:rPr>
          <w:rFonts w:ascii="Calibri" w:hAnsi="Calibri"/>
          <w:noProof/>
          <w:sz w:val="20"/>
          <w:szCs w:val="20"/>
        </w:rPr>
        <w:tab/>
        <w:t>(215)</w:t>
      </w:r>
      <w:r w:rsidRPr="00610E48">
        <w:rPr>
          <w:rFonts w:ascii="Calibri" w:hAnsi="Calibri"/>
          <w:noProof/>
          <w:sz w:val="20"/>
          <w:szCs w:val="20"/>
        </w:rPr>
        <w:tab/>
        <w:t xml:space="preserve">Kilmister, R. L.; Faulkner, P.; Downey, M. O.; Darby, S. J.; Falconer, R. J.: The complexity of condensed tannin binding to bovine serum albumin – An isothermal titration calorimetry study. </w:t>
      </w:r>
      <w:r w:rsidRPr="00610E48">
        <w:rPr>
          <w:rFonts w:ascii="Calibri" w:hAnsi="Calibri"/>
          <w:i/>
          <w:noProof/>
          <w:sz w:val="20"/>
          <w:szCs w:val="20"/>
        </w:rPr>
        <w:t>Food Chemistry,</w:t>
      </w:r>
      <w:r w:rsidRPr="00610E48">
        <w:rPr>
          <w:rFonts w:ascii="Calibri" w:hAnsi="Calibri"/>
          <w:noProof/>
          <w:sz w:val="20"/>
          <w:szCs w:val="20"/>
        </w:rPr>
        <w:t xml:space="preserve"> </w:t>
      </w:r>
      <w:r w:rsidRPr="00610E48">
        <w:rPr>
          <w:rFonts w:ascii="Calibri" w:hAnsi="Calibri"/>
          <w:b/>
          <w:noProof/>
          <w:sz w:val="20"/>
          <w:szCs w:val="20"/>
        </w:rPr>
        <w:t>2016</w:t>
      </w:r>
      <w:r w:rsidRPr="00610E48">
        <w:rPr>
          <w:rFonts w:ascii="Calibri" w:hAnsi="Calibri"/>
          <w:noProof/>
          <w:sz w:val="20"/>
          <w:szCs w:val="20"/>
        </w:rPr>
        <w:t xml:space="preserve">, </w:t>
      </w:r>
      <w:r w:rsidRPr="00610E48">
        <w:rPr>
          <w:rFonts w:ascii="Calibri" w:hAnsi="Calibri"/>
          <w:i/>
          <w:noProof/>
          <w:sz w:val="20"/>
          <w:szCs w:val="20"/>
        </w:rPr>
        <w:t>190</w:t>
      </w:r>
      <w:r w:rsidRPr="00610E48">
        <w:rPr>
          <w:rFonts w:ascii="Calibri" w:hAnsi="Calibri"/>
          <w:noProof/>
          <w:sz w:val="20"/>
          <w:szCs w:val="20"/>
        </w:rPr>
        <w:t>, 173-178.</w:t>
      </w:r>
      <w:bookmarkEnd w:id="450"/>
    </w:p>
    <w:p w:rsidR="00512D09" w:rsidRPr="00610E48" w:rsidRDefault="00512D09" w:rsidP="00512D09">
      <w:pPr>
        <w:spacing w:after="0" w:line="240" w:lineRule="auto"/>
        <w:rPr>
          <w:rFonts w:ascii="Calibri" w:hAnsi="Calibri"/>
          <w:noProof/>
          <w:sz w:val="20"/>
          <w:szCs w:val="20"/>
        </w:rPr>
      </w:pPr>
      <w:bookmarkStart w:id="451" w:name="_ENREF_216"/>
      <w:r w:rsidRPr="00610E48">
        <w:rPr>
          <w:rFonts w:ascii="Calibri" w:hAnsi="Calibri"/>
          <w:noProof/>
          <w:sz w:val="20"/>
          <w:szCs w:val="20"/>
        </w:rPr>
        <w:tab/>
        <w:t>(216)</w:t>
      </w:r>
      <w:r w:rsidRPr="00610E48">
        <w:rPr>
          <w:rFonts w:ascii="Calibri" w:hAnsi="Calibri"/>
          <w:noProof/>
          <w:sz w:val="20"/>
          <w:szCs w:val="20"/>
        </w:rPr>
        <w:tab/>
        <w:t xml:space="preserve">Nielsen, A. D.; Borch, K.; Westh, P.: Thermochemistry of the specific binding of C12 surfactants to bovine serum albumin. </w:t>
      </w:r>
      <w:r w:rsidRPr="00610E48">
        <w:rPr>
          <w:rFonts w:ascii="Calibri" w:hAnsi="Calibri"/>
          <w:i/>
          <w:noProof/>
          <w:sz w:val="20"/>
          <w:szCs w:val="20"/>
        </w:rPr>
        <w:t>Biochimica et Biophysica Acta (BBA)-Protein Structure and Molecular Enzymology,</w:t>
      </w:r>
      <w:r w:rsidRPr="00610E48">
        <w:rPr>
          <w:rFonts w:ascii="Calibri" w:hAnsi="Calibri"/>
          <w:noProof/>
          <w:sz w:val="20"/>
          <w:szCs w:val="20"/>
        </w:rPr>
        <w:t xml:space="preserve"> </w:t>
      </w:r>
      <w:r w:rsidRPr="00610E48">
        <w:rPr>
          <w:rFonts w:ascii="Calibri" w:hAnsi="Calibri"/>
          <w:b/>
          <w:noProof/>
          <w:sz w:val="20"/>
          <w:szCs w:val="20"/>
        </w:rPr>
        <w:t>2000</w:t>
      </w:r>
      <w:r w:rsidRPr="00610E48">
        <w:rPr>
          <w:rFonts w:ascii="Calibri" w:hAnsi="Calibri"/>
          <w:noProof/>
          <w:sz w:val="20"/>
          <w:szCs w:val="20"/>
        </w:rPr>
        <w:t xml:space="preserve">, </w:t>
      </w:r>
      <w:r w:rsidRPr="00610E48">
        <w:rPr>
          <w:rFonts w:ascii="Calibri" w:hAnsi="Calibri"/>
          <w:i/>
          <w:noProof/>
          <w:sz w:val="20"/>
          <w:szCs w:val="20"/>
        </w:rPr>
        <w:t>1479</w:t>
      </w:r>
      <w:r w:rsidRPr="00610E48">
        <w:rPr>
          <w:rFonts w:ascii="Calibri" w:hAnsi="Calibri"/>
          <w:noProof/>
          <w:sz w:val="20"/>
          <w:szCs w:val="20"/>
        </w:rPr>
        <w:t>, 321-331.</w:t>
      </w:r>
      <w:bookmarkEnd w:id="451"/>
    </w:p>
    <w:p w:rsidR="00512D09" w:rsidRPr="00610E48" w:rsidRDefault="00512D09" w:rsidP="00512D09">
      <w:pPr>
        <w:spacing w:after="0" w:line="240" w:lineRule="auto"/>
        <w:rPr>
          <w:rFonts w:ascii="Calibri" w:hAnsi="Calibri"/>
          <w:noProof/>
          <w:sz w:val="20"/>
          <w:szCs w:val="20"/>
        </w:rPr>
      </w:pPr>
      <w:bookmarkStart w:id="452" w:name="_ENREF_217"/>
      <w:r w:rsidRPr="00610E48">
        <w:rPr>
          <w:rFonts w:ascii="Calibri" w:hAnsi="Calibri"/>
          <w:noProof/>
          <w:sz w:val="20"/>
          <w:szCs w:val="20"/>
        </w:rPr>
        <w:tab/>
        <w:t>(217)</w:t>
      </w:r>
      <w:r w:rsidRPr="00610E48">
        <w:rPr>
          <w:rFonts w:ascii="Calibri" w:hAnsi="Calibri"/>
          <w:noProof/>
          <w:sz w:val="20"/>
          <w:szCs w:val="20"/>
        </w:rPr>
        <w:tab/>
        <w:t xml:space="preserve">Kevelam, J.; van Breemen, J. F. L.; Blokzijl, W.; Engberts, J. B. F. N.: Polymer−Surfactant Interactions Studied by Titration Microcalorimetry:  Influence of Polymer Hydrophobicity, Electrostatic Forces, and Surfactant Aggregational State. </w:t>
      </w:r>
      <w:r w:rsidRPr="00610E48">
        <w:rPr>
          <w:rFonts w:ascii="Calibri" w:hAnsi="Calibri"/>
          <w:i/>
          <w:noProof/>
          <w:sz w:val="20"/>
          <w:szCs w:val="20"/>
        </w:rPr>
        <w:t>Langmuir,</w:t>
      </w:r>
      <w:r w:rsidRPr="00610E48">
        <w:rPr>
          <w:rFonts w:ascii="Calibri" w:hAnsi="Calibri"/>
          <w:noProof/>
          <w:sz w:val="20"/>
          <w:szCs w:val="20"/>
        </w:rPr>
        <w:t xml:space="preserve"> </w:t>
      </w:r>
      <w:r w:rsidRPr="00610E48">
        <w:rPr>
          <w:rFonts w:ascii="Calibri" w:hAnsi="Calibri"/>
          <w:b/>
          <w:noProof/>
          <w:sz w:val="20"/>
          <w:szCs w:val="20"/>
        </w:rPr>
        <w:t>1996</w:t>
      </w:r>
      <w:r w:rsidRPr="00610E48">
        <w:rPr>
          <w:rFonts w:ascii="Calibri" w:hAnsi="Calibri"/>
          <w:noProof/>
          <w:sz w:val="20"/>
          <w:szCs w:val="20"/>
        </w:rPr>
        <w:t xml:space="preserve">, </w:t>
      </w:r>
      <w:r w:rsidRPr="00610E48">
        <w:rPr>
          <w:rFonts w:ascii="Calibri" w:hAnsi="Calibri"/>
          <w:i/>
          <w:noProof/>
          <w:sz w:val="20"/>
          <w:szCs w:val="20"/>
        </w:rPr>
        <w:t>12</w:t>
      </w:r>
      <w:r w:rsidRPr="00610E48">
        <w:rPr>
          <w:rFonts w:ascii="Calibri" w:hAnsi="Calibri"/>
          <w:noProof/>
          <w:sz w:val="20"/>
          <w:szCs w:val="20"/>
        </w:rPr>
        <w:t>, 4709-4717.</w:t>
      </w:r>
      <w:bookmarkEnd w:id="452"/>
    </w:p>
    <w:p w:rsidR="00512D09" w:rsidRPr="00610E48" w:rsidRDefault="00512D09" w:rsidP="00512D09">
      <w:pPr>
        <w:spacing w:after="0" w:line="240" w:lineRule="auto"/>
        <w:rPr>
          <w:rFonts w:ascii="Calibri" w:hAnsi="Calibri"/>
          <w:noProof/>
          <w:sz w:val="20"/>
          <w:szCs w:val="20"/>
        </w:rPr>
      </w:pPr>
      <w:bookmarkStart w:id="453" w:name="_ENREF_218"/>
      <w:r w:rsidRPr="00610E48">
        <w:rPr>
          <w:rFonts w:ascii="Calibri" w:hAnsi="Calibri"/>
          <w:noProof/>
          <w:sz w:val="20"/>
          <w:szCs w:val="20"/>
        </w:rPr>
        <w:tab/>
        <w:t>(218)</w:t>
      </w:r>
      <w:r w:rsidRPr="00610E48">
        <w:rPr>
          <w:rFonts w:ascii="Calibri" w:hAnsi="Calibri"/>
          <w:noProof/>
          <w:sz w:val="20"/>
          <w:szCs w:val="20"/>
        </w:rPr>
        <w:tab/>
        <w:t xml:space="preserve">Makhatadze, G. I.; Privalov, P. L.: Contribution of Hydration to Protein Folding Thermodynamics: I. The Enthalpy of Hydration.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1993</w:t>
      </w:r>
      <w:r w:rsidRPr="00610E48">
        <w:rPr>
          <w:rFonts w:ascii="Calibri" w:hAnsi="Calibri"/>
          <w:noProof/>
          <w:sz w:val="20"/>
          <w:szCs w:val="20"/>
        </w:rPr>
        <w:t xml:space="preserve">, </w:t>
      </w:r>
      <w:r w:rsidRPr="00610E48">
        <w:rPr>
          <w:rFonts w:ascii="Calibri" w:hAnsi="Calibri"/>
          <w:i/>
          <w:noProof/>
          <w:sz w:val="20"/>
          <w:szCs w:val="20"/>
        </w:rPr>
        <w:t>232</w:t>
      </w:r>
      <w:r w:rsidRPr="00610E48">
        <w:rPr>
          <w:rFonts w:ascii="Calibri" w:hAnsi="Calibri"/>
          <w:noProof/>
          <w:sz w:val="20"/>
          <w:szCs w:val="20"/>
        </w:rPr>
        <w:t>, 639-659.</w:t>
      </w:r>
      <w:bookmarkEnd w:id="453"/>
    </w:p>
    <w:p w:rsidR="00512D09" w:rsidRPr="00610E48" w:rsidRDefault="00512D09" w:rsidP="00512D09">
      <w:pPr>
        <w:spacing w:after="0" w:line="240" w:lineRule="auto"/>
        <w:rPr>
          <w:rFonts w:ascii="Calibri" w:hAnsi="Calibri"/>
          <w:noProof/>
          <w:sz w:val="20"/>
          <w:szCs w:val="20"/>
        </w:rPr>
      </w:pPr>
      <w:bookmarkStart w:id="454" w:name="_ENREF_219"/>
      <w:r w:rsidRPr="00610E48">
        <w:rPr>
          <w:rFonts w:ascii="Calibri" w:hAnsi="Calibri"/>
          <w:noProof/>
          <w:sz w:val="20"/>
          <w:szCs w:val="20"/>
        </w:rPr>
        <w:tab/>
        <w:t>(219)</w:t>
      </w:r>
      <w:r w:rsidRPr="00610E48">
        <w:rPr>
          <w:rFonts w:ascii="Calibri" w:hAnsi="Calibri"/>
          <w:noProof/>
          <w:sz w:val="20"/>
          <w:szCs w:val="20"/>
        </w:rPr>
        <w:tab/>
        <w:t xml:space="preserve">McRae, J. M.; Ziora, Z. M.; Kassara, S.; Cooper, M. A.; Smith, P. A.: Ethanol Concentration Influences the Mechanisms of Wine Tannin Interactions with Poly(l-proline) in Model Wine.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2015</w:t>
      </w:r>
      <w:r w:rsidRPr="00610E48">
        <w:rPr>
          <w:rFonts w:ascii="Calibri" w:hAnsi="Calibri"/>
          <w:noProof/>
          <w:sz w:val="20"/>
          <w:szCs w:val="20"/>
        </w:rPr>
        <w:t xml:space="preserve">, </w:t>
      </w:r>
      <w:r w:rsidRPr="00610E48">
        <w:rPr>
          <w:rFonts w:ascii="Calibri" w:hAnsi="Calibri"/>
          <w:i/>
          <w:noProof/>
          <w:sz w:val="20"/>
          <w:szCs w:val="20"/>
        </w:rPr>
        <w:t>63</w:t>
      </w:r>
      <w:r w:rsidRPr="00610E48">
        <w:rPr>
          <w:rFonts w:ascii="Calibri" w:hAnsi="Calibri"/>
          <w:noProof/>
          <w:sz w:val="20"/>
          <w:szCs w:val="20"/>
        </w:rPr>
        <w:t>, 4345-4352.</w:t>
      </w:r>
      <w:bookmarkEnd w:id="454"/>
    </w:p>
    <w:p w:rsidR="00512D09" w:rsidRPr="00610E48" w:rsidRDefault="00512D09" w:rsidP="00512D09">
      <w:pPr>
        <w:spacing w:after="0" w:line="240" w:lineRule="auto"/>
        <w:rPr>
          <w:rFonts w:ascii="Calibri" w:hAnsi="Calibri"/>
          <w:noProof/>
          <w:sz w:val="20"/>
          <w:szCs w:val="20"/>
        </w:rPr>
      </w:pPr>
      <w:bookmarkStart w:id="455" w:name="_ENREF_220"/>
      <w:r w:rsidRPr="00610E48">
        <w:rPr>
          <w:rFonts w:ascii="Calibri" w:hAnsi="Calibri"/>
          <w:noProof/>
          <w:sz w:val="20"/>
          <w:szCs w:val="20"/>
        </w:rPr>
        <w:tab/>
        <w:t>(220)</w:t>
      </w:r>
      <w:r w:rsidRPr="00610E48">
        <w:rPr>
          <w:rFonts w:ascii="Calibri" w:hAnsi="Calibri"/>
          <w:noProof/>
          <w:sz w:val="20"/>
          <w:szCs w:val="20"/>
        </w:rPr>
        <w:tab/>
        <w:t xml:space="preserve">McRae, J. M.; Falconer, R. J.; Kennedy, J. A.: Thermodynamics of Grape and Wine Tannin Interaction with Polyproline: Implications for Red Wine Astringency.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58</w:t>
      </w:r>
      <w:r w:rsidRPr="00610E48">
        <w:rPr>
          <w:rFonts w:ascii="Calibri" w:hAnsi="Calibri"/>
          <w:noProof/>
          <w:sz w:val="20"/>
          <w:szCs w:val="20"/>
        </w:rPr>
        <w:t>, 12510-12518.</w:t>
      </w:r>
      <w:bookmarkEnd w:id="455"/>
    </w:p>
    <w:p w:rsidR="00512D09" w:rsidRPr="00610E48" w:rsidRDefault="00512D09" w:rsidP="00512D09">
      <w:pPr>
        <w:spacing w:after="0" w:line="240" w:lineRule="auto"/>
        <w:rPr>
          <w:rFonts w:ascii="Calibri" w:hAnsi="Calibri"/>
          <w:noProof/>
          <w:sz w:val="20"/>
          <w:szCs w:val="20"/>
        </w:rPr>
      </w:pPr>
      <w:bookmarkStart w:id="456" w:name="_ENREF_221"/>
      <w:r w:rsidRPr="00610E48">
        <w:rPr>
          <w:rFonts w:ascii="Calibri" w:hAnsi="Calibri"/>
          <w:noProof/>
          <w:sz w:val="20"/>
          <w:szCs w:val="20"/>
        </w:rPr>
        <w:tab/>
        <w:t>(221)</w:t>
      </w:r>
      <w:r w:rsidRPr="00610E48">
        <w:rPr>
          <w:rFonts w:ascii="Calibri" w:hAnsi="Calibri"/>
          <w:noProof/>
          <w:sz w:val="20"/>
          <w:szCs w:val="20"/>
        </w:rPr>
        <w:tab/>
        <w:t xml:space="preserve">Haidacher, D.; Vailaya, A.; Horváth, C.: Temperature Effects in Hydrophobic Interaction Chromatography. </w:t>
      </w:r>
      <w:r w:rsidRPr="00610E48">
        <w:rPr>
          <w:rFonts w:ascii="Calibri" w:hAnsi="Calibri"/>
          <w:i/>
          <w:noProof/>
          <w:sz w:val="20"/>
          <w:szCs w:val="20"/>
        </w:rPr>
        <w:t>Proceedings of the National Academy of Sciences of the United States of America,</w:t>
      </w:r>
      <w:r w:rsidRPr="00610E48">
        <w:rPr>
          <w:rFonts w:ascii="Calibri" w:hAnsi="Calibri"/>
          <w:noProof/>
          <w:sz w:val="20"/>
          <w:szCs w:val="20"/>
        </w:rPr>
        <w:t xml:space="preserve"> </w:t>
      </w:r>
      <w:r w:rsidRPr="00610E48">
        <w:rPr>
          <w:rFonts w:ascii="Calibri" w:hAnsi="Calibri"/>
          <w:b/>
          <w:noProof/>
          <w:sz w:val="20"/>
          <w:szCs w:val="20"/>
        </w:rPr>
        <w:t>1996</w:t>
      </w:r>
      <w:r w:rsidRPr="00610E48">
        <w:rPr>
          <w:rFonts w:ascii="Calibri" w:hAnsi="Calibri"/>
          <w:noProof/>
          <w:sz w:val="20"/>
          <w:szCs w:val="20"/>
        </w:rPr>
        <w:t xml:space="preserve">, </w:t>
      </w:r>
      <w:r w:rsidRPr="00610E48">
        <w:rPr>
          <w:rFonts w:ascii="Calibri" w:hAnsi="Calibri"/>
          <w:i/>
          <w:noProof/>
          <w:sz w:val="20"/>
          <w:szCs w:val="20"/>
        </w:rPr>
        <w:t>93</w:t>
      </w:r>
      <w:r w:rsidRPr="00610E48">
        <w:rPr>
          <w:rFonts w:ascii="Calibri" w:hAnsi="Calibri"/>
          <w:noProof/>
          <w:sz w:val="20"/>
          <w:szCs w:val="20"/>
        </w:rPr>
        <w:t>, 2290-2295.</w:t>
      </w:r>
      <w:bookmarkEnd w:id="456"/>
    </w:p>
    <w:p w:rsidR="00512D09" w:rsidRPr="00610E48" w:rsidRDefault="00512D09" w:rsidP="00512D09">
      <w:pPr>
        <w:spacing w:after="0" w:line="240" w:lineRule="auto"/>
        <w:rPr>
          <w:rFonts w:ascii="Calibri" w:hAnsi="Calibri"/>
          <w:noProof/>
          <w:sz w:val="20"/>
          <w:szCs w:val="20"/>
        </w:rPr>
      </w:pPr>
      <w:bookmarkStart w:id="457" w:name="_ENREF_222"/>
      <w:r w:rsidRPr="00610E48">
        <w:rPr>
          <w:rFonts w:ascii="Calibri" w:hAnsi="Calibri"/>
          <w:noProof/>
          <w:sz w:val="20"/>
          <w:szCs w:val="20"/>
        </w:rPr>
        <w:tab/>
        <w:t>(222)</w:t>
      </w:r>
      <w:r w:rsidRPr="00610E48">
        <w:rPr>
          <w:rFonts w:ascii="Calibri" w:hAnsi="Calibri"/>
          <w:noProof/>
          <w:sz w:val="20"/>
          <w:szCs w:val="20"/>
        </w:rPr>
        <w:tab/>
        <w:t xml:space="preserve">Tobiason, F. L.; Kelley, S. S.; Midland, M. M.; Hemingway, R. W.: Temperature dependence of (+)-catechin pyran ring proton coupling constants as measured by NMR and modeled using GMMX search methodology. </w:t>
      </w:r>
      <w:r w:rsidRPr="00610E48">
        <w:rPr>
          <w:rFonts w:ascii="Calibri" w:hAnsi="Calibri"/>
          <w:i/>
          <w:noProof/>
          <w:sz w:val="20"/>
          <w:szCs w:val="20"/>
        </w:rPr>
        <w:t>Tetrahedron Letters,</w:t>
      </w:r>
      <w:r w:rsidRPr="00610E48">
        <w:rPr>
          <w:rFonts w:ascii="Calibri" w:hAnsi="Calibri"/>
          <w:noProof/>
          <w:sz w:val="20"/>
          <w:szCs w:val="20"/>
        </w:rPr>
        <w:t xml:space="preserve"> </w:t>
      </w:r>
      <w:r w:rsidRPr="00610E48">
        <w:rPr>
          <w:rFonts w:ascii="Calibri" w:hAnsi="Calibri"/>
          <w:b/>
          <w:noProof/>
          <w:sz w:val="20"/>
          <w:szCs w:val="20"/>
        </w:rPr>
        <w:t>1997</w:t>
      </w:r>
      <w:r w:rsidRPr="00610E48">
        <w:rPr>
          <w:rFonts w:ascii="Calibri" w:hAnsi="Calibri"/>
          <w:noProof/>
          <w:sz w:val="20"/>
          <w:szCs w:val="20"/>
        </w:rPr>
        <w:t xml:space="preserve">, </w:t>
      </w:r>
      <w:r w:rsidRPr="00610E48">
        <w:rPr>
          <w:rFonts w:ascii="Calibri" w:hAnsi="Calibri"/>
          <w:i/>
          <w:noProof/>
          <w:sz w:val="20"/>
          <w:szCs w:val="20"/>
        </w:rPr>
        <w:t>38</w:t>
      </w:r>
      <w:r w:rsidRPr="00610E48">
        <w:rPr>
          <w:rFonts w:ascii="Calibri" w:hAnsi="Calibri"/>
          <w:noProof/>
          <w:sz w:val="20"/>
          <w:szCs w:val="20"/>
        </w:rPr>
        <w:t>, 985-988.</w:t>
      </w:r>
      <w:bookmarkEnd w:id="457"/>
    </w:p>
    <w:p w:rsidR="00512D09" w:rsidRPr="00610E48" w:rsidRDefault="00512D09" w:rsidP="00512D09">
      <w:pPr>
        <w:spacing w:after="0" w:line="240" w:lineRule="auto"/>
        <w:rPr>
          <w:rFonts w:ascii="Calibri" w:hAnsi="Calibri"/>
          <w:noProof/>
          <w:sz w:val="20"/>
          <w:szCs w:val="20"/>
        </w:rPr>
      </w:pPr>
      <w:bookmarkStart w:id="458" w:name="_ENREF_223"/>
      <w:r w:rsidRPr="00610E48">
        <w:rPr>
          <w:rFonts w:ascii="Calibri" w:hAnsi="Calibri"/>
          <w:noProof/>
          <w:sz w:val="20"/>
          <w:szCs w:val="20"/>
        </w:rPr>
        <w:tab/>
        <w:t>(223)</w:t>
      </w:r>
      <w:r w:rsidRPr="00610E48">
        <w:rPr>
          <w:rFonts w:ascii="Calibri" w:hAnsi="Calibri"/>
          <w:noProof/>
          <w:sz w:val="20"/>
          <w:szCs w:val="20"/>
        </w:rPr>
        <w:tab/>
        <w:t>Kresheck, G. C.: Comparison of the Calorimetric and van't Hoff Enthalpy of Micelle Formation for a Nonionic Surfactant in H</w:t>
      </w:r>
      <w:r w:rsidRPr="00610E48">
        <w:rPr>
          <w:rFonts w:ascii="Calibri" w:hAnsi="Calibri"/>
          <w:noProof/>
          <w:sz w:val="20"/>
          <w:szCs w:val="20"/>
          <w:vertAlign w:val="subscript"/>
        </w:rPr>
        <w:t>2</w:t>
      </w:r>
      <w:r w:rsidRPr="00610E48">
        <w:rPr>
          <w:rFonts w:ascii="Calibri" w:hAnsi="Calibri"/>
          <w:noProof/>
          <w:sz w:val="20"/>
          <w:szCs w:val="20"/>
        </w:rPr>
        <w:t>O and D</w:t>
      </w:r>
      <w:r w:rsidRPr="00610E48">
        <w:rPr>
          <w:rFonts w:ascii="Calibri" w:hAnsi="Calibri"/>
          <w:noProof/>
          <w:sz w:val="20"/>
          <w:szCs w:val="20"/>
          <w:vertAlign w:val="subscript"/>
        </w:rPr>
        <w:t>2</w:t>
      </w:r>
      <w:r w:rsidRPr="00610E48">
        <w:rPr>
          <w:rFonts w:ascii="Calibri" w:hAnsi="Calibri"/>
          <w:noProof/>
          <w:sz w:val="20"/>
          <w:szCs w:val="20"/>
        </w:rPr>
        <w:t xml:space="preserve">O Solutions from 15 to 40 °C.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1998</w:t>
      </w:r>
      <w:r w:rsidRPr="00610E48">
        <w:rPr>
          <w:rFonts w:ascii="Calibri" w:hAnsi="Calibri"/>
          <w:noProof/>
          <w:sz w:val="20"/>
          <w:szCs w:val="20"/>
        </w:rPr>
        <w:t xml:space="preserve">, </w:t>
      </w:r>
      <w:r w:rsidRPr="00610E48">
        <w:rPr>
          <w:rFonts w:ascii="Calibri" w:hAnsi="Calibri"/>
          <w:i/>
          <w:noProof/>
          <w:sz w:val="20"/>
          <w:szCs w:val="20"/>
        </w:rPr>
        <w:t>102</w:t>
      </w:r>
      <w:r w:rsidRPr="00610E48">
        <w:rPr>
          <w:rFonts w:ascii="Calibri" w:hAnsi="Calibri"/>
          <w:noProof/>
          <w:sz w:val="20"/>
          <w:szCs w:val="20"/>
        </w:rPr>
        <w:t>, 6596-6600.</w:t>
      </w:r>
      <w:bookmarkEnd w:id="458"/>
    </w:p>
    <w:p w:rsidR="00512D09" w:rsidRPr="00610E48" w:rsidRDefault="00512D09" w:rsidP="00512D09">
      <w:pPr>
        <w:spacing w:after="0" w:line="240" w:lineRule="auto"/>
        <w:rPr>
          <w:rFonts w:ascii="Calibri" w:hAnsi="Calibri"/>
          <w:noProof/>
          <w:sz w:val="20"/>
          <w:szCs w:val="20"/>
        </w:rPr>
      </w:pPr>
      <w:bookmarkStart w:id="459" w:name="_ENREF_224"/>
      <w:r w:rsidRPr="00610E48">
        <w:rPr>
          <w:rFonts w:ascii="Calibri" w:hAnsi="Calibri"/>
          <w:noProof/>
          <w:sz w:val="20"/>
          <w:szCs w:val="20"/>
        </w:rPr>
        <w:tab/>
        <w:t>(224)</w:t>
      </w:r>
      <w:r w:rsidRPr="00610E48">
        <w:rPr>
          <w:rFonts w:ascii="Calibri" w:hAnsi="Calibri"/>
          <w:noProof/>
          <w:sz w:val="20"/>
          <w:szCs w:val="20"/>
        </w:rPr>
        <w:tab/>
        <w:t xml:space="preserve">Greenfield, N. J.: Using circular dichroism spectra to estimate protein secondary structure. </w:t>
      </w:r>
      <w:r w:rsidRPr="00610E48">
        <w:rPr>
          <w:rFonts w:ascii="Calibri" w:hAnsi="Calibri"/>
          <w:i/>
          <w:noProof/>
          <w:sz w:val="20"/>
          <w:szCs w:val="20"/>
        </w:rPr>
        <w:t>Nature protocols,</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1</w:t>
      </w:r>
      <w:r w:rsidRPr="00610E48">
        <w:rPr>
          <w:rFonts w:ascii="Calibri" w:hAnsi="Calibri"/>
          <w:noProof/>
          <w:sz w:val="20"/>
          <w:szCs w:val="20"/>
        </w:rPr>
        <w:t>, 2876-2890.</w:t>
      </w:r>
      <w:bookmarkEnd w:id="459"/>
    </w:p>
    <w:p w:rsidR="00512D09" w:rsidRPr="00610E48" w:rsidRDefault="00512D09" w:rsidP="00512D09">
      <w:pPr>
        <w:spacing w:after="0" w:line="240" w:lineRule="auto"/>
        <w:rPr>
          <w:rFonts w:ascii="Calibri" w:hAnsi="Calibri"/>
          <w:noProof/>
          <w:sz w:val="20"/>
          <w:szCs w:val="20"/>
        </w:rPr>
      </w:pPr>
      <w:bookmarkStart w:id="460" w:name="_ENREF_225"/>
      <w:r w:rsidRPr="00610E48">
        <w:rPr>
          <w:rFonts w:ascii="Calibri" w:hAnsi="Calibri"/>
          <w:noProof/>
          <w:sz w:val="20"/>
          <w:szCs w:val="20"/>
        </w:rPr>
        <w:tab/>
        <w:t>(225)</w:t>
      </w:r>
      <w:r w:rsidRPr="00610E48">
        <w:rPr>
          <w:rFonts w:ascii="Calibri" w:hAnsi="Calibri"/>
          <w:noProof/>
          <w:sz w:val="20"/>
          <w:szCs w:val="20"/>
        </w:rPr>
        <w:tab/>
        <w:t xml:space="preserve">Tifany, M. L.; Krimm, S.: Effect of temperature on the circular dichroism spectra of polypeptides in the extended state. </w:t>
      </w:r>
      <w:r w:rsidRPr="00610E48">
        <w:rPr>
          <w:rFonts w:ascii="Calibri" w:hAnsi="Calibri"/>
          <w:i/>
          <w:noProof/>
          <w:sz w:val="20"/>
          <w:szCs w:val="20"/>
        </w:rPr>
        <w:t>Biopolymers,</w:t>
      </w:r>
      <w:r w:rsidRPr="00610E48">
        <w:rPr>
          <w:rFonts w:ascii="Calibri" w:hAnsi="Calibri"/>
          <w:noProof/>
          <w:sz w:val="20"/>
          <w:szCs w:val="20"/>
        </w:rPr>
        <w:t xml:space="preserve"> </w:t>
      </w:r>
      <w:r w:rsidRPr="00610E48">
        <w:rPr>
          <w:rFonts w:ascii="Calibri" w:hAnsi="Calibri"/>
          <w:b/>
          <w:noProof/>
          <w:sz w:val="20"/>
          <w:szCs w:val="20"/>
        </w:rPr>
        <w:t>1972</w:t>
      </w:r>
      <w:r w:rsidRPr="00610E48">
        <w:rPr>
          <w:rFonts w:ascii="Calibri" w:hAnsi="Calibri"/>
          <w:noProof/>
          <w:sz w:val="20"/>
          <w:szCs w:val="20"/>
        </w:rPr>
        <w:t xml:space="preserve">, </w:t>
      </w:r>
      <w:r w:rsidRPr="00610E48">
        <w:rPr>
          <w:rFonts w:ascii="Calibri" w:hAnsi="Calibri"/>
          <w:i/>
          <w:noProof/>
          <w:sz w:val="20"/>
          <w:szCs w:val="20"/>
        </w:rPr>
        <w:t>11</w:t>
      </w:r>
      <w:r w:rsidRPr="00610E48">
        <w:rPr>
          <w:rFonts w:ascii="Calibri" w:hAnsi="Calibri"/>
          <w:noProof/>
          <w:sz w:val="20"/>
          <w:szCs w:val="20"/>
        </w:rPr>
        <w:t>, 2309-2316.</w:t>
      </w:r>
      <w:bookmarkEnd w:id="460"/>
    </w:p>
    <w:p w:rsidR="00512D09" w:rsidRPr="00610E48" w:rsidRDefault="00512D09" w:rsidP="00512D09">
      <w:pPr>
        <w:spacing w:after="0" w:line="240" w:lineRule="auto"/>
        <w:rPr>
          <w:rFonts w:ascii="Calibri" w:hAnsi="Calibri"/>
          <w:noProof/>
          <w:sz w:val="20"/>
          <w:szCs w:val="20"/>
        </w:rPr>
      </w:pPr>
      <w:bookmarkStart w:id="461" w:name="_ENREF_226"/>
      <w:r w:rsidRPr="00610E48">
        <w:rPr>
          <w:rFonts w:ascii="Calibri" w:hAnsi="Calibri"/>
          <w:noProof/>
          <w:sz w:val="20"/>
          <w:szCs w:val="20"/>
        </w:rPr>
        <w:tab/>
        <w:t>(226)</w:t>
      </w:r>
      <w:r w:rsidRPr="00610E48">
        <w:rPr>
          <w:rFonts w:ascii="Calibri" w:hAnsi="Calibri"/>
          <w:noProof/>
          <w:sz w:val="20"/>
          <w:szCs w:val="20"/>
        </w:rPr>
        <w:tab/>
        <w:t xml:space="preserve">Deaville, E. R.; Green, R. J.; Mueller-Harvey, I.; Willoughby, I.; Frazier, R. A.: Hydrolyzable Tannin Structures Influence Relative Globular and Random Coil Protein Binding Strengths.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55</w:t>
      </w:r>
      <w:r w:rsidRPr="00610E48">
        <w:rPr>
          <w:rFonts w:ascii="Calibri" w:hAnsi="Calibri"/>
          <w:noProof/>
          <w:sz w:val="20"/>
          <w:szCs w:val="20"/>
        </w:rPr>
        <w:t>, 4554-4561.</w:t>
      </w:r>
      <w:bookmarkEnd w:id="461"/>
    </w:p>
    <w:p w:rsidR="00512D09" w:rsidRPr="00610E48" w:rsidRDefault="00512D09" w:rsidP="00512D09">
      <w:pPr>
        <w:spacing w:after="0" w:line="240" w:lineRule="auto"/>
        <w:rPr>
          <w:rFonts w:ascii="Calibri" w:hAnsi="Calibri"/>
          <w:noProof/>
          <w:sz w:val="20"/>
          <w:szCs w:val="20"/>
        </w:rPr>
      </w:pPr>
      <w:bookmarkStart w:id="462" w:name="_ENREF_227"/>
      <w:r w:rsidRPr="00610E48">
        <w:rPr>
          <w:rFonts w:ascii="Calibri" w:hAnsi="Calibri"/>
          <w:noProof/>
          <w:sz w:val="20"/>
          <w:szCs w:val="20"/>
        </w:rPr>
        <w:tab/>
        <w:t>(227)</w:t>
      </w:r>
      <w:r w:rsidRPr="00610E48">
        <w:rPr>
          <w:rFonts w:ascii="Calibri" w:hAnsi="Calibri"/>
          <w:noProof/>
          <w:sz w:val="20"/>
          <w:szCs w:val="20"/>
        </w:rPr>
        <w:tab/>
        <w:t xml:space="preserve">Takeda, K.; Wada, A.; Yamamoto, K.; Moriyama, Y.; Aoki, K.: Conformational change of bovine serum albumin by heat treatment. </w:t>
      </w:r>
      <w:r w:rsidRPr="00610E48">
        <w:rPr>
          <w:rFonts w:ascii="Calibri" w:hAnsi="Calibri"/>
          <w:i/>
          <w:noProof/>
          <w:sz w:val="20"/>
          <w:szCs w:val="20"/>
        </w:rPr>
        <w:t>Journal of Protein Chemistry,</w:t>
      </w:r>
      <w:r w:rsidRPr="00610E48">
        <w:rPr>
          <w:rFonts w:ascii="Calibri" w:hAnsi="Calibri"/>
          <w:noProof/>
          <w:sz w:val="20"/>
          <w:szCs w:val="20"/>
        </w:rPr>
        <w:t xml:space="preserve"> </w:t>
      </w:r>
      <w:r w:rsidRPr="00610E48">
        <w:rPr>
          <w:rFonts w:ascii="Calibri" w:hAnsi="Calibri"/>
          <w:b/>
          <w:noProof/>
          <w:sz w:val="20"/>
          <w:szCs w:val="20"/>
        </w:rPr>
        <w:t>1989</w:t>
      </w:r>
      <w:r w:rsidRPr="00610E48">
        <w:rPr>
          <w:rFonts w:ascii="Calibri" w:hAnsi="Calibri"/>
          <w:noProof/>
          <w:sz w:val="20"/>
          <w:szCs w:val="20"/>
        </w:rPr>
        <w:t xml:space="preserve">, </w:t>
      </w:r>
      <w:r w:rsidRPr="00610E48">
        <w:rPr>
          <w:rFonts w:ascii="Calibri" w:hAnsi="Calibri"/>
          <w:i/>
          <w:noProof/>
          <w:sz w:val="20"/>
          <w:szCs w:val="20"/>
        </w:rPr>
        <w:t>8</w:t>
      </w:r>
      <w:r w:rsidRPr="00610E48">
        <w:rPr>
          <w:rFonts w:ascii="Calibri" w:hAnsi="Calibri"/>
          <w:noProof/>
          <w:sz w:val="20"/>
          <w:szCs w:val="20"/>
        </w:rPr>
        <w:t>, 653-659.</w:t>
      </w:r>
      <w:bookmarkEnd w:id="462"/>
    </w:p>
    <w:p w:rsidR="00512D09" w:rsidRPr="00610E48" w:rsidRDefault="00512D09" w:rsidP="00512D09">
      <w:pPr>
        <w:spacing w:after="0" w:line="240" w:lineRule="auto"/>
        <w:rPr>
          <w:rFonts w:ascii="Calibri" w:hAnsi="Calibri"/>
          <w:noProof/>
          <w:sz w:val="20"/>
          <w:szCs w:val="20"/>
        </w:rPr>
      </w:pPr>
      <w:bookmarkStart w:id="463" w:name="_ENREF_228"/>
      <w:r w:rsidRPr="00610E48">
        <w:rPr>
          <w:rFonts w:ascii="Calibri" w:hAnsi="Calibri"/>
          <w:noProof/>
          <w:sz w:val="20"/>
          <w:szCs w:val="20"/>
        </w:rPr>
        <w:tab/>
        <w:t>(228)</w:t>
      </w:r>
      <w:r w:rsidRPr="00610E48">
        <w:rPr>
          <w:rFonts w:ascii="Calibri" w:hAnsi="Calibri"/>
          <w:noProof/>
          <w:sz w:val="20"/>
          <w:szCs w:val="20"/>
        </w:rPr>
        <w:tab/>
        <w:t xml:space="preserve">Prabhu, N. V.; Sharp, K. A.: Heat Capacity In Proteins. </w:t>
      </w:r>
      <w:r w:rsidRPr="00610E48">
        <w:rPr>
          <w:rFonts w:ascii="Calibri" w:hAnsi="Calibri"/>
          <w:i/>
          <w:noProof/>
          <w:sz w:val="20"/>
          <w:szCs w:val="20"/>
        </w:rPr>
        <w:t>Annual Review of Physical Chemistry,</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56</w:t>
      </w:r>
      <w:r w:rsidRPr="00610E48">
        <w:rPr>
          <w:rFonts w:ascii="Calibri" w:hAnsi="Calibri"/>
          <w:noProof/>
          <w:sz w:val="20"/>
          <w:szCs w:val="20"/>
        </w:rPr>
        <w:t>, 521-548.</w:t>
      </w:r>
      <w:bookmarkEnd w:id="463"/>
    </w:p>
    <w:p w:rsidR="00512D09" w:rsidRPr="00610E48" w:rsidRDefault="00512D09" w:rsidP="00512D09">
      <w:pPr>
        <w:spacing w:after="0" w:line="240" w:lineRule="auto"/>
        <w:rPr>
          <w:rFonts w:ascii="Calibri" w:hAnsi="Calibri"/>
          <w:noProof/>
          <w:sz w:val="20"/>
          <w:szCs w:val="20"/>
        </w:rPr>
      </w:pPr>
      <w:bookmarkStart w:id="464" w:name="_ENREF_229"/>
      <w:r w:rsidRPr="00610E48">
        <w:rPr>
          <w:rFonts w:ascii="Calibri" w:hAnsi="Calibri"/>
          <w:noProof/>
          <w:sz w:val="20"/>
          <w:szCs w:val="20"/>
        </w:rPr>
        <w:tab/>
        <w:t>(229)</w:t>
      </w:r>
      <w:r w:rsidRPr="00610E48">
        <w:rPr>
          <w:rFonts w:ascii="Calibri" w:hAnsi="Calibri"/>
          <w:noProof/>
          <w:sz w:val="20"/>
          <w:szCs w:val="20"/>
        </w:rPr>
        <w:tab/>
        <w:t xml:space="preserve">Cavallo, L.; Kleinjung, J.; Fraternali, F.: POPS: a fast algorithm for solvent accessible surface areas at atomic and residue level. </w:t>
      </w:r>
      <w:r w:rsidRPr="00610E48">
        <w:rPr>
          <w:rFonts w:ascii="Calibri" w:hAnsi="Calibri"/>
          <w:i/>
          <w:noProof/>
          <w:sz w:val="20"/>
          <w:szCs w:val="20"/>
        </w:rPr>
        <w:t>Nucleic Acids Research,</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31</w:t>
      </w:r>
      <w:r w:rsidRPr="00610E48">
        <w:rPr>
          <w:rFonts w:ascii="Calibri" w:hAnsi="Calibri"/>
          <w:noProof/>
          <w:sz w:val="20"/>
          <w:szCs w:val="20"/>
        </w:rPr>
        <w:t>, 3364-3366.</w:t>
      </w:r>
      <w:bookmarkEnd w:id="464"/>
    </w:p>
    <w:p w:rsidR="00512D09" w:rsidRPr="00610E48" w:rsidRDefault="00512D09" w:rsidP="00512D09">
      <w:pPr>
        <w:spacing w:after="0" w:line="240" w:lineRule="auto"/>
        <w:rPr>
          <w:rFonts w:ascii="Calibri" w:hAnsi="Calibri"/>
          <w:noProof/>
          <w:sz w:val="20"/>
          <w:szCs w:val="20"/>
        </w:rPr>
      </w:pPr>
      <w:bookmarkStart w:id="465" w:name="_ENREF_230"/>
      <w:r w:rsidRPr="00610E48">
        <w:rPr>
          <w:rFonts w:ascii="Calibri" w:hAnsi="Calibri"/>
          <w:noProof/>
          <w:sz w:val="20"/>
          <w:szCs w:val="20"/>
        </w:rPr>
        <w:tab/>
        <w:t>(230)</w:t>
      </w:r>
      <w:r w:rsidRPr="00610E48">
        <w:rPr>
          <w:rFonts w:ascii="Calibri" w:hAnsi="Calibri"/>
          <w:noProof/>
          <w:sz w:val="20"/>
          <w:szCs w:val="20"/>
        </w:rPr>
        <w:tab/>
        <w:t xml:space="preserve">Pascal, C.; Poncet-Legrand, C.; Cabane, B.; Vernhet, A.: Aggregation of a Proline-Rich Protein Induced by Epigallocatechin Gallate and Condensed Tannins: Effect of Protein Glycosylation.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56</w:t>
      </w:r>
      <w:r w:rsidRPr="00610E48">
        <w:rPr>
          <w:rFonts w:ascii="Calibri" w:hAnsi="Calibri"/>
          <w:noProof/>
          <w:sz w:val="20"/>
          <w:szCs w:val="20"/>
        </w:rPr>
        <w:t>, 6724-6732.</w:t>
      </w:r>
      <w:bookmarkEnd w:id="465"/>
    </w:p>
    <w:p w:rsidR="00512D09" w:rsidRPr="00610E48" w:rsidRDefault="00512D09" w:rsidP="00512D09">
      <w:pPr>
        <w:spacing w:after="0" w:line="240" w:lineRule="auto"/>
        <w:rPr>
          <w:rFonts w:ascii="Calibri" w:hAnsi="Calibri"/>
          <w:noProof/>
          <w:sz w:val="20"/>
          <w:szCs w:val="20"/>
        </w:rPr>
      </w:pPr>
      <w:bookmarkStart w:id="466" w:name="_ENREF_231"/>
      <w:r w:rsidRPr="00610E48">
        <w:rPr>
          <w:rFonts w:ascii="Calibri" w:hAnsi="Calibri"/>
          <w:noProof/>
          <w:sz w:val="20"/>
          <w:szCs w:val="20"/>
        </w:rPr>
        <w:tab/>
        <w:t>(231)</w:t>
      </w:r>
      <w:r w:rsidRPr="00610E48">
        <w:rPr>
          <w:rFonts w:ascii="Calibri" w:hAnsi="Calibri"/>
          <w:noProof/>
          <w:sz w:val="20"/>
          <w:szCs w:val="20"/>
        </w:rPr>
        <w:tab/>
        <w:t xml:space="preserve">Yanagida, A.; Murao, H.; Ohnishi-Kameyama, M.; Yamakawa, Y.; Shoji, A.; Tagashira, M.; Kanda, T.; Shindo, H.; Shibusawa, Y.: Retention behavior of oligomeric proanthocyanidins in hydrophilic interaction chromatography. </w:t>
      </w:r>
      <w:r w:rsidRPr="00610E48">
        <w:rPr>
          <w:rFonts w:ascii="Calibri" w:hAnsi="Calibri"/>
          <w:i/>
          <w:noProof/>
          <w:sz w:val="20"/>
          <w:szCs w:val="20"/>
        </w:rPr>
        <w:t>Journal of Chromatography A,</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1143</w:t>
      </w:r>
      <w:r w:rsidRPr="00610E48">
        <w:rPr>
          <w:rFonts w:ascii="Calibri" w:hAnsi="Calibri"/>
          <w:noProof/>
          <w:sz w:val="20"/>
          <w:szCs w:val="20"/>
        </w:rPr>
        <w:t>, 153-161.</w:t>
      </w:r>
      <w:bookmarkEnd w:id="466"/>
    </w:p>
    <w:p w:rsidR="00512D09" w:rsidRPr="00610E48" w:rsidRDefault="00512D09" w:rsidP="00512D09">
      <w:pPr>
        <w:spacing w:after="0" w:line="240" w:lineRule="auto"/>
        <w:rPr>
          <w:rFonts w:ascii="Calibri" w:hAnsi="Calibri"/>
          <w:noProof/>
          <w:sz w:val="20"/>
          <w:szCs w:val="20"/>
        </w:rPr>
      </w:pPr>
      <w:bookmarkStart w:id="467" w:name="_ENREF_232"/>
      <w:r w:rsidRPr="00610E48">
        <w:rPr>
          <w:rFonts w:ascii="Calibri" w:hAnsi="Calibri"/>
          <w:noProof/>
          <w:sz w:val="20"/>
          <w:szCs w:val="20"/>
        </w:rPr>
        <w:tab/>
        <w:t>(232)</w:t>
      </w:r>
      <w:r w:rsidRPr="00610E48">
        <w:rPr>
          <w:rFonts w:ascii="Calibri" w:hAnsi="Calibri"/>
          <w:noProof/>
          <w:sz w:val="20"/>
          <w:szCs w:val="20"/>
        </w:rPr>
        <w:tab/>
        <w:t xml:space="preserve">Jöbstl, E.; O'Connell, J.; Fairclough, J. P. A.; Williamson, M. P.: Molecular Model for Astringency Produced by Polyphenol/Protein Interactions. </w:t>
      </w:r>
      <w:r w:rsidRPr="00610E48">
        <w:rPr>
          <w:rFonts w:ascii="Calibri" w:hAnsi="Calibri"/>
          <w:i/>
          <w:noProof/>
          <w:sz w:val="20"/>
          <w:szCs w:val="20"/>
        </w:rPr>
        <w:t>Biomacromolecules,</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5</w:t>
      </w:r>
      <w:r w:rsidRPr="00610E48">
        <w:rPr>
          <w:rFonts w:ascii="Calibri" w:hAnsi="Calibri"/>
          <w:noProof/>
          <w:sz w:val="20"/>
          <w:szCs w:val="20"/>
        </w:rPr>
        <w:t>, 942-949.</w:t>
      </w:r>
      <w:bookmarkEnd w:id="467"/>
    </w:p>
    <w:p w:rsidR="00512D09" w:rsidRPr="00610E48" w:rsidRDefault="00512D09" w:rsidP="00512D09">
      <w:pPr>
        <w:spacing w:after="0" w:line="240" w:lineRule="auto"/>
        <w:rPr>
          <w:rFonts w:ascii="Calibri" w:hAnsi="Calibri"/>
          <w:noProof/>
          <w:sz w:val="20"/>
          <w:szCs w:val="20"/>
        </w:rPr>
      </w:pPr>
      <w:bookmarkStart w:id="468" w:name="_ENREF_233"/>
      <w:r w:rsidRPr="00610E48">
        <w:rPr>
          <w:rFonts w:ascii="Calibri" w:hAnsi="Calibri"/>
          <w:noProof/>
          <w:sz w:val="20"/>
          <w:szCs w:val="20"/>
        </w:rPr>
        <w:tab/>
        <w:t>(233)</w:t>
      </w:r>
      <w:r w:rsidRPr="00610E48">
        <w:rPr>
          <w:rFonts w:ascii="Calibri" w:hAnsi="Calibri"/>
          <w:noProof/>
          <w:sz w:val="20"/>
          <w:szCs w:val="20"/>
        </w:rPr>
        <w:tab/>
        <w:t xml:space="preserve">Privalov, P. L.; Makhatadze, G. I.: Contribution of Hydration to Protein Folding Thermodynamics: II. The Entropy and Gibbs Energy of Hydration.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1993</w:t>
      </w:r>
      <w:r w:rsidRPr="00610E48">
        <w:rPr>
          <w:rFonts w:ascii="Calibri" w:hAnsi="Calibri"/>
          <w:noProof/>
          <w:sz w:val="20"/>
          <w:szCs w:val="20"/>
        </w:rPr>
        <w:t xml:space="preserve">, </w:t>
      </w:r>
      <w:r w:rsidRPr="00610E48">
        <w:rPr>
          <w:rFonts w:ascii="Calibri" w:hAnsi="Calibri"/>
          <w:i/>
          <w:noProof/>
          <w:sz w:val="20"/>
          <w:szCs w:val="20"/>
        </w:rPr>
        <w:t>232</w:t>
      </w:r>
      <w:r w:rsidRPr="00610E48">
        <w:rPr>
          <w:rFonts w:ascii="Calibri" w:hAnsi="Calibri"/>
          <w:noProof/>
          <w:sz w:val="20"/>
          <w:szCs w:val="20"/>
        </w:rPr>
        <w:t>, 660-679.</w:t>
      </w:r>
      <w:bookmarkEnd w:id="468"/>
    </w:p>
    <w:p w:rsidR="00512D09" w:rsidRPr="00610E48" w:rsidRDefault="00512D09" w:rsidP="00512D09">
      <w:pPr>
        <w:spacing w:after="0" w:line="240" w:lineRule="auto"/>
        <w:rPr>
          <w:rFonts w:ascii="Calibri" w:hAnsi="Calibri"/>
          <w:noProof/>
          <w:sz w:val="20"/>
          <w:szCs w:val="20"/>
        </w:rPr>
      </w:pPr>
      <w:bookmarkStart w:id="469" w:name="_ENREF_234"/>
      <w:r w:rsidRPr="00610E48">
        <w:rPr>
          <w:rFonts w:ascii="Calibri" w:hAnsi="Calibri"/>
          <w:noProof/>
          <w:sz w:val="20"/>
          <w:szCs w:val="20"/>
        </w:rPr>
        <w:tab/>
        <w:t>(234)</w:t>
      </w:r>
      <w:r w:rsidRPr="00610E48">
        <w:rPr>
          <w:rFonts w:ascii="Calibri" w:hAnsi="Calibri"/>
          <w:noProof/>
          <w:sz w:val="20"/>
          <w:szCs w:val="20"/>
        </w:rPr>
        <w:tab/>
        <w:t xml:space="preserve">Melander, W.; Horváth, C.: Salt effects on hydrophobic interactions in precipitation and chromatography of proteins: An interpretation of the lyotropic series. </w:t>
      </w:r>
      <w:r w:rsidRPr="00610E48">
        <w:rPr>
          <w:rFonts w:ascii="Calibri" w:hAnsi="Calibri"/>
          <w:i/>
          <w:noProof/>
          <w:sz w:val="20"/>
          <w:szCs w:val="20"/>
        </w:rPr>
        <w:t>Archives of Biochemistry and Biophysics,</w:t>
      </w:r>
      <w:r w:rsidRPr="00610E48">
        <w:rPr>
          <w:rFonts w:ascii="Calibri" w:hAnsi="Calibri"/>
          <w:noProof/>
          <w:sz w:val="20"/>
          <w:szCs w:val="20"/>
        </w:rPr>
        <w:t xml:space="preserve"> </w:t>
      </w:r>
      <w:r w:rsidRPr="00610E48">
        <w:rPr>
          <w:rFonts w:ascii="Calibri" w:hAnsi="Calibri"/>
          <w:b/>
          <w:noProof/>
          <w:sz w:val="20"/>
          <w:szCs w:val="20"/>
        </w:rPr>
        <w:t>1977</w:t>
      </w:r>
      <w:r w:rsidRPr="00610E48">
        <w:rPr>
          <w:rFonts w:ascii="Calibri" w:hAnsi="Calibri"/>
          <w:noProof/>
          <w:sz w:val="20"/>
          <w:szCs w:val="20"/>
        </w:rPr>
        <w:t xml:space="preserve">, </w:t>
      </w:r>
      <w:r w:rsidRPr="00610E48">
        <w:rPr>
          <w:rFonts w:ascii="Calibri" w:hAnsi="Calibri"/>
          <w:i/>
          <w:noProof/>
          <w:sz w:val="20"/>
          <w:szCs w:val="20"/>
        </w:rPr>
        <w:t>183</w:t>
      </w:r>
      <w:r w:rsidRPr="00610E48">
        <w:rPr>
          <w:rFonts w:ascii="Calibri" w:hAnsi="Calibri"/>
          <w:noProof/>
          <w:sz w:val="20"/>
          <w:szCs w:val="20"/>
        </w:rPr>
        <w:t>, 200-215.</w:t>
      </w:r>
      <w:bookmarkEnd w:id="469"/>
    </w:p>
    <w:p w:rsidR="00512D09" w:rsidRPr="00610E48" w:rsidRDefault="00512D09" w:rsidP="00512D09">
      <w:pPr>
        <w:spacing w:after="0" w:line="240" w:lineRule="auto"/>
        <w:rPr>
          <w:rFonts w:ascii="Calibri" w:hAnsi="Calibri"/>
          <w:noProof/>
          <w:sz w:val="20"/>
          <w:szCs w:val="20"/>
        </w:rPr>
      </w:pPr>
      <w:bookmarkStart w:id="470" w:name="_ENREF_235"/>
      <w:r w:rsidRPr="00610E48">
        <w:rPr>
          <w:rFonts w:ascii="Calibri" w:hAnsi="Calibri"/>
          <w:noProof/>
          <w:sz w:val="20"/>
          <w:szCs w:val="20"/>
        </w:rPr>
        <w:lastRenderedPageBreak/>
        <w:tab/>
        <w:t>(235)</w:t>
      </w:r>
      <w:r w:rsidRPr="00610E48">
        <w:rPr>
          <w:rFonts w:ascii="Calibri" w:hAnsi="Calibri"/>
          <w:noProof/>
          <w:sz w:val="20"/>
          <w:szCs w:val="20"/>
        </w:rPr>
        <w:tab/>
        <w:t xml:space="preserve">Queiroz, J. A.; Tomaz, C. T.; Cabral, J. M. S.: Hydrophobic interaction chromatography of proteins. </w:t>
      </w:r>
      <w:r w:rsidRPr="00610E48">
        <w:rPr>
          <w:rFonts w:ascii="Calibri" w:hAnsi="Calibri"/>
          <w:i/>
          <w:noProof/>
          <w:sz w:val="20"/>
          <w:szCs w:val="20"/>
        </w:rPr>
        <w:t>Journal of Biotechnology,</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87</w:t>
      </w:r>
      <w:r w:rsidRPr="00610E48">
        <w:rPr>
          <w:rFonts w:ascii="Calibri" w:hAnsi="Calibri"/>
          <w:noProof/>
          <w:sz w:val="20"/>
          <w:szCs w:val="20"/>
        </w:rPr>
        <w:t>, 143-159.</w:t>
      </w:r>
      <w:bookmarkEnd w:id="470"/>
    </w:p>
    <w:p w:rsidR="00512D09" w:rsidRPr="00610E48" w:rsidRDefault="00512D09" w:rsidP="00512D09">
      <w:pPr>
        <w:spacing w:after="0" w:line="240" w:lineRule="auto"/>
        <w:rPr>
          <w:rFonts w:ascii="Calibri" w:hAnsi="Calibri"/>
          <w:noProof/>
          <w:sz w:val="20"/>
          <w:szCs w:val="20"/>
        </w:rPr>
      </w:pPr>
      <w:bookmarkStart w:id="471" w:name="_ENREF_236"/>
      <w:r w:rsidRPr="00610E48">
        <w:rPr>
          <w:rFonts w:ascii="Calibri" w:hAnsi="Calibri"/>
          <w:noProof/>
          <w:sz w:val="20"/>
          <w:szCs w:val="20"/>
        </w:rPr>
        <w:tab/>
        <w:t>(236)</w:t>
      </w:r>
      <w:r w:rsidRPr="00610E48">
        <w:rPr>
          <w:rFonts w:ascii="Calibri" w:hAnsi="Calibri"/>
          <w:noProof/>
          <w:sz w:val="20"/>
          <w:szCs w:val="20"/>
        </w:rPr>
        <w:tab/>
        <w:t xml:space="preserve">Fox, J. M.; Kang, K.; Sherman, W.; Héroux, A.; Sastry, G. M.; Baghbanzadeh, M.; Lockett, M. R.; Whitesides, G. M.: Interactions between Hofmeister Anions and the Binding Pocket of a Protein.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2015</w:t>
      </w:r>
      <w:r w:rsidRPr="00610E48">
        <w:rPr>
          <w:rFonts w:ascii="Calibri" w:hAnsi="Calibri"/>
          <w:noProof/>
          <w:sz w:val="20"/>
          <w:szCs w:val="20"/>
        </w:rPr>
        <w:t xml:space="preserve">, </w:t>
      </w:r>
      <w:r w:rsidRPr="00610E48">
        <w:rPr>
          <w:rFonts w:ascii="Calibri" w:hAnsi="Calibri"/>
          <w:i/>
          <w:noProof/>
          <w:sz w:val="20"/>
          <w:szCs w:val="20"/>
        </w:rPr>
        <w:t>137</w:t>
      </w:r>
      <w:r w:rsidRPr="00610E48">
        <w:rPr>
          <w:rFonts w:ascii="Calibri" w:hAnsi="Calibri"/>
          <w:noProof/>
          <w:sz w:val="20"/>
          <w:szCs w:val="20"/>
        </w:rPr>
        <w:t>, 3859-3866.</w:t>
      </w:r>
      <w:bookmarkEnd w:id="471"/>
    </w:p>
    <w:p w:rsidR="00512D09" w:rsidRPr="00610E48" w:rsidRDefault="00512D09" w:rsidP="00512D09">
      <w:pPr>
        <w:spacing w:after="0" w:line="240" w:lineRule="auto"/>
        <w:rPr>
          <w:rFonts w:ascii="Calibri" w:hAnsi="Calibri"/>
          <w:noProof/>
          <w:sz w:val="20"/>
          <w:szCs w:val="20"/>
        </w:rPr>
      </w:pPr>
      <w:bookmarkStart w:id="472" w:name="_ENREF_237"/>
      <w:r w:rsidRPr="00610E48">
        <w:rPr>
          <w:rFonts w:ascii="Calibri" w:hAnsi="Calibri"/>
          <w:noProof/>
          <w:sz w:val="20"/>
          <w:szCs w:val="20"/>
        </w:rPr>
        <w:tab/>
        <w:t>(237)</w:t>
      </w:r>
      <w:r w:rsidRPr="00610E48">
        <w:rPr>
          <w:rFonts w:ascii="Calibri" w:hAnsi="Calibri"/>
          <w:noProof/>
          <w:sz w:val="20"/>
          <w:szCs w:val="20"/>
        </w:rPr>
        <w:tab/>
        <w:t xml:space="preserve">Bončina, M.; Lah, J.; Reščič, J.; Vlachy, V.: Thermodynamics of the Lysozyme−Salt Interaction from Calorimetric Titrations.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114</w:t>
      </w:r>
      <w:r w:rsidRPr="00610E48">
        <w:rPr>
          <w:rFonts w:ascii="Calibri" w:hAnsi="Calibri"/>
          <w:noProof/>
          <w:sz w:val="20"/>
          <w:szCs w:val="20"/>
        </w:rPr>
        <w:t>, 4313-4319.</w:t>
      </w:r>
      <w:bookmarkEnd w:id="472"/>
    </w:p>
    <w:p w:rsidR="00512D09" w:rsidRPr="00610E48" w:rsidRDefault="00512D09" w:rsidP="00512D09">
      <w:pPr>
        <w:spacing w:after="0" w:line="240" w:lineRule="auto"/>
        <w:rPr>
          <w:rFonts w:ascii="Calibri" w:hAnsi="Calibri"/>
          <w:noProof/>
          <w:sz w:val="20"/>
          <w:szCs w:val="20"/>
        </w:rPr>
      </w:pPr>
      <w:bookmarkStart w:id="473" w:name="_ENREF_238"/>
      <w:r w:rsidRPr="00610E48">
        <w:rPr>
          <w:rFonts w:ascii="Calibri" w:hAnsi="Calibri"/>
          <w:noProof/>
          <w:sz w:val="20"/>
          <w:szCs w:val="20"/>
        </w:rPr>
        <w:tab/>
        <w:t>(238)</w:t>
      </w:r>
      <w:r w:rsidRPr="00610E48">
        <w:rPr>
          <w:rFonts w:ascii="Calibri" w:hAnsi="Calibri"/>
          <w:noProof/>
          <w:sz w:val="20"/>
          <w:szCs w:val="20"/>
        </w:rPr>
        <w:tab/>
        <w:t xml:space="preserve">Makkar, H. P. S.; Dawra, R. K.; Singh, B.: Protein precipitation assay for quantitation of tannins: Determination of protein in tannin-protein complex. </w:t>
      </w:r>
      <w:r w:rsidRPr="00610E48">
        <w:rPr>
          <w:rFonts w:ascii="Calibri" w:hAnsi="Calibri"/>
          <w:i/>
          <w:noProof/>
          <w:sz w:val="20"/>
          <w:szCs w:val="20"/>
        </w:rPr>
        <w:t>Analytical biochemistry,</w:t>
      </w:r>
      <w:r w:rsidRPr="00610E48">
        <w:rPr>
          <w:rFonts w:ascii="Calibri" w:hAnsi="Calibri"/>
          <w:noProof/>
          <w:sz w:val="20"/>
          <w:szCs w:val="20"/>
        </w:rPr>
        <w:t xml:space="preserve"> </w:t>
      </w:r>
      <w:r w:rsidRPr="00610E48">
        <w:rPr>
          <w:rFonts w:ascii="Calibri" w:hAnsi="Calibri"/>
          <w:b/>
          <w:noProof/>
          <w:sz w:val="20"/>
          <w:szCs w:val="20"/>
        </w:rPr>
        <w:t>1987</w:t>
      </w:r>
      <w:r w:rsidRPr="00610E48">
        <w:rPr>
          <w:rFonts w:ascii="Calibri" w:hAnsi="Calibri"/>
          <w:noProof/>
          <w:sz w:val="20"/>
          <w:szCs w:val="20"/>
        </w:rPr>
        <w:t xml:space="preserve">, </w:t>
      </w:r>
      <w:r w:rsidRPr="00610E48">
        <w:rPr>
          <w:rFonts w:ascii="Calibri" w:hAnsi="Calibri"/>
          <w:i/>
          <w:noProof/>
          <w:sz w:val="20"/>
          <w:szCs w:val="20"/>
        </w:rPr>
        <w:t>166</w:t>
      </w:r>
      <w:r w:rsidRPr="00610E48">
        <w:rPr>
          <w:rFonts w:ascii="Calibri" w:hAnsi="Calibri"/>
          <w:noProof/>
          <w:sz w:val="20"/>
          <w:szCs w:val="20"/>
        </w:rPr>
        <w:t>, 435-439.</w:t>
      </w:r>
      <w:bookmarkEnd w:id="473"/>
    </w:p>
    <w:p w:rsidR="00512D09" w:rsidRPr="00610E48" w:rsidRDefault="00512D09" w:rsidP="00512D09">
      <w:pPr>
        <w:spacing w:after="0" w:line="240" w:lineRule="auto"/>
        <w:rPr>
          <w:rFonts w:ascii="Calibri" w:hAnsi="Calibri"/>
          <w:noProof/>
          <w:sz w:val="20"/>
          <w:szCs w:val="20"/>
        </w:rPr>
      </w:pPr>
      <w:bookmarkStart w:id="474" w:name="_ENREF_239"/>
      <w:r w:rsidRPr="00610E48">
        <w:rPr>
          <w:rFonts w:ascii="Calibri" w:hAnsi="Calibri"/>
          <w:noProof/>
          <w:sz w:val="20"/>
          <w:szCs w:val="20"/>
        </w:rPr>
        <w:tab/>
        <w:t>(239)</w:t>
      </w:r>
      <w:r w:rsidRPr="00610E48">
        <w:rPr>
          <w:rFonts w:ascii="Calibri" w:hAnsi="Calibri"/>
          <w:noProof/>
          <w:sz w:val="20"/>
          <w:szCs w:val="20"/>
        </w:rPr>
        <w:tab/>
        <w:t xml:space="preserve">Bye, J. W.; Falconer, R. J.: Three Stages of Lysozyme Thermal Stabilization by High and Medium Charge Density Anions.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118</w:t>
      </w:r>
      <w:r w:rsidRPr="00610E48">
        <w:rPr>
          <w:rFonts w:ascii="Calibri" w:hAnsi="Calibri"/>
          <w:noProof/>
          <w:sz w:val="20"/>
          <w:szCs w:val="20"/>
        </w:rPr>
        <w:t>, 4282-4286.</w:t>
      </w:r>
      <w:bookmarkEnd w:id="474"/>
    </w:p>
    <w:p w:rsidR="00512D09" w:rsidRPr="00610E48" w:rsidRDefault="00512D09" w:rsidP="00512D09">
      <w:pPr>
        <w:spacing w:after="0" w:line="240" w:lineRule="auto"/>
        <w:rPr>
          <w:rFonts w:ascii="Calibri" w:hAnsi="Calibri"/>
          <w:noProof/>
          <w:sz w:val="20"/>
          <w:szCs w:val="20"/>
        </w:rPr>
      </w:pPr>
      <w:bookmarkStart w:id="475" w:name="_ENREF_240"/>
      <w:r w:rsidRPr="00610E48">
        <w:rPr>
          <w:rFonts w:ascii="Calibri" w:hAnsi="Calibri"/>
          <w:noProof/>
          <w:sz w:val="20"/>
          <w:szCs w:val="20"/>
        </w:rPr>
        <w:tab/>
        <w:t>(240)</w:t>
      </w:r>
      <w:r w:rsidRPr="00610E48">
        <w:rPr>
          <w:rFonts w:ascii="Calibri" w:hAnsi="Calibri"/>
          <w:noProof/>
          <w:sz w:val="20"/>
          <w:szCs w:val="20"/>
        </w:rPr>
        <w:tab/>
        <w:t xml:space="preserve">Lund, M.; Jungwirth, P.: Patchy proteins, anions and the Hofmeister series. </w:t>
      </w:r>
      <w:r w:rsidRPr="00610E48">
        <w:rPr>
          <w:rFonts w:ascii="Calibri" w:hAnsi="Calibri"/>
          <w:i/>
          <w:noProof/>
          <w:sz w:val="20"/>
          <w:szCs w:val="20"/>
        </w:rPr>
        <w:t>Journal of Physics: Condensed Matter,</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20</w:t>
      </w:r>
      <w:r w:rsidRPr="00610E48">
        <w:rPr>
          <w:rFonts w:ascii="Calibri" w:hAnsi="Calibri"/>
          <w:noProof/>
          <w:sz w:val="20"/>
          <w:szCs w:val="20"/>
        </w:rPr>
        <w:t>, 494218.</w:t>
      </w:r>
      <w:bookmarkEnd w:id="475"/>
    </w:p>
    <w:p w:rsidR="00512D09" w:rsidRPr="00610E48" w:rsidRDefault="00512D09" w:rsidP="00512D09">
      <w:pPr>
        <w:spacing w:after="0" w:line="240" w:lineRule="auto"/>
        <w:rPr>
          <w:rFonts w:ascii="Calibri" w:hAnsi="Calibri"/>
          <w:noProof/>
          <w:sz w:val="20"/>
          <w:szCs w:val="20"/>
        </w:rPr>
      </w:pPr>
      <w:bookmarkStart w:id="476" w:name="_ENREF_241"/>
      <w:r w:rsidRPr="00610E48">
        <w:rPr>
          <w:rFonts w:ascii="Calibri" w:hAnsi="Calibri"/>
          <w:noProof/>
          <w:sz w:val="20"/>
          <w:szCs w:val="20"/>
        </w:rPr>
        <w:tab/>
        <w:t>(241)</w:t>
      </w:r>
      <w:r w:rsidRPr="00610E48">
        <w:rPr>
          <w:rFonts w:ascii="Calibri" w:hAnsi="Calibri"/>
          <w:noProof/>
          <w:sz w:val="20"/>
          <w:szCs w:val="20"/>
        </w:rPr>
        <w:tab/>
        <w:t xml:space="preserve">Bye, J. W.; Cowieson, N. P.; Cowieson, A. J.; Selle, P. H.; Falconer, R. J.: Dual Effects of Sodium Phytate on the Structural Stability and Solubility of Proteins.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61</w:t>
      </w:r>
      <w:r w:rsidRPr="00610E48">
        <w:rPr>
          <w:rFonts w:ascii="Calibri" w:hAnsi="Calibri"/>
          <w:noProof/>
          <w:sz w:val="20"/>
          <w:szCs w:val="20"/>
        </w:rPr>
        <w:t>, 290-295.</w:t>
      </w:r>
      <w:bookmarkEnd w:id="476"/>
    </w:p>
    <w:p w:rsidR="00512D09" w:rsidRPr="00610E48" w:rsidRDefault="00512D09" w:rsidP="00512D09">
      <w:pPr>
        <w:spacing w:after="0" w:line="240" w:lineRule="auto"/>
        <w:rPr>
          <w:rFonts w:ascii="Calibri" w:hAnsi="Calibri"/>
          <w:noProof/>
          <w:sz w:val="20"/>
          <w:szCs w:val="20"/>
        </w:rPr>
      </w:pPr>
      <w:bookmarkStart w:id="477" w:name="_ENREF_242"/>
      <w:r w:rsidRPr="00610E48">
        <w:rPr>
          <w:rFonts w:ascii="Calibri" w:hAnsi="Calibri"/>
          <w:noProof/>
          <w:sz w:val="20"/>
          <w:szCs w:val="20"/>
        </w:rPr>
        <w:tab/>
        <w:t>(242)</w:t>
      </w:r>
      <w:r w:rsidRPr="00610E48">
        <w:rPr>
          <w:rFonts w:ascii="Calibri" w:hAnsi="Calibri"/>
          <w:noProof/>
          <w:sz w:val="20"/>
          <w:szCs w:val="20"/>
        </w:rPr>
        <w:tab/>
        <w:t>Bebot-Brigaud, A.; Dange, C.; Fauconnier, N.; Gérard, C.: 31 P NMR, potentiometric and spectrophotometric studies of phytic acid ionization and complexation properties toward Co</w:t>
      </w:r>
      <w:r w:rsidRPr="00610E48">
        <w:rPr>
          <w:rFonts w:ascii="Calibri" w:hAnsi="Calibri"/>
          <w:noProof/>
          <w:sz w:val="20"/>
          <w:szCs w:val="20"/>
          <w:vertAlign w:val="superscript"/>
        </w:rPr>
        <w:t>2+</w:t>
      </w:r>
      <w:r w:rsidRPr="00610E48">
        <w:rPr>
          <w:rFonts w:ascii="Calibri" w:hAnsi="Calibri"/>
          <w:noProof/>
          <w:sz w:val="20"/>
          <w:szCs w:val="20"/>
        </w:rPr>
        <w:t>, Ni</w:t>
      </w:r>
      <w:r w:rsidRPr="00610E48">
        <w:rPr>
          <w:rFonts w:ascii="Calibri" w:hAnsi="Calibri"/>
          <w:noProof/>
          <w:sz w:val="20"/>
          <w:szCs w:val="20"/>
          <w:vertAlign w:val="superscript"/>
        </w:rPr>
        <w:t>2+</w:t>
      </w:r>
      <w:r w:rsidRPr="00610E48">
        <w:rPr>
          <w:rFonts w:ascii="Calibri" w:hAnsi="Calibri"/>
          <w:noProof/>
          <w:sz w:val="20"/>
          <w:szCs w:val="20"/>
        </w:rPr>
        <w:t>, Cu</w:t>
      </w:r>
      <w:r w:rsidRPr="00610E48">
        <w:rPr>
          <w:rFonts w:ascii="Calibri" w:hAnsi="Calibri"/>
          <w:noProof/>
          <w:sz w:val="20"/>
          <w:szCs w:val="20"/>
          <w:vertAlign w:val="superscript"/>
        </w:rPr>
        <w:t>2+</w:t>
      </w:r>
      <w:r w:rsidRPr="00610E48">
        <w:rPr>
          <w:rFonts w:ascii="Calibri" w:hAnsi="Calibri"/>
          <w:noProof/>
          <w:sz w:val="20"/>
          <w:szCs w:val="20"/>
        </w:rPr>
        <w:t>, Zn</w:t>
      </w:r>
      <w:r w:rsidRPr="00610E48">
        <w:rPr>
          <w:rFonts w:ascii="Calibri" w:hAnsi="Calibri"/>
          <w:noProof/>
          <w:sz w:val="20"/>
          <w:szCs w:val="20"/>
          <w:vertAlign w:val="superscript"/>
        </w:rPr>
        <w:t>2+</w:t>
      </w:r>
      <w:r w:rsidRPr="00610E48">
        <w:rPr>
          <w:rFonts w:ascii="Calibri" w:hAnsi="Calibri"/>
          <w:noProof/>
          <w:sz w:val="20"/>
          <w:szCs w:val="20"/>
        </w:rPr>
        <w:t xml:space="preserve"> and Cd</w:t>
      </w:r>
      <w:r w:rsidRPr="00610E48">
        <w:rPr>
          <w:rFonts w:ascii="Calibri" w:hAnsi="Calibri"/>
          <w:noProof/>
          <w:sz w:val="20"/>
          <w:szCs w:val="20"/>
          <w:vertAlign w:val="superscript"/>
        </w:rPr>
        <w:t>2+</w:t>
      </w:r>
      <w:r w:rsidRPr="00610E48">
        <w:rPr>
          <w:rFonts w:ascii="Calibri" w:hAnsi="Calibri"/>
          <w:noProof/>
          <w:sz w:val="20"/>
          <w:szCs w:val="20"/>
        </w:rPr>
        <w:t xml:space="preserve">. </w:t>
      </w:r>
      <w:r w:rsidRPr="00610E48">
        <w:rPr>
          <w:rFonts w:ascii="Calibri" w:hAnsi="Calibri"/>
          <w:i/>
          <w:noProof/>
          <w:sz w:val="20"/>
          <w:szCs w:val="20"/>
        </w:rPr>
        <w:t>Journal of Inorganic Biochemistry,</w:t>
      </w:r>
      <w:r w:rsidRPr="00610E48">
        <w:rPr>
          <w:rFonts w:ascii="Calibri" w:hAnsi="Calibri"/>
          <w:noProof/>
          <w:sz w:val="20"/>
          <w:szCs w:val="20"/>
        </w:rPr>
        <w:t xml:space="preserve"> </w:t>
      </w:r>
      <w:r w:rsidRPr="00610E48">
        <w:rPr>
          <w:rFonts w:ascii="Calibri" w:hAnsi="Calibri"/>
          <w:b/>
          <w:noProof/>
          <w:sz w:val="20"/>
          <w:szCs w:val="20"/>
        </w:rPr>
        <w:t>1999</w:t>
      </w:r>
      <w:r w:rsidRPr="00610E48">
        <w:rPr>
          <w:rFonts w:ascii="Calibri" w:hAnsi="Calibri"/>
          <w:noProof/>
          <w:sz w:val="20"/>
          <w:szCs w:val="20"/>
        </w:rPr>
        <w:t xml:space="preserve">, </w:t>
      </w:r>
      <w:r w:rsidRPr="00610E48">
        <w:rPr>
          <w:rFonts w:ascii="Calibri" w:hAnsi="Calibri"/>
          <w:i/>
          <w:noProof/>
          <w:sz w:val="20"/>
          <w:szCs w:val="20"/>
        </w:rPr>
        <w:t>75</w:t>
      </w:r>
      <w:r w:rsidRPr="00610E48">
        <w:rPr>
          <w:rFonts w:ascii="Calibri" w:hAnsi="Calibri"/>
          <w:noProof/>
          <w:sz w:val="20"/>
          <w:szCs w:val="20"/>
        </w:rPr>
        <w:t>, 71-78.</w:t>
      </w:r>
      <w:bookmarkEnd w:id="477"/>
    </w:p>
    <w:p w:rsidR="00512D09" w:rsidRPr="00610E48" w:rsidRDefault="00512D09" w:rsidP="00512D09">
      <w:pPr>
        <w:spacing w:after="0" w:line="240" w:lineRule="auto"/>
        <w:rPr>
          <w:rFonts w:ascii="Calibri" w:hAnsi="Calibri"/>
          <w:noProof/>
          <w:sz w:val="20"/>
          <w:szCs w:val="20"/>
        </w:rPr>
      </w:pPr>
      <w:bookmarkStart w:id="478" w:name="_ENREF_243"/>
      <w:r w:rsidRPr="00610E48">
        <w:rPr>
          <w:rFonts w:ascii="Calibri" w:hAnsi="Calibri"/>
          <w:noProof/>
          <w:sz w:val="20"/>
          <w:szCs w:val="20"/>
        </w:rPr>
        <w:tab/>
        <w:t>(243)</w:t>
      </w:r>
      <w:r w:rsidRPr="00610E48">
        <w:rPr>
          <w:rFonts w:ascii="Calibri" w:hAnsi="Calibri"/>
          <w:noProof/>
          <w:sz w:val="20"/>
          <w:szCs w:val="20"/>
        </w:rPr>
        <w:tab/>
        <w:t xml:space="preserve">Cheryan, M.; Rackis, J. J.: Phytic acid interactions in food systems. </w:t>
      </w:r>
      <w:r w:rsidRPr="00610E48">
        <w:rPr>
          <w:rFonts w:ascii="Calibri" w:hAnsi="Calibri"/>
          <w:i/>
          <w:noProof/>
          <w:sz w:val="20"/>
          <w:szCs w:val="20"/>
        </w:rPr>
        <w:t>Critical Reviews in Food Science &amp; Nutrition,</w:t>
      </w:r>
      <w:r w:rsidRPr="00610E48">
        <w:rPr>
          <w:rFonts w:ascii="Calibri" w:hAnsi="Calibri"/>
          <w:noProof/>
          <w:sz w:val="20"/>
          <w:szCs w:val="20"/>
        </w:rPr>
        <w:t xml:space="preserve"> </w:t>
      </w:r>
      <w:r w:rsidRPr="00610E48">
        <w:rPr>
          <w:rFonts w:ascii="Calibri" w:hAnsi="Calibri"/>
          <w:b/>
          <w:noProof/>
          <w:sz w:val="20"/>
          <w:szCs w:val="20"/>
        </w:rPr>
        <w:t>1980</w:t>
      </w:r>
      <w:r w:rsidRPr="00610E48">
        <w:rPr>
          <w:rFonts w:ascii="Calibri" w:hAnsi="Calibri"/>
          <w:noProof/>
          <w:sz w:val="20"/>
          <w:szCs w:val="20"/>
        </w:rPr>
        <w:t xml:space="preserve">, </w:t>
      </w:r>
      <w:r w:rsidRPr="00610E48">
        <w:rPr>
          <w:rFonts w:ascii="Calibri" w:hAnsi="Calibri"/>
          <w:i/>
          <w:noProof/>
          <w:sz w:val="20"/>
          <w:szCs w:val="20"/>
        </w:rPr>
        <w:t>13</w:t>
      </w:r>
      <w:r w:rsidRPr="00610E48">
        <w:rPr>
          <w:rFonts w:ascii="Calibri" w:hAnsi="Calibri"/>
          <w:noProof/>
          <w:sz w:val="20"/>
          <w:szCs w:val="20"/>
        </w:rPr>
        <w:t>, 297-335.</w:t>
      </w:r>
      <w:bookmarkEnd w:id="478"/>
    </w:p>
    <w:p w:rsidR="00512D09" w:rsidRPr="00610E48" w:rsidRDefault="00512D09" w:rsidP="00512D09">
      <w:pPr>
        <w:spacing w:after="0" w:line="240" w:lineRule="auto"/>
        <w:rPr>
          <w:rFonts w:ascii="Calibri" w:hAnsi="Calibri"/>
          <w:noProof/>
          <w:sz w:val="20"/>
          <w:szCs w:val="20"/>
        </w:rPr>
      </w:pPr>
      <w:bookmarkStart w:id="479" w:name="_ENREF_244"/>
      <w:r w:rsidRPr="00610E48">
        <w:rPr>
          <w:rFonts w:ascii="Calibri" w:hAnsi="Calibri"/>
          <w:noProof/>
          <w:sz w:val="20"/>
          <w:szCs w:val="20"/>
        </w:rPr>
        <w:tab/>
        <w:t>(244)</w:t>
      </w:r>
      <w:r w:rsidRPr="00610E48">
        <w:rPr>
          <w:rFonts w:ascii="Calibri" w:hAnsi="Calibri"/>
          <w:noProof/>
          <w:sz w:val="20"/>
          <w:szCs w:val="20"/>
        </w:rPr>
        <w:tab/>
        <w:t xml:space="preserve">Celi, L.; Lamacchia, S.; Marsan, F. A.; Barberis, E.: Interaction of inositol hexaphosphate on clays: Adsorption and charging phenomena. </w:t>
      </w:r>
      <w:r w:rsidRPr="00610E48">
        <w:rPr>
          <w:rFonts w:ascii="Calibri" w:hAnsi="Calibri"/>
          <w:i/>
          <w:noProof/>
          <w:sz w:val="20"/>
          <w:szCs w:val="20"/>
        </w:rPr>
        <w:t>Soil Science,</w:t>
      </w:r>
      <w:r w:rsidRPr="00610E48">
        <w:rPr>
          <w:rFonts w:ascii="Calibri" w:hAnsi="Calibri"/>
          <w:noProof/>
          <w:sz w:val="20"/>
          <w:szCs w:val="20"/>
        </w:rPr>
        <w:t xml:space="preserve"> </w:t>
      </w:r>
      <w:r w:rsidRPr="00610E48">
        <w:rPr>
          <w:rFonts w:ascii="Calibri" w:hAnsi="Calibri"/>
          <w:b/>
          <w:noProof/>
          <w:sz w:val="20"/>
          <w:szCs w:val="20"/>
        </w:rPr>
        <w:t>1999</w:t>
      </w:r>
      <w:r w:rsidRPr="00610E48">
        <w:rPr>
          <w:rFonts w:ascii="Calibri" w:hAnsi="Calibri"/>
          <w:noProof/>
          <w:sz w:val="20"/>
          <w:szCs w:val="20"/>
        </w:rPr>
        <w:t xml:space="preserve">, </w:t>
      </w:r>
      <w:r w:rsidRPr="00610E48">
        <w:rPr>
          <w:rFonts w:ascii="Calibri" w:hAnsi="Calibri"/>
          <w:i/>
          <w:noProof/>
          <w:sz w:val="20"/>
          <w:szCs w:val="20"/>
        </w:rPr>
        <w:t>164</w:t>
      </w:r>
      <w:r w:rsidRPr="00610E48">
        <w:rPr>
          <w:rFonts w:ascii="Calibri" w:hAnsi="Calibri"/>
          <w:noProof/>
          <w:sz w:val="20"/>
          <w:szCs w:val="20"/>
        </w:rPr>
        <w:t>, 574-585.</w:t>
      </w:r>
      <w:bookmarkEnd w:id="479"/>
    </w:p>
    <w:p w:rsidR="00512D09" w:rsidRPr="00610E48" w:rsidRDefault="00512D09" w:rsidP="00512D09">
      <w:pPr>
        <w:spacing w:after="0" w:line="240" w:lineRule="auto"/>
        <w:rPr>
          <w:rFonts w:ascii="Calibri" w:hAnsi="Calibri"/>
          <w:noProof/>
          <w:sz w:val="20"/>
          <w:szCs w:val="20"/>
        </w:rPr>
      </w:pPr>
      <w:bookmarkStart w:id="480" w:name="_ENREF_245"/>
      <w:r w:rsidRPr="00610E48">
        <w:rPr>
          <w:rFonts w:ascii="Calibri" w:hAnsi="Calibri"/>
          <w:noProof/>
          <w:sz w:val="20"/>
          <w:szCs w:val="20"/>
        </w:rPr>
        <w:tab/>
        <w:t>(245)</w:t>
      </w:r>
      <w:r w:rsidRPr="00610E48">
        <w:rPr>
          <w:rFonts w:ascii="Calibri" w:hAnsi="Calibri"/>
          <w:noProof/>
          <w:sz w:val="20"/>
          <w:szCs w:val="20"/>
        </w:rPr>
        <w:tab/>
        <w:t xml:space="preserve">Evans, W. J.; McCourtney, E. J.; Shrager, R. I.: Titration studies of phytic acid. </w:t>
      </w:r>
      <w:r w:rsidRPr="00610E48">
        <w:rPr>
          <w:rFonts w:ascii="Calibri" w:hAnsi="Calibri"/>
          <w:i/>
          <w:noProof/>
          <w:sz w:val="20"/>
          <w:szCs w:val="20"/>
        </w:rPr>
        <w:t>Journal of the American Oil Chemists’ Society,</w:t>
      </w:r>
      <w:r w:rsidRPr="00610E48">
        <w:rPr>
          <w:rFonts w:ascii="Calibri" w:hAnsi="Calibri"/>
          <w:noProof/>
          <w:sz w:val="20"/>
          <w:szCs w:val="20"/>
        </w:rPr>
        <w:t xml:space="preserve"> </w:t>
      </w:r>
      <w:r w:rsidRPr="00610E48">
        <w:rPr>
          <w:rFonts w:ascii="Calibri" w:hAnsi="Calibri"/>
          <w:b/>
          <w:noProof/>
          <w:sz w:val="20"/>
          <w:szCs w:val="20"/>
        </w:rPr>
        <w:t>1982</w:t>
      </w:r>
      <w:r w:rsidRPr="00610E48">
        <w:rPr>
          <w:rFonts w:ascii="Calibri" w:hAnsi="Calibri"/>
          <w:noProof/>
          <w:sz w:val="20"/>
          <w:szCs w:val="20"/>
        </w:rPr>
        <w:t xml:space="preserve">, </w:t>
      </w:r>
      <w:r w:rsidRPr="00610E48">
        <w:rPr>
          <w:rFonts w:ascii="Calibri" w:hAnsi="Calibri"/>
          <w:i/>
          <w:noProof/>
          <w:sz w:val="20"/>
          <w:szCs w:val="20"/>
        </w:rPr>
        <w:t>59</w:t>
      </w:r>
      <w:r w:rsidRPr="00610E48">
        <w:rPr>
          <w:rFonts w:ascii="Calibri" w:hAnsi="Calibri"/>
          <w:noProof/>
          <w:sz w:val="20"/>
          <w:szCs w:val="20"/>
        </w:rPr>
        <w:t>, 189-191.</w:t>
      </w:r>
      <w:bookmarkEnd w:id="480"/>
    </w:p>
    <w:p w:rsidR="00512D09" w:rsidRPr="00610E48" w:rsidRDefault="00512D09" w:rsidP="00512D09">
      <w:pPr>
        <w:spacing w:after="0" w:line="240" w:lineRule="auto"/>
        <w:rPr>
          <w:rFonts w:ascii="Calibri" w:hAnsi="Calibri"/>
          <w:noProof/>
          <w:sz w:val="20"/>
          <w:szCs w:val="20"/>
        </w:rPr>
      </w:pPr>
      <w:bookmarkStart w:id="481" w:name="_ENREF_246"/>
      <w:r w:rsidRPr="00610E48">
        <w:rPr>
          <w:rFonts w:ascii="Calibri" w:hAnsi="Calibri"/>
          <w:noProof/>
          <w:sz w:val="20"/>
          <w:szCs w:val="20"/>
        </w:rPr>
        <w:tab/>
        <w:t>(246)</w:t>
      </w:r>
      <w:r w:rsidRPr="00610E48">
        <w:rPr>
          <w:rFonts w:ascii="Calibri" w:hAnsi="Calibri"/>
          <w:noProof/>
          <w:sz w:val="20"/>
          <w:szCs w:val="20"/>
        </w:rPr>
        <w:tab/>
        <w:t xml:space="preserve">Isbrandt, L. R.; Oertel, R. P.: Conformational states of myo-inositol hexakis(phosphate) in aqueous solution. A carbon-13 NMR, phosphorus-31 NMR, and Raman spectroscopic investigation.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1980</w:t>
      </w:r>
      <w:r w:rsidRPr="00610E48">
        <w:rPr>
          <w:rFonts w:ascii="Calibri" w:hAnsi="Calibri"/>
          <w:noProof/>
          <w:sz w:val="20"/>
          <w:szCs w:val="20"/>
        </w:rPr>
        <w:t xml:space="preserve">, </w:t>
      </w:r>
      <w:r w:rsidRPr="00610E48">
        <w:rPr>
          <w:rFonts w:ascii="Calibri" w:hAnsi="Calibri"/>
          <w:i/>
          <w:noProof/>
          <w:sz w:val="20"/>
          <w:szCs w:val="20"/>
        </w:rPr>
        <w:t>102</w:t>
      </w:r>
      <w:r w:rsidRPr="00610E48">
        <w:rPr>
          <w:rFonts w:ascii="Calibri" w:hAnsi="Calibri"/>
          <w:noProof/>
          <w:sz w:val="20"/>
          <w:szCs w:val="20"/>
        </w:rPr>
        <w:t>, 3144-3148.</w:t>
      </w:r>
      <w:bookmarkEnd w:id="481"/>
    </w:p>
    <w:p w:rsidR="00512D09" w:rsidRPr="00610E48" w:rsidRDefault="00512D09" w:rsidP="00512D09">
      <w:pPr>
        <w:spacing w:after="0" w:line="240" w:lineRule="auto"/>
        <w:rPr>
          <w:rFonts w:ascii="Calibri" w:hAnsi="Calibri"/>
          <w:noProof/>
          <w:sz w:val="20"/>
          <w:szCs w:val="20"/>
        </w:rPr>
      </w:pPr>
      <w:bookmarkStart w:id="482" w:name="_ENREF_247"/>
      <w:r w:rsidRPr="00610E48">
        <w:rPr>
          <w:rFonts w:ascii="Calibri" w:hAnsi="Calibri"/>
          <w:noProof/>
          <w:sz w:val="20"/>
          <w:szCs w:val="20"/>
        </w:rPr>
        <w:tab/>
        <w:t>(247)</w:t>
      </w:r>
      <w:r w:rsidRPr="00610E48">
        <w:rPr>
          <w:rFonts w:ascii="Calibri" w:hAnsi="Calibri"/>
          <w:noProof/>
          <w:sz w:val="20"/>
          <w:szCs w:val="20"/>
        </w:rPr>
        <w:tab/>
        <w:t xml:space="preserve">Heighton, L.; Schmidt, W. F.; Rice, C. P.; Siefert, R. L.: Electrospray ionization mass spectroscopy shows speciation of phytate to be pH dependent. </w:t>
      </w:r>
      <w:r w:rsidRPr="00610E48">
        <w:rPr>
          <w:rFonts w:ascii="Calibri" w:hAnsi="Calibri"/>
          <w:i/>
          <w:noProof/>
          <w:sz w:val="20"/>
          <w:szCs w:val="20"/>
        </w:rPr>
        <w:t>Journal of Food Agriculture and Environment,</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6</w:t>
      </w:r>
      <w:r w:rsidRPr="00610E48">
        <w:rPr>
          <w:rFonts w:ascii="Calibri" w:hAnsi="Calibri"/>
          <w:noProof/>
          <w:sz w:val="20"/>
          <w:szCs w:val="20"/>
        </w:rPr>
        <w:t>, 402.</w:t>
      </w:r>
      <w:bookmarkEnd w:id="482"/>
    </w:p>
    <w:p w:rsidR="00512D09" w:rsidRPr="00610E48" w:rsidRDefault="00512D09" w:rsidP="00512D09">
      <w:pPr>
        <w:spacing w:after="0" w:line="240" w:lineRule="auto"/>
        <w:rPr>
          <w:rFonts w:ascii="Calibri" w:hAnsi="Calibri"/>
          <w:noProof/>
          <w:sz w:val="20"/>
          <w:szCs w:val="20"/>
        </w:rPr>
      </w:pPr>
      <w:bookmarkStart w:id="483" w:name="_ENREF_248"/>
      <w:r w:rsidRPr="00610E48">
        <w:rPr>
          <w:rFonts w:ascii="Calibri" w:hAnsi="Calibri"/>
          <w:noProof/>
          <w:sz w:val="20"/>
          <w:szCs w:val="20"/>
        </w:rPr>
        <w:tab/>
        <w:t>(248)</w:t>
      </w:r>
      <w:r w:rsidRPr="00610E48">
        <w:rPr>
          <w:rFonts w:ascii="Calibri" w:hAnsi="Calibri"/>
          <w:noProof/>
          <w:sz w:val="20"/>
          <w:szCs w:val="20"/>
        </w:rPr>
        <w:tab/>
        <w:t xml:space="preserve">Selle, P. H.; Cowieson, A. J.; Cowieson, N. P.; Ravindran, V.: Protein–phytate interactions in pig and poultry nutrition: a reappraisal. </w:t>
      </w:r>
      <w:r w:rsidRPr="00610E48">
        <w:rPr>
          <w:rFonts w:ascii="Calibri" w:hAnsi="Calibri"/>
          <w:i/>
          <w:noProof/>
          <w:sz w:val="20"/>
          <w:szCs w:val="20"/>
        </w:rPr>
        <w:t>Nutrition Research Reviews,</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25</w:t>
      </w:r>
      <w:r w:rsidRPr="00610E48">
        <w:rPr>
          <w:rFonts w:ascii="Calibri" w:hAnsi="Calibri"/>
          <w:noProof/>
          <w:sz w:val="20"/>
          <w:szCs w:val="20"/>
        </w:rPr>
        <w:t>, 1-17.</w:t>
      </w:r>
      <w:bookmarkEnd w:id="483"/>
    </w:p>
    <w:p w:rsidR="00512D09" w:rsidRPr="00610E48" w:rsidRDefault="00512D09" w:rsidP="00512D09">
      <w:pPr>
        <w:spacing w:after="0" w:line="240" w:lineRule="auto"/>
        <w:rPr>
          <w:rFonts w:ascii="Calibri" w:hAnsi="Calibri"/>
          <w:noProof/>
          <w:sz w:val="20"/>
          <w:szCs w:val="20"/>
        </w:rPr>
      </w:pPr>
      <w:bookmarkStart w:id="484" w:name="_ENREF_249"/>
      <w:r w:rsidRPr="00610E48">
        <w:rPr>
          <w:rFonts w:ascii="Calibri" w:hAnsi="Calibri"/>
          <w:noProof/>
          <w:sz w:val="20"/>
          <w:szCs w:val="20"/>
        </w:rPr>
        <w:tab/>
        <w:t>(249)</w:t>
      </w:r>
      <w:r w:rsidRPr="00610E48">
        <w:rPr>
          <w:rFonts w:ascii="Calibri" w:hAnsi="Calibri"/>
          <w:noProof/>
          <w:sz w:val="20"/>
          <w:szCs w:val="20"/>
        </w:rPr>
        <w:tab/>
        <w:t xml:space="preserve">Vaintraub, I. A.; Bulmaga, V. P.: Effect of phytate on the in vitro activity of digestive proteinases.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1991</w:t>
      </w:r>
      <w:r w:rsidRPr="00610E48">
        <w:rPr>
          <w:rFonts w:ascii="Calibri" w:hAnsi="Calibri"/>
          <w:noProof/>
          <w:sz w:val="20"/>
          <w:szCs w:val="20"/>
        </w:rPr>
        <w:t xml:space="preserve">, </w:t>
      </w:r>
      <w:r w:rsidRPr="00610E48">
        <w:rPr>
          <w:rFonts w:ascii="Calibri" w:hAnsi="Calibri"/>
          <w:i/>
          <w:noProof/>
          <w:sz w:val="20"/>
          <w:szCs w:val="20"/>
        </w:rPr>
        <w:t>39</w:t>
      </w:r>
      <w:r w:rsidRPr="00610E48">
        <w:rPr>
          <w:rFonts w:ascii="Calibri" w:hAnsi="Calibri"/>
          <w:noProof/>
          <w:sz w:val="20"/>
          <w:szCs w:val="20"/>
        </w:rPr>
        <w:t>, 859-861.</w:t>
      </w:r>
      <w:bookmarkEnd w:id="484"/>
    </w:p>
    <w:p w:rsidR="00512D09" w:rsidRPr="00610E48" w:rsidRDefault="00512D09" w:rsidP="00512D09">
      <w:pPr>
        <w:spacing w:after="0" w:line="240" w:lineRule="auto"/>
        <w:rPr>
          <w:rFonts w:ascii="Calibri" w:hAnsi="Calibri"/>
          <w:noProof/>
          <w:sz w:val="20"/>
          <w:szCs w:val="20"/>
        </w:rPr>
      </w:pPr>
      <w:bookmarkStart w:id="485" w:name="_ENREF_250"/>
      <w:r w:rsidRPr="00610E48">
        <w:rPr>
          <w:rFonts w:ascii="Calibri" w:hAnsi="Calibri"/>
          <w:noProof/>
          <w:sz w:val="20"/>
          <w:szCs w:val="20"/>
        </w:rPr>
        <w:tab/>
        <w:t>(250)</w:t>
      </w:r>
      <w:r w:rsidRPr="00610E48">
        <w:rPr>
          <w:rFonts w:ascii="Calibri" w:hAnsi="Calibri"/>
          <w:noProof/>
          <w:sz w:val="20"/>
          <w:szCs w:val="20"/>
        </w:rPr>
        <w:tab/>
        <w:t xml:space="preserve">Kumar, V.; Sinha, A. K.; Makkar, H. P. S.; Becker, K.: Dietary roles of phytate and phytase in human nutrition: A review. </w:t>
      </w:r>
      <w:r w:rsidRPr="00610E48">
        <w:rPr>
          <w:rFonts w:ascii="Calibri" w:hAnsi="Calibri"/>
          <w:i/>
          <w:noProof/>
          <w:sz w:val="20"/>
          <w:szCs w:val="20"/>
        </w:rPr>
        <w:t>Food Chemistry,</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120</w:t>
      </w:r>
      <w:r w:rsidRPr="00610E48">
        <w:rPr>
          <w:rFonts w:ascii="Calibri" w:hAnsi="Calibri"/>
          <w:noProof/>
          <w:sz w:val="20"/>
          <w:szCs w:val="20"/>
        </w:rPr>
        <w:t>, 945-959.</w:t>
      </w:r>
      <w:bookmarkEnd w:id="485"/>
    </w:p>
    <w:p w:rsidR="00512D09" w:rsidRPr="00610E48" w:rsidRDefault="00512D09" w:rsidP="00512D09">
      <w:pPr>
        <w:spacing w:after="0" w:line="240" w:lineRule="auto"/>
        <w:rPr>
          <w:rFonts w:ascii="Calibri" w:hAnsi="Calibri"/>
          <w:noProof/>
          <w:sz w:val="20"/>
          <w:szCs w:val="20"/>
        </w:rPr>
      </w:pPr>
      <w:bookmarkStart w:id="486" w:name="_ENREF_251"/>
      <w:r w:rsidRPr="00610E48">
        <w:rPr>
          <w:rFonts w:ascii="Calibri" w:hAnsi="Calibri"/>
          <w:noProof/>
          <w:sz w:val="20"/>
          <w:szCs w:val="20"/>
        </w:rPr>
        <w:tab/>
        <w:t>(251)</w:t>
      </w:r>
      <w:r w:rsidRPr="00610E48">
        <w:rPr>
          <w:rFonts w:ascii="Calibri" w:hAnsi="Calibri"/>
          <w:noProof/>
          <w:sz w:val="20"/>
          <w:szCs w:val="20"/>
        </w:rPr>
        <w:tab/>
        <w:t xml:space="preserve">Ma, G.; Li, Y.; Jin, Y.; Zhai, F.; Kok, F. J.; Yang, X.: Phytate intake and molar ratios of phytate to zinc, iron and calcium in the diets of people in China. </w:t>
      </w:r>
      <w:r w:rsidRPr="00610E48">
        <w:rPr>
          <w:rFonts w:ascii="Calibri" w:hAnsi="Calibri"/>
          <w:i/>
          <w:noProof/>
          <w:sz w:val="20"/>
          <w:szCs w:val="20"/>
        </w:rPr>
        <w:t>European Journal of Clinical Nutrition,</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61</w:t>
      </w:r>
      <w:r w:rsidRPr="00610E48">
        <w:rPr>
          <w:rFonts w:ascii="Calibri" w:hAnsi="Calibri"/>
          <w:noProof/>
          <w:sz w:val="20"/>
          <w:szCs w:val="20"/>
        </w:rPr>
        <w:t>, 368-374.</w:t>
      </w:r>
      <w:bookmarkEnd w:id="486"/>
    </w:p>
    <w:p w:rsidR="00512D09" w:rsidRPr="00610E48" w:rsidRDefault="00512D09" w:rsidP="00512D09">
      <w:pPr>
        <w:spacing w:after="0" w:line="240" w:lineRule="auto"/>
        <w:rPr>
          <w:rFonts w:ascii="Calibri" w:hAnsi="Calibri"/>
          <w:noProof/>
          <w:sz w:val="20"/>
          <w:szCs w:val="20"/>
        </w:rPr>
      </w:pPr>
      <w:bookmarkStart w:id="487" w:name="_ENREF_252"/>
      <w:r w:rsidRPr="00610E48">
        <w:rPr>
          <w:rFonts w:ascii="Calibri" w:hAnsi="Calibri"/>
          <w:noProof/>
          <w:sz w:val="20"/>
          <w:szCs w:val="20"/>
        </w:rPr>
        <w:tab/>
        <w:t>(252)</w:t>
      </w:r>
      <w:r w:rsidRPr="00610E48">
        <w:rPr>
          <w:rFonts w:ascii="Calibri" w:hAnsi="Calibri"/>
          <w:noProof/>
          <w:sz w:val="20"/>
          <w:szCs w:val="20"/>
        </w:rPr>
        <w:tab/>
        <w:t xml:space="preserve">Letcher, Andrew J.; Schell, Michael J.; Irvine, Robin F.: Do mammals make all their own inositol hexakisphosphate? </w:t>
      </w:r>
      <w:r w:rsidRPr="00610E48">
        <w:rPr>
          <w:rFonts w:ascii="Calibri" w:hAnsi="Calibri"/>
          <w:i/>
          <w:noProof/>
          <w:sz w:val="20"/>
          <w:szCs w:val="20"/>
        </w:rPr>
        <w:t>Biochemical Journal,</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416</w:t>
      </w:r>
      <w:r w:rsidRPr="00610E48">
        <w:rPr>
          <w:rFonts w:ascii="Calibri" w:hAnsi="Calibri"/>
          <w:noProof/>
          <w:sz w:val="20"/>
          <w:szCs w:val="20"/>
        </w:rPr>
        <w:t>, 263-270.</w:t>
      </w:r>
      <w:bookmarkEnd w:id="487"/>
    </w:p>
    <w:p w:rsidR="00512D09" w:rsidRPr="00610E48" w:rsidRDefault="00512D09" w:rsidP="00512D09">
      <w:pPr>
        <w:spacing w:after="0" w:line="240" w:lineRule="auto"/>
        <w:rPr>
          <w:rFonts w:ascii="Calibri" w:hAnsi="Calibri"/>
          <w:noProof/>
          <w:sz w:val="20"/>
          <w:szCs w:val="20"/>
        </w:rPr>
      </w:pPr>
      <w:bookmarkStart w:id="488" w:name="_ENREF_253"/>
      <w:r w:rsidRPr="00610E48">
        <w:rPr>
          <w:rFonts w:ascii="Calibri" w:hAnsi="Calibri"/>
          <w:noProof/>
          <w:sz w:val="20"/>
          <w:szCs w:val="20"/>
        </w:rPr>
        <w:tab/>
        <w:t>(253)</w:t>
      </w:r>
      <w:r w:rsidRPr="00610E48">
        <w:rPr>
          <w:rFonts w:ascii="Calibri" w:hAnsi="Calibri"/>
          <w:noProof/>
          <w:sz w:val="20"/>
          <w:szCs w:val="20"/>
        </w:rPr>
        <w:tab/>
        <w:t xml:space="preserve">Shears, S. B.: Assessing the omnipotence of inositol hexakisphosphate. </w:t>
      </w:r>
      <w:r w:rsidRPr="00610E48">
        <w:rPr>
          <w:rFonts w:ascii="Calibri" w:hAnsi="Calibri"/>
          <w:i/>
          <w:noProof/>
          <w:sz w:val="20"/>
          <w:szCs w:val="20"/>
        </w:rPr>
        <w:t>Cellular Signalling,</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13</w:t>
      </w:r>
      <w:r w:rsidRPr="00610E48">
        <w:rPr>
          <w:rFonts w:ascii="Calibri" w:hAnsi="Calibri"/>
          <w:noProof/>
          <w:sz w:val="20"/>
          <w:szCs w:val="20"/>
        </w:rPr>
        <w:t>, 151-158.</w:t>
      </w:r>
      <w:bookmarkEnd w:id="488"/>
    </w:p>
    <w:p w:rsidR="00512D09" w:rsidRPr="00610E48" w:rsidRDefault="00512D09" w:rsidP="00512D09">
      <w:pPr>
        <w:spacing w:after="0" w:line="240" w:lineRule="auto"/>
        <w:rPr>
          <w:rFonts w:ascii="Calibri" w:hAnsi="Calibri"/>
          <w:noProof/>
          <w:sz w:val="20"/>
          <w:szCs w:val="20"/>
        </w:rPr>
      </w:pPr>
      <w:bookmarkStart w:id="489" w:name="_ENREF_254"/>
      <w:r w:rsidRPr="00610E48">
        <w:rPr>
          <w:rFonts w:ascii="Calibri" w:hAnsi="Calibri"/>
          <w:noProof/>
          <w:sz w:val="20"/>
          <w:szCs w:val="20"/>
        </w:rPr>
        <w:tab/>
        <w:t>(254)</w:t>
      </w:r>
      <w:r w:rsidRPr="00610E48">
        <w:rPr>
          <w:rFonts w:ascii="Calibri" w:hAnsi="Calibri"/>
          <w:noProof/>
          <w:sz w:val="20"/>
          <w:szCs w:val="20"/>
        </w:rPr>
        <w:tab/>
        <w:t xml:space="preserve">Irvine, R. F.; Schell, M. J.: Back in the water: the return of the inositol phosphates. </w:t>
      </w:r>
      <w:r w:rsidRPr="00610E48">
        <w:rPr>
          <w:rFonts w:ascii="Calibri" w:hAnsi="Calibri"/>
          <w:i/>
          <w:noProof/>
          <w:sz w:val="20"/>
          <w:szCs w:val="20"/>
        </w:rPr>
        <w:t>Nature Reviews Molecular Cell Biology,</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2</w:t>
      </w:r>
      <w:r w:rsidRPr="00610E48">
        <w:rPr>
          <w:rFonts w:ascii="Calibri" w:hAnsi="Calibri"/>
          <w:noProof/>
          <w:sz w:val="20"/>
          <w:szCs w:val="20"/>
        </w:rPr>
        <w:t>, 327-338.</w:t>
      </w:r>
      <w:bookmarkEnd w:id="489"/>
    </w:p>
    <w:p w:rsidR="00512D09" w:rsidRPr="00610E48" w:rsidRDefault="00512D09" w:rsidP="00512D09">
      <w:pPr>
        <w:spacing w:after="0" w:line="240" w:lineRule="auto"/>
        <w:rPr>
          <w:rFonts w:ascii="Calibri" w:hAnsi="Calibri"/>
          <w:noProof/>
          <w:sz w:val="20"/>
          <w:szCs w:val="20"/>
        </w:rPr>
      </w:pPr>
      <w:bookmarkStart w:id="490" w:name="_ENREF_255"/>
      <w:r w:rsidRPr="00610E48">
        <w:rPr>
          <w:rFonts w:ascii="Calibri" w:hAnsi="Calibri"/>
          <w:noProof/>
          <w:sz w:val="20"/>
          <w:szCs w:val="20"/>
        </w:rPr>
        <w:tab/>
        <w:t>(255)</w:t>
      </w:r>
      <w:r w:rsidRPr="00610E48">
        <w:rPr>
          <w:rFonts w:ascii="Calibri" w:hAnsi="Calibri"/>
          <w:noProof/>
          <w:sz w:val="20"/>
          <w:szCs w:val="20"/>
        </w:rPr>
        <w:tab/>
        <w:t xml:space="preserve">Woyengo, T.; Nyachoti, C.: Review: Anti-nutritional effects of phytic acid in diets for pigs and poultry–current knowledge and directions for future research. </w:t>
      </w:r>
      <w:r w:rsidRPr="00610E48">
        <w:rPr>
          <w:rFonts w:ascii="Calibri" w:hAnsi="Calibri"/>
          <w:i/>
          <w:noProof/>
          <w:sz w:val="20"/>
          <w:szCs w:val="20"/>
        </w:rPr>
        <w:t>Canadian Journal of Animal Science,</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93</w:t>
      </w:r>
      <w:r w:rsidRPr="00610E48">
        <w:rPr>
          <w:rFonts w:ascii="Calibri" w:hAnsi="Calibri"/>
          <w:noProof/>
          <w:sz w:val="20"/>
          <w:szCs w:val="20"/>
        </w:rPr>
        <w:t>, 9-21.</w:t>
      </w:r>
      <w:bookmarkEnd w:id="490"/>
    </w:p>
    <w:p w:rsidR="00512D09" w:rsidRPr="00610E48" w:rsidRDefault="00512D09" w:rsidP="00512D09">
      <w:pPr>
        <w:spacing w:after="0" w:line="240" w:lineRule="auto"/>
        <w:rPr>
          <w:rFonts w:ascii="Calibri" w:hAnsi="Calibri"/>
          <w:noProof/>
          <w:sz w:val="20"/>
          <w:szCs w:val="20"/>
        </w:rPr>
      </w:pPr>
      <w:bookmarkStart w:id="491" w:name="_ENREF_256"/>
      <w:r w:rsidRPr="00610E48">
        <w:rPr>
          <w:rFonts w:ascii="Calibri" w:hAnsi="Calibri"/>
          <w:noProof/>
          <w:sz w:val="20"/>
          <w:szCs w:val="20"/>
        </w:rPr>
        <w:tab/>
        <w:t>(256)</w:t>
      </w:r>
      <w:r w:rsidRPr="00610E48">
        <w:rPr>
          <w:rFonts w:ascii="Calibri" w:hAnsi="Calibri"/>
          <w:noProof/>
          <w:sz w:val="20"/>
          <w:szCs w:val="20"/>
        </w:rPr>
        <w:tab/>
        <w:t xml:space="preserve">Woyengo, T.; Beltranena, E.; Zijlstra, R.: Nonruminant Nutrition Symposium: Controlling feed cost by including alternative ingredients into pig diets: A review. </w:t>
      </w:r>
      <w:r w:rsidRPr="00610E48">
        <w:rPr>
          <w:rFonts w:ascii="Calibri" w:hAnsi="Calibri"/>
          <w:i/>
          <w:noProof/>
          <w:sz w:val="20"/>
          <w:szCs w:val="20"/>
        </w:rPr>
        <w:t>Journal of animal science,</w:t>
      </w:r>
      <w:r w:rsidRPr="00610E48">
        <w:rPr>
          <w:rFonts w:ascii="Calibri" w:hAnsi="Calibri"/>
          <w:noProof/>
          <w:sz w:val="20"/>
          <w:szCs w:val="20"/>
        </w:rPr>
        <w:t xml:space="preserve">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92</w:t>
      </w:r>
      <w:r w:rsidRPr="00610E48">
        <w:rPr>
          <w:rFonts w:ascii="Calibri" w:hAnsi="Calibri"/>
          <w:noProof/>
          <w:sz w:val="20"/>
          <w:szCs w:val="20"/>
        </w:rPr>
        <w:t>, 1293-1305.</w:t>
      </w:r>
      <w:bookmarkEnd w:id="491"/>
    </w:p>
    <w:p w:rsidR="00512D09" w:rsidRPr="00610E48" w:rsidRDefault="00512D09" w:rsidP="00512D09">
      <w:pPr>
        <w:spacing w:after="0" w:line="240" w:lineRule="auto"/>
        <w:rPr>
          <w:rFonts w:ascii="Calibri" w:hAnsi="Calibri"/>
          <w:noProof/>
          <w:sz w:val="20"/>
          <w:szCs w:val="20"/>
        </w:rPr>
      </w:pPr>
      <w:bookmarkStart w:id="492" w:name="_ENREF_257"/>
      <w:r w:rsidRPr="00610E48">
        <w:rPr>
          <w:rFonts w:ascii="Calibri" w:hAnsi="Calibri"/>
          <w:noProof/>
          <w:sz w:val="20"/>
          <w:szCs w:val="20"/>
        </w:rPr>
        <w:tab/>
        <w:t>(257)</w:t>
      </w:r>
      <w:r w:rsidRPr="00610E48">
        <w:rPr>
          <w:rFonts w:ascii="Calibri" w:hAnsi="Calibri"/>
          <w:noProof/>
          <w:sz w:val="20"/>
          <w:szCs w:val="20"/>
        </w:rPr>
        <w:tab/>
        <w:t xml:space="preserve">Lei, X. G.; Weaver, J. D.; Mullaney, E.; Ullah, A. H.; Azain, M. J.: Phytase, a New Life for an “Old” Enzyme. </w:t>
      </w:r>
      <w:r w:rsidRPr="00610E48">
        <w:rPr>
          <w:rFonts w:ascii="Calibri" w:hAnsi="Calibri"/>
          <w:i/>
          <w:noProof/>
          <w:sz w:val="20"/>
          <w:szCs w:val="20"/>
        </w:rPr>
        <w:t>Annual Review of Animal Biosciences,</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1</w:t>
      </w:r>
      <w:r w:rsidRPr="00610E48">
        <w:rPr>
          <w:rFonts w:ascii="Calibri" w:hAnsi="Calibri"/>
          <w:noProof/>
          <w:sz w:val="20"/>
          <w:szCs w:val="20"/>
        </w:rPr>
        <w:t>, 283-309.</w:t>
      </w:r>
      <w:bookmarkEnd w:id="492"/>
    </w:p>
    <w:p w:rsidR="00512D09" w:rsidRPr="00610E48" w:rsidRDefault="00512D09" w:rsidP="00512D09">
      <w:pPr>
        <w:spacing w:after="0" w:line="240" w:lineRule="auto"/>
        <w:rPr>
          <w:rFonts w:ascii="Calibri" w:hAnsi="Calibri"/>
          <w:noProof/>
          <w:sz w:val="20"/>
          <w:szCs w:val="20"/>
        </w:rPr>
      </w:pPr>
      <w:bookmarkStart w:id="493" w:name="_ENREF_258"/>
      <w:r w:rsidRPr="00610E48">
        <w:rPr>
          <w:rFonts w:ascii="Calibri" w:hAnsi="Calibri"/>
          <w:noProof/>
          <w:sz w:val="20"/>
          <w:szCs w:val="20"/>
        </w:rPr>
        <w:tab/>
        <w:t>(258)</w:t>
      </w:r>
      <w:r w:rsidRPr="00610E48">
        <w:rPr>
          <w:rFonts w:ascii="Calibri" w:hAnsi="Calibri"/>
          <w:noProof/>
          <w:sz w:val="20"/>
          <w:szCs w:val="20"/>
        </w:rPr>
        <w:tab/>
        <w:t xml:space="preserve">Adeola, O.; Sands, J.: Does supplemental dietary microbial phytase improve amino acid utilization? A perspective that it does not. </w:t>
      </w:r>
      <w:r w:rsidRPr="00610E48">
        <w:rPr>
          <w:rFonts w:ascii="Calibri" w:hAnsi="Calibri"/>
          <w:i/>
          <w:noProof/>
          <w:sz w:val="20"/>
          <w:szCs w:val="20"/>
        </w:rPr>
        <w:t>Journal of animal science,</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81</w:t>
      </w:r>
      <w:r w:rsidRPr="00610E48">
        <w:rPr>
          <w:rFonts w:ascii="Calibri" w:hAnsi="Calibri"/>
          <w:noProof/>
          <w:sz w:val="20"/>
          <w:szCs w:val="20"/>
        </w:rPr>
        <w:t>, E78-E85.</w:t>
      </w:r>
      <w:bookmarkEnd w:id="493"/>
    </w:p>
    <w:p w:rsidR="00512D09" w:rsidRPr="00610E48" w:rsidRDefault="00512D09" w:rsidP="00512D09">
      <w:pPr>
        <w:spacing w:after="0" w:line="240" w:lineRule="auto"/>
        <w:rPr>
          <w:rFonts w:ascii="Calibri" w:hAnsi="Calibri"/>
          <w:noProof/>
          <w:sz w:val="20"/>
          <w:szCs w:val="20"/>
        </w:rPr>
      </w:pPr>
      <w:bookmarkStart w:id="494" w:name="_ENREF_259"/>
      <w:r w:rsidRPr="00610E48">
        <w:rPr>
          <w:rFonts w:ascii="Calibri" w:hAnsi="Calibri"/>
          <w:noProof/>
          <w:sz w:val="20"/>
          <w:szCs w:val="20"/>
        </w:rPr>
        <w:lastRenderedPageBreak/>
        <w:tab/>
        <w:t>(259)</w:t>
      </w:r>
      <w:r w:rsidRPr="00610E48">
        <w:rPr>
          <w:rFonts w:ascii="Calibri" w:hAnsi="Calibri"/>
          <w:noProof/>
          <w:sz w:val="20"/>
          <w:szCs w:val="20"/>
        </w:rPr>
        <w:tab/>
        <w:t xml:space="preserve">Morales, A.; García, H.; Sánchez, J. E.; Araiza, B. A.; Zijlstra, R. T.; Cervantes, M.: Apparent ileal amino acid digestibility and activities of trypsin and chymotrypsin in pigs fed sorghum–soybean meal diets supplemented with a microbial phytase. </w:t>
      </w:r>
      <w:r w:rsidRPr="00610E48">
        <w:rPr>
          <w:rFonts w:ascii="Calibri" w:hAnsi="Calibri"/>
          <w:i/>
          <w:noProof/>
          <w:sz w:val="20"/>
          <w:szCs w:val="20"/>
        </w:rPr>
        <w:t>Animal Feed Science and Technology,</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172</w:t>
      </w:r>
      <w:r w:rsidRPr="00610E48">
        <w:rPr>
          <w:rFonts w:ascii="Calibri" w:hAnsi="Calibri"/>
          <w:noProof/>
          <w:sz w:val="20"/>
          <w:szCs w:val="20"/>
        </w:rPr>
        <w:t>, 247-251.</w:t>
      </w:r>
      <w:bookmarkEnd w:id="494"/>
    </w:p>
    <w:p w:rsidR="00512D09" w:rsidRPr="00610E48" w:rsidRDefault="00512D09" w:rsidP="00512D09">
      <w:pPr>
        <w:spacing w:after="0" w:line="240" w:lineRule="auto"/>
        <w:rPr>
          <w:rFonts w:ascii="Calibri" w:hAnsi="Calibri"/>
          <w:noProof/>
          <w:sz w:val="20"/>
          <w:szCs w:val="20"/>
        </w:rPr>
      </w:pPr>
      <w:bookmarkStart w:id="495" w:name="_ENREF_260"/>
      <w:r w:rsidRPr="00610E48">
        <w:rPr>
          <w:rFonts w:ascii="Calibri" w:hAnsi="Calibri"/>
          <w:noProof/>
          <w:sz w:val="20"/>
          <w:szCs w:val="20"/>
        </w:rPr>
        <w:tab/>
        <w:t>(260)</w:t>
      </w:r>
      <w:r w:rsidRPr="00610E48">
        <w:rPr>
          <w:rFonts w:ascii="Calibri" w:hAnsi="Calibri"/>
          <w:noProof/>
          <w:sz w:val="20"/>
          <w:szCs w:val="20"/>
        </w:rPr>
        <w:tab/>
        <w:t xml:space="preserve">Onyango, E. M.; Asem, E. K.; Adeola, O.: Phytic acid increases mucin and endogenous amino acid losses from the gastrointestinal tract of chickens. </w:t>
      </w:r>
      <w:r w:rsidRPr="00610E48">
        <w:rPr>
          <w:rFonts w:ascii="Calibri" w:hAnsi="Calibri"/>
          <w:i/>
          <w:noProof/>
          <w:sz w:val="20"/>
          <w:szCs w:val="20"/>
        </w:rPr>
        <w:t>British Journal of Nutrition,</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 xml:space="preserve">, </w:t>
      </w:r>
      <w:r w:rsidRPr="00610E48">
        <w:rPr>
          <w:rFonts w:ascii="Calibri" w:hAnsi="Calibri"/>
          <w:i/>
          <w:noProof/>
          <w:sz w:val="20"/>
          <w:szCs w:val="20"/>
        </w:rPr>
        <w:t>101</w:t>
      </w:r>
      <w:r w:rsidRPr="00610E48">
        <w:rPr>
          <w:rFonts w:ascii="Calibri" w:hAnsi="Calibri"/>
          <w:noProof/>
          <w:sz w:val="20"/>
          <w:szCs w:val="20"/>
        </w:rPr>
        <w:t>, 836-842.</w:t>
      </w:r>
      <w:bookmarkEnd w:id="495"/>
    </w:p>
    <w:p w:rsidR="00512D09" w:rsidRPr="00610E48" w:rsidRDefault="00512D09" w:rsidP="00512D09">
      <w:pPr>
        <w:spacing w:after="0" w:line="240" w:lineRule="auto"/>
        <w:rPr>
          <w:rFonts w:ascii="Calibri" w:hAnsi="Calibri"/>
          <w:noProof/>
          <w:sz w:val="20"/>
          <w:szCs w:val="20"/>
        </w:rPr>
      </w:pPr>
      <w:bookmarkStart w:id="496" w:name="_ENREF_261"/>
      <w:r w:rsidRPr="00610E48">
        <w:rPr>
          <w:rFonts w:ascii="Calibri" w:hAnsi="Calibri"/>
          <w:noProof/>
          <w:sz w:val="20"/>
          <w:szCs w:val="20"/>
        </w:rPr>
        <w:tab/>
        <w:t>(261)</w:t>
      </w:r>
      <w:r w:rsidRPr="00610E48">
        <w:rPr>
          <w:rFonts w:ascii="Calibri" w:hAnsi="Calibri"/>
          <w:noProof/>
          <w:sz w:val="20"/>
          <w:szCs w:val="20"/>
        </w:rPr>
        <w:tab/>
        <w:t xml:space="preserve">Bruce, J. A. M.; Sundstøl, F.: The effect of microbial phytase in diets for pigs on apparent ileal and faecal digestibility, pH and flow of digesta measurements in growing pigs fed a high-fibre diet. </w:t>
      </w:r>
      <w:r w:rsidRPr="00610E48">
        <w:rPr>
          <w:rFonts w:ascii="Calibri" w:hAnsi="Calibri"/>
          <w:i/>
          <w:noProof/>
          <w:sz w:val="20"/>
          <w:szCs w:val="20"/>
        </w:rPr>
        <w:t>Canadian Journal of Animal Science,</w:t>
      </w:r>
      <w:r w:rsidRPr="00610E48">
        <w:rPr>
          <w:rFonts w:ascii="Calibri" w:hAnsi="Calibri"/>
          <w:noProof/>
          <w:sz w:val="20"/>
          <w:szCs w:val="20"/>
        </w:rPr>
        <w:t xml:space="preserve"> </w:t>
      </w:r>
      <w:r w:rsidRPr="00610E48">
        <w:rPr>
          <w:rFonts w:ascii="Calibri" w:hAnsi="Calibri"/>
          <w:b/>
          <w:noProof/>
          <w:sz w:val="20"/>
          <w:szCs w:val="20"/>
        </w:rPr>
        <w:t>1995</w:t>
      </w:r>
      <w:r w:rsidRPr="00610E48">
        <w:rPr>
          <w:rFonts w:ascii="Calibri" w:hAnsi="Calibri"/>
          <w:noProof/>
          <w:sz w:val="20"/>
          <w:szCs w:val="20"/>
        </w:rPr>
        <w:t xml:space="preserve">, </w:t>
      </w:r>
      <w:r w:rsidRPr="00610E48">
        <w:rPr>
          <w:rFonts w:ascii="Calibri" w:hAnsi="Calibri"/>
          <w:i/>
          <w:noProof/>
          <w:sz w:val="20"/>
          <w:szCs w:val="20"/>
        </w:rPr>
        <w:t>75</w:t>
      </w:r>
      <w:r w:rsidRPr="00610E48">
        <w:rPr>
          <w:rFonts w:ascii="Calibri" w:hAnsi="Calibri"/>
          <w:noProof/>
          <w:sz w:val="20"/>
          <w:szCs w:val="20"/>
        </w:rPr>
        <w:t>, 121-127.</w:t>
      </w:r>
      <w:bookmarkEnd w:id="496"/>
    </w:p>
    <w:p w:rsidR="00512D09" w:rsidRPr="00610E48" w:rsidRDefault="00512D09" w:rsidP="00512D09">
      <w:pPr>
        <w:spacing w:after="0" w:line="240" w:lineRule="auto"/>
        <w:rPr>
          <w:rFonts w:ascii="Calibri" w:hAnsi="Calibri"/>
          <w:noProof/>
          <w:sz w:val="20"/>
          <w:szCs w:val="20"/>
        </w:rPr>
      </w:pPr>
      <w:bookmarkStart w:id="497" w:name="_ENREF_262"/>
      <w:r w:rsidRPr="00610E48">
        <w:rPr>
          <w:rFonts w:ascii="Calibri" w:hAnsi="Calibri"/>
          <w:noProof/>
          <w:sz w:val="20"/>
          <w:szCs w:val="20"/>
        </w:rPr>
        <w:tab/>
        <w:t>(262)</w:t>
      </w:r>
      <w:r w:rsidRPr="00610E48">
        <w:rPr>
          <w:rFonts w:ascii="Calibri" w:hAnsi="Calibri"/>
          <w:noProof/>
          <w:sz w:val="20"/>
          <w:szCs w:val="20"/>
        </w:rPr>
        <w:tab/>
        <w:t xml:space="preserve">Kim, O.-H.; Kim, Y.-O.; Shim, J.-H.; Jung, Y.-S.; Jung, W.-J.; Choi, W.-C.; Lee, H.; Lee, S.-J.; Kim, K.-K.; Auh, J.-H.; Kim, H.; Kim, J.-W.; Oh, T.-K.; Oh, B.-C.: β-Propeller Phytase Hydrolyzes Insoluble Ca2+-Phytate Salts and Completely Abrogates the Ability of Phytate To Chelate Metal Ions.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49</w:t>
      </w:r>
      <w:r w:rsidRPr="00610E48">
        <w:rPr>
          <w:rFonts w:ascii="Calibri" w:hAnsi="Calibri"/>
          <w:noProof/>
          <w:sz w:val="20"/>
          <w:szCs w:val="20"/>
        </w:rPr>
        <w:t>, 10216-10227.</w:t>
      </w:r>
      <w:bookmarkEnd w:id="497"/>
    </w:p>
    <w:p w:rsidR="00512D09" w:rsidRPr="00610E48" w:rsidRDefault="00512D09" w:rsidP="00512D09">
      <w:pPr>
        <w:spacing w:after="0" w:line="240" w:lineRule="auto"/>
        <w:rPr>
          <w:rFonts w:ascii="Calibri" w:hAnsi="Calibri"/>
          <w:noProof/>
          <w:sz w:val="20"/>
          <w:szCs w:val="20"/>
        </w:rPr>
      </w:pPr>
      <w:bookmarkStart w:id="498" w:name="_ENREF_263"/>
      <w:r w:rsidRPr="00610E48">
        <w:rPr>
          <w:rFonts w:ascii="Calibri" w:hAnsi="Calibri"/>
          <w:noProof/>
          <w:sz w:val="20"/>
          <w:szCs w:val="20"/>
        </w:rPr>
        <w:tab/>
        <w:t>(263)</w:t>
      </w:r>
      <w:r w:rsidRPr="00610E48">
        <w:rPr>
          <w:rFonts w:ascii="Calibri" w:hAnsi="Calibri"/>
          <w:noProof/>
          <w:sz w:val="20"/>
          <w:szCs w:val="20"/>
        </w:rPr>
        <w:tab/>
        <w:t xml:space="preserve">Torres, J.; Giorgi, C.; Veiga, N.; Kremer, C.; Bianchi, A.: Interaction of myo-inositol hexakisphosphate with biogenic and synthetic polyamines. </w:t>
      </w:r>
      <w:r w:rsidRPr="00610E48">
        <w:rPr>
          <w:rFonts w:ascii="Calibri" w:hAnsi="Calibri"/>
          <w:i/>
          <w:noProof/>
          <w:sz w:val="20"/>
          <w:szCs w:val="20"/>
        </w:rPr>
        <w:t>Organic &amp; Biomolecular Chemistry,</w:t>
      </w:r>
      <w:r w:rsidRPr="00610E48">
        <w:rPr>
          <w:rFonts w:ascii="Calibri" w:hAnsi="Calibri"/>
          <w:noProof/>
          <w:sz w:val="20"/>
          <w:szCs w:val="20"/>
        </w:rPr>
        <w:t xml:space="preserve"> </w:t>
      </w:r>
      <w:r w:rsidRPr="00610E48">
        <w:rPr>
          <w:rFonts w:ascii="Calibri" w:hAnsi="Calibri"/>
          <w:b/>
          <w:noProof/>
          <w:sz w:val="20"/>
          <w:szCs w:val="20"/>
        </w:rPr>
        <w:t>2015</w:t>
      </w:r>
      <w:r w:rsidRPr="00610E48">
        <w:rPr>
          <w:rFonts w:ascii="Calibri" w:hAnsi="Calibri"/>
          <w:noProof/>
          <w:sz w:val="20"/>
          <w:szCs w:val="20"/>
        </w:rPr>
        <w:t xml:space="preserve">, </w:t>
      </w:r>
      <w:r w:rsidRPr="00610E48">
        <w:rPr>
          <w:rFonts w:ascii="Calibri" w:hAnsi="Calibri"/>
          <w:i/>
          <w:noProof/>
          <w:sz w:val="20"/>
          <w:szCs w:val="20"/>
        </w:rPr>
        <w:t>13</w:t>
      </w:r>
      <w:r w:rsidRPr="00610E48">
        <w:rPr>
          <w:rFonts w:ascii="Calibri" w:hAnsi="Calibri"/>
          <w:noProof/>
          <w:sz w:val="20"/>
          <w:szCs w:val="20"/>
        </w:rPr>
        <w:t>, 7500-7512.</w:t>
      </w:r>
      <w:bookmarkEnd w:id="498"/>
    </w:p>
    <w:p w:rsidR="00512D09" w:rsidRPr="00610E48" w:rsidRDefault="00512D09" w:rsidP="00512D09">
      <w:pPr>
        <w:spacing w:after="0" w:line="240" w:lineRule="auto"/>
        <w:rPr>
          <w:rFonts w:ascii="Calibri" w:hAnsi="Calibri"/>
          <w:noProof/>
          <w:sz w:val="20"/>
          <w:szCs w:val="20"/>
        </w:rPr>
      </w:pPr>
      <w:bookmarkStart w:id="499" w:name="_ENREF_264"/>
      <w:r w:rsidRPr="00610E48">
        <w:rPr>
          <w:rFonts w:ascii="Calibri" w:hAnsi="Calibri"/>
          <w:noProof/>
          <w:sz w:val="20"/>
          <w:szCs w:val="20"/>
        </w:rPr>
        <w:tab/>
        <w:t>(264)</w:t>
      </w:r>
      <w:r w:rsidRPr="00610E48">
        <w:rPr>
          <w:rFonts w:ascii="Calibri" w:hAnsi="Calibri"/>
          <w:noProof/>
          <w:sz w:val="20"/>
          <w:szCs w:val="20"/>
        </w:rPr>
        <w:tab/>
        <w:t xml:space="preserve">Thao, S.; Escalante-Semerena, J. C.: Biochemical and thermodynamic analyses of Salmonella enterica Pat, a multidomain, multimeric Nε-lysine acetyltransferase involved in carbon and energy metabolism. </w:t>
      </w:r>
      <w:r w:rsidRPr="00610E48">
        <w:rPr>
          <w:rFonts w:ascii="Calibri" w:hAnsi="Calibri"/>
          <w:i/>
          <w:noProof/>
          <w:sz w:val="20"/>
          <w:szCs w:val="20"/>
        </w:rPr>
        <w:t>MBio,</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2</w:t>
      </w:r>
      <w:r w:rsidRPr="00610E48">
        <w:rPr>
          <w:rFonts w:ascii="Calibri" w:hAnsi="Calibri"/>
          <w:noProof/>
          <w:sz w:val="20"/>
          <w:szCs w:val="20"/>
        </w:rPr>
        <w:t>, e00216-11.</w:t>
      </w:r>
      <w:bookmarkEnd w:id="499"/>
    </w:p>
    <w:p w:rsidR="00512D09" w:rsidRPr="00610E48" w:rsidRDefault="00512D09" w:rsidP="00512D09">
      <w:pPr>
        <w:spacing w:after="0" w:line="240" w:lineRule="auto"/>
        <w:rPr>
          <w:rFonts w:ascii="Calibri" w:hAnsi="Calibri"/>
          <w:noProof/>
          <w:sz w:val="20"/>
          <w:szCs w:val="20"/>
        </w:rPr>
      </w:pPr>
      <w:bookmarkStart w:id="500" w:name="_ENREF_265"/>
      <w:r w:rsidRPr="00610E48">
        <w:rPr>
          <w:rFonts w:ascii="Calibri" w:hAnsi="Calibri"/>
          <w:noProof/>
          <w:sz w:val="20"/>
          <w:szCs w:val="20"/>
        </w:rPr>
        <w:tab/>
        <w:t>(265)</w:t>
      </w:r>
      <w:r w:rsidRPr="00610E48">
        <w:rPr>
          <w:rFonts w:ascii="Calibri" w:hAnsi="Calibri"/>
          <w:noProof/>
          <w:sz w:val="20"/>
          <w:szCs w:val="20"/>
        </w:rPr>
        <w:tab/>
        <w:t xml:space="preserve">Frazier, R. A.; Deaville, E. R.; Green, R. J.; Stringano, E.; Willoughby, I.; Plant, J.; Mueller-Harvey, I.: Interactions of tea tannins and condensed tannins with proteins. </w:t>
      </w:r>
      <w:r w:rsidRPr="00610E48">
        <w:rPr>
          <w:rFonts w:ascii="Calibri" w:hAnsi="Calibri"/>
          <w:i/>
          <w:noProof/>
          <w:sz w:val="20"/>
          <w:szCs w:val="20"/>
        </w:rPr>
        <w:t>Journal of Pharmaceutical and Biomedical Analysis,</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51</w:t>
      </w:r>
      <w:r w:rsidRPr="00610E48">
        <w:rPr>
          <w:rFonts w:ascii="Calibri" w:hAnsi="Calibri"/>
          <w:noProof/>
          <w:sz w:val="20"/>
          <w:szCs w:val="20"/>
        </w:rPr>
        <w:t>, 490-495.</w:t>
      </w:r>
      <w:bookmarkEnd w:id="500"/>
    </w:p>
    <w:p w:rsidR="00512D09" w:rsidRPr="00610E48" w:rsidRDefault="00512D09" w:rsidP="00512D09">
      <w:pPr>
        <w:spacing w:after="0" w:line="240" w:lineRule="auto"/>
        <w:rPr>
          <w:rFonts w:ascii="Calibri" w:hAnsi="Calibri"/>
          <w:noProof/>
          <w:sz w:val="20"/>
          <w:szCs w:val="20"/>
        </w:rPr>
      </w:pPr>
      <w:bookmarkStart w:id="501" w:name="_ENREF_266"/>
      <w:r w:rsidRPr="00610E48">
        <w:rPr>
          <w:rFonts w:ascii="Calibri" w:hAnsi="Calibri"/>
          <w:noProof/>
          <w:sz w:val="20"/>
          <w:szCs w:val="20"/>
        </w:rPr>
        <w:tab/>
        <w:t>(266)</w:t>
      </w:r>
      <w:r w:rsidRPr="00610E48">
        <w:rPr>
          <w:rFonts w:ascii="Calibri" w:hAnsi="Calibri"/>
          <w:noProof/>
          <w:sz w:val="20"/>
          <w:szCs w:val="20"/>
        </w:rPr>
        <w:tab/>
        <w:t xml:space="preserve">Muscroft-Taylor, A. C.; Soares da Costa, T. P.; Gerrard, J. A.: New insights into the mechanism of dihydrodipicolinate synthase using isothermal titration calorimetry. </w:t>
      </w:r>
      <w:r w:rsidRPr="00610E48">
        <w:rPr>
          <w:rFonts w:ascii="Calibri" w:hAnsi="Calibri"/>
          <w:i/>
          <w:noProof/>
          <w:sz w:val="20"/>
          <w:szCs w:val="20"/>
        </w:rPr>
        <w:t>Biochimie,</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92</w:t>
      </w:r>
      <w:r w:rsidRPr="00610E48">
        <w:rPr>
          <w:rFonts w:ascii="Calibri" w:hAnsi="Calibri"/>
          <w:noProof/>
          <w:sz w:val="20"/>
          <w:szCs w:val="20"/>
        </w:rPr>
        <w:t>, 254-262.</w:t>
      </w:r>
      <w:bookmarkEnd w:id="501"/>
    </w:p>
    <w:p w:rsidR="00512D09" w:rsidRPr="00610E48" w:rsidRDefault="00512D09" w:rsidP="00512D09">
      <w:pPr>
        <w:spacing w:after="0" w:line="240" w:lineRule="auto"/>
        <w:rPr>
          <w:rFonts w:ascii="Calibri" w:hAnsi="Calibri"/>
          <w:noProof/>
          <w:sz w:val="20"/>
          <w:szCs w:val="20"/>
        </w:rPr>
      </w:pPr>
      <w:bookmarkStart w:id="502" w:name="_ENREF_267"/>
      <w:r w:rsidRPr="00610E48">
        <w:rPr>
          <w:rFonts w:ascii="Calibri" w:hAnsi="Calibri"/>
          <w:noProof/>
          <w:sz w:val="20"/>
          <w:szCs w:val="20"/>
        </w:rPr>
        <w:tab/>
        <w:t>(267)</w:t>
      </w:r>
      <w:r w:rsidRPr="00610E48">
        <w:rPr>
          <w:rFonts w:ascii="Calibri" w:hAnsi="Calibri"/>
          <w:noProof/>
          <w:sz w:val="20"/>
          <w:szCs w:val="20"/>
        </w:rPr>
        <w:tab/>
        <w:t xml:space="preserve">Hunter, C. A.; Tomas, S.: Cooperativity, Partially Bound States, and Enthalpy-Entropy Compensation. </w:t>
      </w:r>
      <w:r w:rsidRPr="00610E48">
        <w:rPr>
          <w:rFonts w:ascii="Calibri" w:hAnsi="Calibri"/>
          <w:i/>
          <w:noProof/>
          <w:sz w:val="20"/>
          <w:szCs w:val="20"/>
        </w:rPr>
        <w:t>Chemistry &amp; Biology,</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10</w:t>
      </w:r>
      <w:r w:rsidRPr="00610E48">
        <w:rPr>
          <w:rFonts w:ascii="Calibri" w:hAnsi="Calibri"/>
          <w:noProof/>
          <w:sz w:val="20"/>
          <w:szCs w:val="20"/>
        </w:rPr>
        <w:t>, 1023-1032.</w:t>
      </w:r>
      <w:bookmarkEnd w:id="502"/>
    </w:p>
    <w:p w:rsidR="00512D09" w:rsidRPr="00610E48" w:rsidRDefault="00512D09" w:rsidP="00512D09">
      <w:pPr>
        <w:spacing w:after="0" w:line="240" w:lineRule="auto"/>
        <w:rPr>
          <w:rFonts w:ascii="Calibri" w:hAnsi="Calibri"/>
          <w:noProof/>
          <w:sz w:val="20"/>
          <w:szCs w:val="20"/>
        </w:rPr>
      </w:pPr>
      <w:bookmarkStart w:id="503" w:name="_ENREF_268"/>
      <w:r w:rsidRPr="00610E48">
        <w:rPr>
          <w:rFonts w:ascii="Calibri" w:hAnsi="Calibri"/>
          <w:noProof/>
          <w:sz w:val="20"/>
          <w:szCs w:val="20"/>
        </w:rPr>
        <w:tab/>
        <w:t>(268)</w:t>
      </w:r>
      <w:r w:rsidRPr="00610E48">
        <w:rPr>
          <w:rFonts w:ascii="Calibri" w:hAnsi="Calibri"/>
          <w:noProof/>
          <w:sz w:val="20"/>
          <w:szCs w:val="20"/>
        </w:rPr>
        <w:tab/>
        <w:t xml:space="preserve">Sahún‐Roncero, M.; Rubio‐Ruiz, B.; Saladino, G.; Conejo‐García, A.; Espinosa, A.; Velázquez‐Campoy, A.; Gervasio, F. L.; Entrena, A.; Hurtado‐Guerrero, R.: The mechanism of allosteric coupling in choline kinase α1 revealed by the action of a rationally designed inhibitor. </w:t>
      </w:r>
      <w:r w:rsidRPr="00610E48">
        <w:rPr>
          <w:rFonts w:ascii="Calibri" w:hAnsi="Calibri"/>
          <w:i/>
          <w:noProof/>
          <w:sz w:val="20"/>
          <w:szCs w:val="20"/>
        </w:rPr>
        <w:t>Angewandte Chemie International Edition,</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52</w:t>
      </w:r>
      <w:r w:rsidRPr="00610E48">
        <w:rPr>
          <w:rFonts w:ascii="Calibri" w:hAnsi="Calibri"/>
          <w:noProof/>
          <w:sz w:val="20"/>
          <w:szCs w:val="20"/>
        </w:rPr>
        <w:t>, 4582-4586.</w:t>
      </w:r>
      <w:bookmarkEnd w:id="503"/>
    </w:p>
    <w:p w:rsidR="00512D09" w:rsidRPr="00610E48" w:rsidRDefault="00512D09" w:rsidP="00512D09">
      <w:pPr>
        <w:spacing w:after="0" w:line="240" w:lineRule="auto"/>
        <w:rPr>
          <w:rFonts w:ascii="Calibri" w:hAnsi="Calibri"/>
          <w:noProof/>
          <w:sz w:val="20"/>
          <w:szCs w:val="20"/>
        </w:rPr>
      </w:pPr>
      <w:bookmarkStart w:id="504" w:name="_ENREF_269"/>
      <w:r w:rsidRPr="00610E48">
        <w:rPr>
          <w:rFonts w:ascii="Calibri" w:hAnsi="Calibri"/>
          <w:noProof/>
          <w:sz w:val="20"/>
          <w:szCs w:val="20"/>
        </w:rPr>
        <w:tab/>
        <w:t>(269)</w:t>
      </w:r>
      <w:r w:rsidRPr="00610E48">
        <w:rPr>
          <w:rFonts w:ascii="Calibri" w:hAnsi="Calibri"/>
          <w:noProof/>
          <w:sz w:val="20"/>
          <w:szCs w:val="20"/>
        </w:rPr>
        <w:tab/>
        <w:t xml:space="preserve">Wetter, L.; Deutsch, H.: Immunological studies on egg white proteins IV. Immunochemical and physical studies of lysozyme.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1951</w:t>
      </w:r>
      <w:r w:rsidRPr="00610E48">
        <w:rPr>
          <w:rFonts w:ascii="Calibri" w:hAnsi="Calibri"/>
          <w:noProof/>
          <w:sz w:val="20"/>
          <w:szCs w:val="20"/>
        </w:rPr>
        <w:t xml:space="preserve">, </w:t>
      </w:r>
      <w:r w:rsidRPr="00610E48">
        <w:rPr>
          <w:rFonts w:ascii="Calibri" w:hAnsi="Calibri"/>
          <w:i/>
          <w:noProof/>
          <w:sz w:val="20"/>
          <w:szCs w:val="20"/>
        </w:rPr>
        <w:t>192</w:t>
      </w:r>
      <w:r w:rsidRPr="00610E48">
        <w:rPr>
          <w:rFonts w:ascii="Calibri" w:hAnsi="Calibri"/>
          <w:noProof/>
          <w:sz w:val="20"/>
          <w:szCs w:val="20"/>
        </w:rPr>
        <w:t>, 237-242.</w:t>
      </w:r>
      <w:bookmarkEnd w:id="504"/>
    </w:p>
    <w:p w:rsidR="00512D09" w:rsidRPr="00610E48" w:rsidRDefault="00512D09" w:rsidP="00512D09">
      <w:pPr>
        <w:spacing w:after="0" w:line="240" w:lineRule="auto"/>
        <w:rPr>
          <w:rFonts w:ascii="Calibri" w:hAnsi="Calibri"/>
          <w:noProof/>
          <w:sz w:val="20"/>
          <w:szCs w:val="20"/>
        </w:rPr>
      </w:pPr>
      <w:bookmarkStart w:id="505" w:name="_ENREF_270"/>
      <w:r w:rsidRPr="00610E48">
        <w:rPr>
          <w:rFonts w:ascii="Calibri" w:hAnsi="Calibri"/>
          <w:noProof/>
          <w:sz w:val="20"/>
          <w:szCs w:val="20"/>
        </w:rPr>
        <w:tab/>
        <w:t>(270)</w:t>
      </w:r>
      <w:r w:rsidRPr="00610E48">
        <w:rPr>
          <w:rFonts w:ascii="Calibri" w:hAnsi="Calibri"/>
          <w:noProof/>
          <w:sz w:val="20"/>
          <w:szCs w:val="20"/>
        </w:rPr>
        <w:tab/>
        <w:t xml:space="preserve">Okubo, K.; Myers, D.; Iacobucci, G.: Binding of phytic acid to glycinin [Soybeans]. </w:t>
      </w:r>
      <w:r w:rsidRPr="00610E48">
        <w:rPr>
          <w:rFonts w:ascii="Calibri" w:hAnsi="Calibri"/>
          <w:i/>
          <w:noProof/>
          <w:sz w:val="20"/>
          <w:szCs w:val="20"/>
        </w:rPr>
        <w:t>Cereal Chemistry,</w:t>
      </w:r>
      <w:r w:rsidRPr="00610E48">
        <w:rPr>
          <w:rFonts w:ascii="Calibri" w:hAnsi="Calibri"/>
          <w:noProof/>
          <w:sz w:val="20"/>
          <w:szCs w:val="20"/>
        </w:rPr>
        <w:t xml:space="preserve"> </w:t>
      </w:r>
      <w:r w:rsidRPr="00610E48">
        <w:rPr>
          <w:rFonts w:ascii="Calibri" w:hAnsi="Calibri"/>
          <w:b/>
          <w:noProof/>
          <w:sz w:val="20"/>
          <w:szCs w:val="20"/>
        </w:rPr>
        <w:t>1976</w:t>
      </w:r>
      <w:r w:rsidRPr="00610E48">
        <w:rPr>
          <w:rFonts w:ascii="Calibri" w:hAnsi="Calibri"/>
          <w:noProof/>
          <w:sz w:val="20"/>
          <w:szCs w:val="20"/>
        </w:rPr>
        <w:t>.</w:t>
      </w:r>
      <w:bookmarkEnd w:id="505"/>
    </w:p>
    <w:p w:rsidR="00512D09" w:rsidRPr="00610E48" w:rsidRDefault="00512D09" w:rsidP="00512D09">
      <w:pPr>
        <w:spacing w:after="0" w:line="240" w:lineRule="auto"/>
        <w:rPr>
          <w:rFonts w:ascii="Calibri" w:hAnsi="Calibri"/>
          <w:noProof/>
          <w:sz w:val="20"/>
          <w:szCs w:val="20"/>
        </w:rPr>
      </w:pPr>
      <w:bookmarkStart w:id="506" w:name="_ENREF_271"/>
      <w:r w:rsidRPr="00610E48">
        <w:rPr>
          <w:rFonts w:ascii="Calibri" w:hAnsi="Calibri"/>
          <w:noProof/>
          <w:sz w:val="20"/>
          <w:szCs w:val="20"/>
        </w:rPr>
        <w:tab/>
        <w:t>(271)</w:t>
      </w:r>
      <w:r w:rsidRPr="00610E48">
        <w:rPr>
          <w:rFonts w:ascii="Calibri" w:hAnsi="Calibri"/>
          <w:noProof/>
          <w:sz w:val="20"/>
          <w:szCs w:val="20"/>
        </w:rPr>
        <w:tab/>
        <w:t xml:space="preserve">Schwalbe, H.; Grimshaw, S. B.; Spencer, A.; Buck, M.; Boyd, J.; Dobson, C. M.; Redfield, C.; Smith, L. J.: A refined solution structure of hen lysozyme determined using residual dipolar coupling data. </w:t>
      </w:r>
      <w:r w:rsidRPr="00610E48">
        <w:rPr>
          <w:rFonts w:ascii="Calibri" w:hAnsi="Calibri"/>
          <w:i/>
          <w:noProof/>
          <w:sz w:val="20"/>
          <w:szCs w:val="20"/>
        </w:rPr>
        <w:t>Protein Science,</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10</w:t>
      </w:r>
      <w:r w:rsidRPr="00610E48">
        <w:rPr>
          <w:rFonts w:ascii="Calibri" w:hAnsi="Calibri"/>
          <w:noProof/>
          <w:sz w:val="20"/>
          <w:szCs w:val="20"/>
        </w:rPr>
        <w:t>, 677-688.</w:t>
      </w:r>
      <w:bookmarkEnd w:id="506"/>
    </w:p>
    <w:p w:rsidR="00512D09" w:rsidRPr="00610E48" w:rsidRDefault="00512D09" w:rsidP="00512D09">
      <w:pPr>
        <w:spacing w:after="0" w:line="240" w:lineRule="auto"/>
        <w:rPr>
          <w:rFonts w:ascii="Calibri" w:hAnsi="Calibri"/>
          <w:noProof/>
          <w:sz w:val="20"/>
          <w:szCs w:val="20"/>
        </w:rPr>
      </w:pPr>
      <w:bookmarkStart w:id="507" w:name="_ENREF_272"/>
      <w:r w:rsidRPr="00610E48">
        <w:rPr>
          <w:rFonts w:ascii="Calibri" w:hAnsi="Calibri"/>
          <w:noProof/>
          <w:sz w:val="20"/>
          <w:szCs w:val="20"/>
        </w:rPr>
        <w:tab/>
        <w:t>(272)</w:t>
      </w:r>
      <w:r w:rsidRPr="00610E48">
        <w:rPr>
          <w:rFonts w:ascii="Calibri" w:hAnsi="Calibri"/>
          <w:noProof/>
          <w:sz w:val="20"/>
          <w:szCs w:val="20"/>
        </w:rPr>
        <w:tab/>
        <w:t xml:space="preserve">Traylor, S.; Cromwell, G.; Lindemann, M.; Knabe, D.: Effects of level of supplemental phytase on ileal digestibility of amino acids, calcium, and phosphorus in dehulled soybean meal for growing pigs. </w:t>
      </w:r>
      <w:r w:rsidRPr="00610E48">
        <w:rPr>
          <w:rFonts w:ascii="Calibri" w:hAnsi="Calibri"/>
          <w:i/>
          <w:noProof/>
          <w:sz w:val="20"/>
          <w:szCs w:val="20"/>
        </w:rPr>
        <w:t>Journal of Animal Science,</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79</w:t>
      </w:r>
      <w:r w:rsidRPr="00610E48">
        <w:rPr>
          <w:rFonts w:ascii="Calibri" w:hAnsi="Calibri"/>
          <w:noProof/>
          <w:sz w:val="20"/>
          <w:szCs w:val="20"/>
        </w:rPr>
        <w:t>, 2634-2642.</w:t>
      </w:r>
      <w:bookmarkEnd w:id="507"/>
    </w:p>
    <w:p w:rsidR="00512D09" w:rsidRPr="00610E48" w:rsidRDefault="00512D09" w:rsidP="00512D09">
      <w:pPr>
        <w:spacing w:after="0" w:line="240" w:lineRule="auto"/>
        <w:rPr>
          <w:rFonts w:ascii="Calibri" w:hAnsi="Calibri"/>
          <w:noProof/>
          <w:sz w:val="20"/>
          <w:szCs w:val="20"/>
        </w:rPr>
      </w:pPr>
      <w:bookmarkStart w:id="508" w:name="_ENREF_273"/>
      <w:r w:rsidRPr="00610E48">
        <w:rPr>
          <w:rFonts w:ascii="Calibri" w:hAnsi="Calibri"/>
          <w:noProof/>
          <w:sz w:val="20"/>
          <w:szCs w:val="20"/>
        </w:rPr>
        <w:tab/>
        <w:t>(273)</w:t>
      </w:r>
      <w:r w:rsidRPr="00610E48">
        <w:rPr>
          <w:rFonts w:ascii="Calibri" w:hAnsi="Calibri"/>
          <w:noProof/>
          <w:sz w:val="20"/>
          <w:szCs w:val="20"/>
        </w:rPr>
        <w:tab/>
        <w:t xml:space="preserve">Lindahl, A.; Ungell, A.-L.; Knutson, L.; Lennernäs, H.: Characterization of fluids from the stomach and proximal jejunum in men and women. </w:t>
      </w:r>
      <w:r w:rsidRPr="00610E48">
        <w:rPr>
          <w:rFonts w:ascii="Calibri" w:hAnsi="Calibri"/>
          <w:i/>
          <w:noProof/>
          <w:sz w:val="20"/>
          <w:szCs w:val="20"/>
        </w:rPr>
        <w:t>Pharmaceutical research,</w:t>
      </w:r>
      <w:r w:rsidRPr="00610E48">
        <w:rPr>
          <w:rFonts w:ascii="Calibri" w:hAnsi="Calibri"/>
          <w:noProof/>
          <w:sz w:val="20"/>
          <w:szCs w:val="20"/>
        </w:rPr>
        <w:t xml:space="preserve"> </w:t>
      </w:r>
      <w:r w:rsidRPr="00610E48">
        <w:rPr>
          <w:rFonts w:ascii="Calibri" w:hAnsi="Calibri"/>
          <w:b/>
          <w:noProof/>
          <w:sz w:val="20"/>
          <w:szCs w:val="20"/>
        </w:rPr>
        <w:t>1997</w:t>
      </w:r>
      <w:r w:rsidRPr="00610E48">
        <w:rPr>
          <w:rFonts w:ascii="Calibri" w:hAnsi="Calibri"/>
          <w:noProof/>
          <w:sz w:val="20"/>
          <w:szCs w:val="20"/>
        </w:rPr>
        <w:t xml:space="preserve">, </w:t>
      </w:r>
      <w:r w:rsidRPr="00610E48">
        <w:rPr>
          <w:rFonts w:ascii="Calibri" w:hAnsi="Calibri"/>
          <w:i/>
          <w:noProof/>
          <w:sz w:val="20"/>
          <w:szCs w:val="20"/>
        </w:rPr>
        <w:t>14</w:t>
      </w:r>
      <w:r w:rsidRPr="00610E48">
        <w:rPr>
          <w:rFonts w:ascii="Calibri" w:hAnsi="Calibri"/>
          <w:noProof/>
          <w:sz w:val="20"/>
          <w:szCs w:val="20"/>
        </w:rPr>
        <w:t>, 497-502.</w:t>
      </w:r>
      <w:bookmarkEnd w:id="508"/>
    </w:p>
    <w:p w:rsidR="00512D09" w:rsidRPr="00610E48" w:rsidRDefault="00512D09" w:rsidP="00512D09">
      <w:pPr>
        <w:spacing w:after="0" w:line="240" w:lineRule="auto"/>
        <w:rPr>
          <w:rFonts w:ascii="Calibri" w:hAnsi="Calibri"/>
          <w:noProof/>
          <w:sz w:val="20"/>
          <w:szCs w:val="20"/>
        </w:rPr>
      </w:pPr>
      <w:bookmarkStart w:id="509" w:name="_ENREF_274"/>
      <w:r w:rsidRPr="00610E48">
        <w:rPr>
          <w:rFonts w:ascii="Calibri" w:hAnsi="Calibri"/>
          <w:noProof/>
          <w:sz w:val="20"/>
          <w:szCs w:val="20"/>
        </w:rPr>
        <w:tab/>
        <w:t>(274)</w:t>
      </w:r>
      <w:r w:rsidRPr="00610E48">
        <w:rPr>
          <w:rFonts w:ascii="Calibri" w:hAnsi="Calibri"/>
          <w:noProof/>
          <w:sz w:val="20"/>
          <w:szCs w:val="20"/>
        </w:rPr>
        <w:tab/>
        <w:t xml:space="preserve">Simonian, H. P.; Vo, L.; Doma, S.; Fisher, R. S.; Parkman, H. P.: Regional postprandial differences in pH within the stomach and gastroesophageal junction. </w:t>
      </w:r>
      <w:r w:rsidRPr="00610E48">
        <w:rPr>
          <w:rFonts w:ascii="Calibri" w:hAnsi="Calibri"/>
          <w:i/>
          <w:noProof/>
          <w:sz w:val="20"/>
          <w:szCs w:val="20"/>
        </w:rPr>
        <w:t>Digestive diseases and sciences,</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50</w:t>
      </w:r>
      <w:r w:rsidRPr="00610E48">
        <w:rPr>
          <w:rFonts w:ascii="Calibri" w:hAnsi="Calibri"/>
          <w:noProof/>
          <w:sz w:val="20"/>
          <w:szCs w:val="20"/>
        </w:rPr>
        <w:t>, 2276-2285.</w:t>
      </w:r>
      <w:bookmarkEnd w:id="509"/>
    </w:p>
    <w:p w:rsidR="00512D09" w:rsidRPr="00610E48" w:rsidRDefault="00512D09" w:rsidP="00512D09">
      <w:pPr>
        <w:spacing w:after="0" w:line="240" w:lineRule="auto"/>
        <w:rPr>
          <w:rFonts w:ascii="Calibri" w:hAnsi="Calibri"/>
          <w:noProof/>
          <w:sz w:val="20"/>
          <w:szCs w:val="20"/>
        </w:rPr>
      </w:pPr>
      <w:bookmarkStart w:id="510" w:name="_ENREF_275"/>
      <w:r w:rsidRPr="00610E48">
        <w:rPr>
          <w:rFonts w:ascii="Calibri" w:hAnsi="Calibri"/>
          <w:noProof/>
          <w:sz w:val="20"/>
          <w:szCs w:val="20"/>
        </w:rPr>
        <w:tab/>
        <w:t>(275)</w:t>
      </w:r>
      <w:r w:rsidRPr="00610E48">
        <w:rPr>
          <w:rFonts w:ascii="Calibri" w:hAnsi="Calibri"/>
          <w:noProof/>
          <w:sz w:val="20"/>
          <w:szCs w:val="20"/>
        </w:rPr>
        <w:tab/>
        <w:t xml:space="preserve">Niedzwiecka, A.; Stepinski, J.; Darzynkiewicz, E.; Sonenberg, N.; Stolarski, R.: Positive Heat Capacity Change upon Specific Binding of Translation Initiation Factor eIF4E to mRNA 5‘ Cap†.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41</w:t>
      </w:r>
      <w:r w:rsidRPr="00610E48">
        <w:rPr>
          <w:rFonts w:ascii="Calibri" w:hAnsi="Calibri"/>
          <w:noProof/>
          <w:sz w:val="20"/>
          <w:szCs w:val="20"/>
        </w:rPr>
        <w:t>, 12140-12148.</w:t>
      </w:r>
      <w:bookmarkEnd w:id="510"/>
    </w:p>
    <w:p w:rsidR="00512D09" w:rsidRPr="00610E48" w:rsidRDefault="00512D09" w:rsidP="00512D09">
      <w:pPr>
        <w:spacing w:after="0" w:line="240" w:lineRule="auto"/>
        <w:rPr>
          <w:rFonts w:ascii="Calibri" w:hAnsi="Calibri"/>
          <w:noProof/>
          <w:sz w:val="20"/>
          <w:szCs w:val="20"/>
        </w:rPr>
      </w:pPr>
      <w:bookmarkStart w:id="511" w:name="_ENREF_276"/>
      <w:r w:rsidRPr="00610E48">
        <w:rPr>
          <w:rFonts w:ascii="Calibri" w:hAnsi="Calibri"/>
          <w:noProof/>
          <w:sz w:val="20"/>
          <w:szCs w:val="20"/>
        </w:rPr>
        <w:tab/>
        <w:t>(276)</w:t>
      </w:r>
      <w:r w:rsidRPr="00610E48">
        <w:rPr>
          <w:rFonts w:ascii="Calibri" w:hAnsi="Calibri"/>
          <w:noProof/>
          <w:sz w:val="20"/>
          <w:szCs w:val="20"/>
        </w:rPr>
        <w:tab/>
        <w:t xml:space="preserve">Richardson, J. M.; Makhatadze, G. I.: Temperature Dependence of the Thermodynamics of Helix–Coil Transition.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335</w:t>
      </w:r>
      <w:r w:rsidRPr="00610E48">
        <w:rPr>
          <w:rFonts w:ascii="Calibri" w:hAnsi="Calibri"/>
          <w:noProof/>
          <w:sz w:val="20"/>
          <w:szCs w:val="20"/>
        </w:rPr>
        <w:t>, 1029-1037.</w:t>
      </w:r>
      <w:bookmarkEnd w:id="511"/>
    </w:p>
    <w:p w:rsidR="00512D09" w:rsidRPr="00610E48" w:rsidRDefault="00512D09" w:rsidP="00512D09">
      <w:pPr>
        <w:spacing w:after="0" w:line="240" w:lineRule="auto"/>
        <w:rPr>
          <w:rFonts w:ascii="Calibri" w:hAnsi="Calibri"/>
          <w:noProof/>
          <w:sz w:val="20"/>
          <w:szCs w:val="20"/>
        </w:rPr>
      </w:pPr>
      <w:bookmarkStart w:id="512" w:name="_ENREF_277"/>
      <w:r w:rsidRPr="00610E48">
        <w:rPr>
          <w:rFonts w:ascii="Calibri" w:hAnsi="Calibri"/>
          <w:noProof/>
          <w:sz w:val="20"/>
          <w:szCs w:val="20"/>
        </w:rPr>
        <w:tab/>
        <w:t>(277)</w:t>
      </w:r>
      <w:r w:rsidRPr="00610E48">
        <w:rPr>
          <w:rFonts w:ascii="Calibri" w:hAnsi="Calibri"/>
          <w:noProof/>
          <w:sz w:val="20"/>
          <w:szCs w:val="20"/>
        </w:rPr>
        <w:tab/>
        <w:t xml:space="preserve">Gallagher, K.; Sharp, K.: Electrostatic Contributions to Heat Capacity Changes of DNA-Ligand Binding. </w:t>
      </w:r>
      <w:r w:rsidRPr="00610E48">
        <w:rPr>
          <w:rFonts w:ascii="Calibri" w:hAnsi="Calibri"/>
          <w:i/>
          <w:noProof/>
          <w:sz w:val="20"/>
          <w:szCs w:val="20"/>
        </w:rPr>
        <w:t>Biophysical Journal,</w:t>
      </w:r>
      <w:r w:rsidRPr="00610E48">
        <w:rPr>
          <w:rFonts w:ascii="Calibri" w:hAnsi="Calibri"/>
          <w:noProof/>
          <w:sz w:val="20"/>
          <w:szCs w:val="20"/>
        </w:rPr>
        <w:t xml:space="preserve"> </w:t>
      </w:r>
      <w:r w:rsidRPr="00610E48">
        <w:rPr>
          <w:rFonts w:ascii="Calibri" w:hAnsi="Calibri"/>
          <w:b/>
          <w:noProof/>
          <w:sz w:val="20"/>
          <w:szCs w:val="20"/>
        </w:rPr>
        <w:t>1998</w:t>
      </w:r>
      <w:r w:rsidRPr="00610E48">
        <w:rPr>
          <w:rFonts w:ascii="Calibri" w:hAnsi="Calibri"/>
          <w:noProof/>
          <w:sz w:val="20"/>
          <w:szCs w:val="20"/>
        </w:rPr>
        <w:t xml:space="preserve">, </w:t>
      </w:r>
      <w:r w:rsidRPr="00610E48">
        <w:rPr>
          <w:rFonts w:ascii="Calibri" w:hAnsi="Calibri"/>
          <w:i/>
          <w:noProof/>
          <w:sz w:val="20"/>
          <w:szCs w:val="20"/>
        </w:rPr>
        <w:t>75</w:t>
      </w:r>
      <w:r w:rsidRPr="00610E48">
        <w:rPr>
          <w:rFonts w:ascii="Calibri" w:hAnsi="Calibri"/>
          <w:noProof/>
          <w:sz w:val="20"/>
          <w:szCs w:val="20"/>
        </w:rPr>
        <w:t>, 769-776.</w:t>
      </w:r>
      <w:bookmarkEnd w:id="512"/>
    </w:p>
    <w:p w:rsidR="00512D09" w:rsidRPr="00610E48" w:rsidRDefault="00512D09" w:rsidP="00512D09">
      <w:pPr>
        <w:spacing w:after="0" w:line="240" w:lineRule="auto"/>
        <w:rPr>
          <w:rFonts w:ascii="Calibri" w:hAnsi="Calibri"/>
          <w:noProof/>
          <w:sz w:val="20"/>
          <w:szCs w:val="20"/>
        </w:rPr>
      </w:pPr>
      <w:bookmarkStart w:id="513" w:name="_ENREF_278"/>
      <w:r w:rsidRPr="00610E48">
        <w:rPr>
          <w:rFonts w:ascii="Calibri" w:hAnsi="Calibri"/>
          <w:noProof/>
          <w:sz w:val="20"/>
          <w:szCs w:val="20"/>
        </w:rPr>
        <w:tab/>
        <w:t>(278)</w:t>
      </w:r>
      <w:r w:rsidRPr="00610E48">
        <w:rPr>
          <w:rFonts w:ascii="Calibri" w:hAnsi="Calibri"/>
          <w:noProof/>
          <w:sz w:val="20"/>
          <w:szCs w:val="20"/>
        </w:rPr>
        <w:tab/>
        <w:t xml:space="preserve">Lemtiri-Chlieh, F.; MacRobbie, E. A.; Webb, A. A.; Manison, N. F.; Brownlee, C.; Skepper, J. N.; Chen, J.; Prestwich, G. D.; Brearley, C. A.: Inositol hexakisphosphate mobilizes an </w:t>
      </w:r>
      <w:r w:rsidRPr="00610E48">
        <w:rPr>
          <w:rFonts w:ascii="Calibri" w:hAnsi="Calibri"/>
          <w:noProof/>
          <w:sz w:val="20"/>
          <w:szCs w:val="20"/>
        </w:rPr>
        <w:lastRenderedPageBreak/>
        <w:t xml:space="preserve">endomembrane store of calcium in guard cells. </w:t>
      </w:r>
      <w:r w:rsidRPr="00610E48">
        <w:rPr>
          <w:rFonts w:ascii="Calibri" w:hAnsi="Calibri"/>
          <w:i/>
          <w:noProof/>
          <w:sz w:val="20"/>
          <w:szCs w:val="20"/>
        </w:rPr>
        <w:t>Proceedings of the National Academy of Sciences,</w:t>
      </w:r>
      <w:r w:rsidRPr="00610E48">
        <w:rPr>
          <w:rFonts w:ascii="Calibri" w:hAnsi="Calibri"/>
          <w:noProof/>
          <w:sz w:val="20"/>
          <w:szCs w:val="20"/>
        </w:rPr>
        <w:t xml:space="preserve"> </w:t>
      </w:r>
      <w:r w:rsidRPr="00610E48">
        <w:rPr>
          <w:rFonts w:ascii="Calibri" w:hAnsi="Calibri"/>
          <w:b/>
          <w:noProof/>
          <w:sz w:val="20"/>
          <w:szCs w:val="20"/>
        </w:rPr>
        <w:t>2003</w:t>
      </w:r>
      <w:r w:rsidRPr="00610E48">
        <w:rPr>
          <w:rFonts w:ascii="Calibri" w:hAnsi="Calibri"/>
          <w:noProof/>
          <w:sz w:val="20"/>
          <w:szCs w:val="20"/>
        </w:rPr>
        <w:t xml:space="preserve">, </w:t>
      </w:r>
      <w:r w:rsidRPr="00610E48">
        <w:rPr>
          <w:rFonts w:ascii="Calibri" w:hAnsi="Calibri"/>
          <w:i/>
          <w:noProof/>
          <w:sz w:val="20"/>
          <w:szCs w:val="20"/>
        </w:rPr>
        <w:t>100</w:t>
      </w:r>
      <w:r w:rsidRPr="00610E48">
        <w:rPr>
          <w:rFonts w:ascii="Calibri" w:hAnsi="Calibri"/>
          <w:noProof/>
          <w:sz w:val="20"/>
          <w:szCs w:val="20"/>
        </w:rPr>
        <w:t>, 10091-10095.</w:t>
      </w:r>
      <w:bookmarkEnd w:id="513"/>
    </w:p>
    <w:p w:rsidR="00512D09" w:rsidRPr="00610E48" w:rsidRDefault="00512D09" w:rsidP="00512D09">
      <w:pPr>
        <w:spacing w:after="0" w:line="240" w:lineRule="auto"/>
        <w:rPr>
          <w:rFonts w:ascii="Calibri" w:hAnsi="Calibri"/>
          <w:noProof/>
          <w:sz w:val="20"/>
          <w:szCs w:val="20"/>
        </w:rPr>
      </w:pPr>
      <w:bookmarkStart w:id="514" w:name="_ENREF_279"/>
      <w:r w:rsidRPr="00610E48">
        <w:rPr>
          <w:rFonts w:ascii="Calibri" w:hAnsi="Calibri"/>
          <w:noProof/>
          <w:sz w:val="20"/>
          <w:szCs w:val="20"/>
        </w:rPr>
        <w:tab/>
        <w:t>(279)</w:t>
      </w:r>
      <w:r w:rsidRPr="00610E48">
        <w:rPr>
          <w:rFonts w:ascii="Calibri" w:hAnsi="Calibri"/>
          <w:noProof/>
          <w:sz w:val="20"/>
          <w:szCs w:val="20"/>
        </w:rPr>
        <w:tab/>
        <w:t xml:space="preserve">Huang, Y.; Lapitsky, Y.: Monovalent Salt Enhances Colloidal Stability during the Formation of Chitosan/Tripolyphosphate Microgels. </w:t>
      </w:r>
      <w:r w:rsidRPr="00610E48">
        <w:rPr>
          <w:rFonts w:ascii="Calibri" w:hAnsi="Calibri"/>
          <w:i/>
          <w:noProof/>
          <w:sz w:val="20"/>
          <w:szCs w:val="20"/>
        </w:rPr>
        <w:t>Langmuir,</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27</w:t>
      </w:r>
      <w:r w:rsidRPr="00610E48">
        <w:rPr>
          <w:rFonts w:ascii="Calibri" w:hAnsi="Calibri"/>
          <w:noProof/>
          <w:sz w:val="20"/>
          <w:szCs w:val="20"/>
        </w:rPr>
        <w:t>, 10392-10399.</w:t>
      </w:r>
      <w:bookmarkEnd w:id="514"/>
    </w:p>
    <w:p w:rsidR="00512D09" w:rsidRPr="00610E48" w:rsidRDefault="00512D09" w:rsidP="00512D09">
      <w:pPr>
        <w:spacing w:after="0" w:line="240" w:lineRule="auto"/>
        <w:rPr>
          <w:rFonts w:ascii="Calibri" w:hAnsi="Calibri"/>
          <w:noProof/>
          <w:sz w:val="20"/>
          <w:szCs w:val="20"/>
        </w:rPr>
      </w:pPr>
      <w:bookmarkStart w:id="515" w:name="_ENREF_280"/>
      <w:r w:rsidRPr="00610E48">
        <w:rPr>
          <w:rFonts w:ascii="Calibri" w:hAnsi="Calibri"/>
          <w:noProof/>
          <w:sz w:val="20"/>
          <w:szCs w:val="20"/>
        </w:rPr>
        <w:tab/>
        <w:t>(280)</w:t>
      </w:r>
      <w:r w:rsidRPr="00610E48">
        <w:rPr>
          <w:rFonts w:ascii="Calibri" w:hAnsi="Calibri"/>
          <w:noProof/>
          <w:sz w:val="20"/>
          <w:szCs w:val="20"/>
        </w:rPr>
        <w:tab/>
        <w:t xml:space="preserve">Dam, T. K.: Binding of Multivalent Carbohydrates to Concanavalin A and Dioclea grandiflora Lectin. Thermodynamic Analysis Of The "Multivalency Effect".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2000</w:t>
      </w:r>
      <w:r w:rsidRPr="00610E48">
        <w:rPr>
          <w:rFonts w:ascii="Calibri" w:hAnsi="Calibri"/>
          <w:noProof/>
          <w:sz w:val="20"/>
          <w:szCs w:val="20"/>
        </w:rPr>
        <w:t xml:space="preserve">, </w:t>
      </w:r>
      <w:r w:rsidRPr="00610E48">
        <w:rPr>
          <w:rFonts w:ascii="Calibri" w:hAnsi="Calibri"/>
          <w:i/>
          <w:noProof/>
          <w:sz w:val="20"/>
          <w:szCs w:val="20"/>
        </w:rPr>
        <w:t>275</w:t>
      </w:r>
      <w:r w:rsidRPr="00610E48">
        <w:rPr>
          <w:rFonts w:ascii="Calibri" w:hAnsi="Calibri"/>
          <w:noProof/>
          <w:sz w:val="20"/>
          <w:szCs w:val="20"/>
        </w:rPr>
        <w:t>, 14223-14230.</w:t>
      </w:r>
      <w:bookmarkEnd w:id="515"/>
    </w:p>
    <w:p w:rsidR="00512D09" w:rsidRPr="00610E48" w:rsidRDefault="00512D09" w:rsidP="00512D09">
      <w:pPr>
        <w:spacing w:after="0" w:line="240" w:lineRule="auto"/>
        <w:rPr>
          <w:rFonts w:ascii="Calibri" w:hAnsi="Calibri"/>
          <w:noProof/>
          <w:sz w:val="20"/>
          <w:szCs w:val="20"/>
        </w:rPr>
      </w:pPr>
      <w:bookmarkStart w:id="516" w:name="_ENREF_281"/>
      <w:r w:rsidRPr="00610E48">
        <w:rPr>
          <w:rFonts w:ascii="Calibri" w:hAnsi="Calibri"/>
          <w:noProof/>
          <w:sz w:val="20"/>
          <w:szCs w:val="20"/>
        </w:rPr>
        <w:tab/>
        <w:t>(281)</w:t>
      </w:r>
      <w:r w:rsidRPr="00610E48">
        <w:rPr>
          <w:rFonts w:ascii="Calibri" w:hAnsi="Calibri"/>
          <w:noProof/>
          <w:sz w:val="20"/>
          <w:szCs w:val="20"/>
        </w:rPr>
        <w:tab/>
        <w:t xml:space="preserve">Leckband, D.; Sivasankar, S.: Forces controlling protein interactions: theory and experiment. </w:t>
      </w:r>
      <w:r w:rsidRPr="00610E48">
        <w:rPr>
          <w:rFonts w:ascii="Calibri" w:hAnsi="Calibri"/>
          <w:i/>
          <w:noProof/>
          <w:sz w:val="20"/>
          <w:szCs w:val="20"/>
        </w:rPr>
        <w:t>Colloids and Surfaces B: Biointerfaces,</w:t>
      </w:r>
      <w:r w:rsidRPr="00610E48">
        <w:rPr>
          <w:rFonts w:ascii="Calibri" w:hAnsi="Calibri"/>
          <w:noProof/>
          <w:sz w:val="20"/>
          <w:szCs w:val="20"/>
        </w:rPr>
        <w:t xml:space="preserve"> </w:t>
      </w:r>
      <w:r w:rsidRPr="00610E48">
        <w:rPr>
          <w:rFonts w:ascii="Calibri" w:hAnsi="Calibri"/>
          <w:b/>
          <w:noProof/>
          <w:sz w:val="20"/>
          <w:szCs w:val="20"/>
        </w:rPr>
        <w:t>1999</w:t>
      </w:r>
      <w:r w:rsidRPr="00610E48">
        <w:rPr>
          <w:rFonts w:ascii="Calibri" w:hAnsi="Calibri"/>
          <w:noProof/>
          <w:sz w:val="20"/>
          <w:szCs w:val="20"/>
        </w:rPr>
        <w:t xml:space="preserve">, </w:t>
      </w:r>
      <w:r w:rsidRPr="00610E48">
        <w:rPr>
          <w:rFonts w:ascii="Calibri" w:hAnsi="Calibri"/>
          <w:i/>
          <w:noProof/>
          <w:sz w:val="20"/>
          <w:szCs w:val="20"/>
        </w:rPr>
        <w:t>14</w:t>
      </w:r>
      <w:r w:rsidRPr="00610E48">
        <w:rPr>
          <w:rFonts w:ascii="Calibri" w:hAnsi="Calibri"/>
          <w:noProof/>
          <w:sz w:val="20"/>
          <w:szCs w:val="20"/>
        </w:rPr>
        <w:t>, 83-97.</w:t>
      </w:r>
      <w:bookmarkEnd w:id="516"/>
    </w:p>
    <w:p w:rsidR="00512D09" w:rsidRPr="00610E48" w:rsidRDefault="00512D09" w:rsidP="00512D09">
      <w:pPr>
        <w:spacing w:after="0" w:line="240" w:lineRule="auto"/>
        <w:rPr>
          <w:rFonts w:ascii="Calibri" w:hAnsi="Calibri"/>
          <w:noProof/>
          <w:sz w:val="20"/>
          <w:szCs w:val="20"/>
        </w:rPr>
      </w:pPr>
      <w:bookmarkStart w:id="517" w:name="_ENREF_282"/>
      <w:r w:rsidRPr="00610E48">
        <w:rPr>
          <w:rFonts w:ascii="Calibri" w:hAnsi="Calibri"/>
          <w:noProof/>
          <w:sz w:val="20"/>
          <w:szCs w:val="20"/>
        </w:rPr>
        <w:tab/>
        <w:t>(282)</w:t>
      </w:r>
      <w:r w:rsidRPr="00610E48">
        <w:rPr>
          <w:rFonts w:ascii="Calibri" w:hAnsi="Calibri"/>
          <w:noProof/>
          <w:sz w:val="20"/>
          <w:szCs w:val="20"/>
        </w:rPr>
        <w:tab/>
        <w:t xml:space="preserve">Dam, T. K.; Roy, R.; Pagé, D.; Brewer, C. F.: Negative Cooperativity Associated with Binding of Multivalent Carbohydrates to Lectins. Thermodynamic Analysis of the “Multivalency Effect”†. </w:t>
      </w:r>
      <w:r w:rsidRPr="00610E48">
        <w:rPr>
          <w:rFonts w:ascii="Calibri" w:hAnsi="Calibri"/>
          <w:i/>
          <w:noProof/>
          <w:sz w:val="20"/>
          <w:szCs w:val="20"/>
        </w:rPr>
        <w:t>Biochemistry,</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41</w:t>
      </w:r>
      <w:r w:rsidRPr="00610E48">
        <w:rPr>
          <w:rFonts w:ascii="Calibri" w:hAnsi="Calibri"/>
          <w:noProof/>
          <w:sz w:val="20"/>
          <w:szCs w:val="20"/>
        </w:rPr>
        <w:t>, 1351-1358.</w:t>
      </w:r>
      <w:bookmarkEnd w:id="517"/>
    </w:p>
    <w:p w:rsidR="00512D09" w:rsidRPr="00610E48" w:rsidRDefault="00512D09" w:rsidP="00512D09">
      <w:pPr>
        <w:spacing w:after="0" w:line="240" w:lineRule="auto"/>
        <w:rPr>
          <w:rFonts w:ascii="Calibri" w:hAnsi="Calibri"/>
          <w:noProof/>
          <w:sz w:val="20"/>
          <w:szCs w:val="20"/>
        </w:rPr>
      </w:pPr>
      <w:bookmarkStart w:id="518" w:name="_ENREF_283"/>
      <w:r w:rsidRPr="00610E48">
        <w:rPr>
          <w:rFonts w:ascii="Calibri" w:hAnsi="Calibri"/>
          <w:noProof/>
          <w:sz w:val="20"/>
          <w:szCs w:val="20"/>
        </w:rPr>
        <w:tab/>
        <w:t>(283)</w:t>
      </w:r>
      <w:r w:rsidRPr="00610E48">
        <w:rPr>
          <w:rFonts w:ascii="Calibri" w:hAnsi="Calibri"/>
          <w:noProof/>
          <w:sz w:val="20"/>
          <w:szCs w:val="20"/>
        </w:rPr>
        <w:tab/>
        <w:t xml:space="preserve">Guo, D.-S.; Zhang, H.-Q.; Ding, F.; Liu, Y.: Thermodynamic origins of selective binding affinity between p-sulfonatocalix[4,5]arenes with biguanidiniums. </w:t>
      </w:r>
      <w:r w:rsidRPr="00610E48">
        <w:rPr>
          <w:rFonts w:ascii="Calibri" w:hAnsi="Calibri"/>
          <w:i/>
          <w:noProof/>
          <w:sz w:val="20"/>
          <w:szCs w:val="20"/>
        </w:rPr>
        <w:t>Organic &amp; Biomolecular Chemistry,</w:t>
      </w:r>
      <w:r w:rsidRPr="00610E48">
        <w:rPr>
          <w:rFonts w:ascii="Calibri" w:hAnsi="Calibri"/>
          <w:noProof/>
          <w:sz w:val="20"/>
          <w:szCs w:val="20"/>
        </w:rPr>
        <w:t xml:space="preserve"> </w:t>
      </w:r>
      <w:r w:rsidRPr="00610E48">
        <w:rPr>
          <w:rFonts w:ascii="Calibri" w:hAnsi="Calibri"/>
          <w:b/>
          <w:noProof/>
          <w:sz w:val="20"/>
          <w:szCs w:val="20"/>
        </w:rPr>
        <w:t>2012</w:t>
      </w:r>
      <w:r w:rsidRPr="00610E48">
        <w:rPr>
          <w:rFonts w:ascii="Calibri" w:hAnsi="Calibri"/>
          <w:noProof/>
          <w:sz w:val="20"/>
          <w:szCs w:val="20"/>
        </w:rPr>
        <w:t xml:space="preserve">, </w:t>
      </w:r>
      <w:r w:rsidRPr="00610E48">
        <w:rPr>
          <w:rFonts w:ascii="Calibri" w:hAnsi="Calibri"/>
          <w:i/>
          <w:noProof/>
          <w:sz w:val="20"/>
          <w:szCs w:val="20"/>
        </w:rPr>
        <w:t>10</w:t>
      </w:r>
      <w:r w:rsidRPr="00610E48">
        <w:rPr>
          <w:rFonts w:ascii="Calibri" w:hAnsi="Calibri"/>
          <w:noProof/>
          <w:sz w:val="20"/>
          <w:szCs w:val="20"/>
        </w:rPr>
        <w:t>, 1527-1536.</w:t>
      </w:r>
      <w:bookmarkEnd w:id="518"/>
    </w:p>
    <w:p w:rsidR="00512D09" w:rsidRPr="00610E48" w:rsidRDefault="00512D09" w:rsidP="00512D09">
      <w:pPr>
        <w:spacing w:after="0" w:line="240" w:lineRule="auto"/>
        <w:rPr>
          <w:rFonts w:ascii="Calibri" w:hAnsi="Calibri"/>
          <w:noProof/>
          <w:sz w:val="20"/>
          <w:szCs w:val="20"/>
        </w:rPr>
      </w:pPr>
      <w:bookmarkStart w:id="519" w:name="_ENREF_284"/>
      <w:r w:rsidRPr="00610E48">
        <w:rPr>
          <w:rFonts w:ascii="Calibri" w:hAnsi="Calibri"/>
          <w:noProof/>
          <w:sz w:val="20"/>
          <w:szCs w:val="20"/>
        </w:rPr>
        <w:tab/>
        <w:t>(284)</w:t>
      </w:r>
      <w:r w:rsidRPr="00610E48">
        <w:rPr>
          <w:rFonts w:ascii="Calibri" w:hAnsi="Calibri"/>
          <w:noProof/>
          <w:sz w:val="20"/>
          <w:szCs w:val="20"/>
        </w:rPr>
        <w:tab/>
        <w:t xml:space="preserve">Galo, A. L.; Rugiero Neto, J.; Brognaro, D. P.; Caetano, R. C.; Souza, F. P.; Colombo, M. F.: The influence of solutes on the enthalpy/entropy change of the actinomycin D binding to DNA: hydration, energy compensation and long-range deformation on DNA. </w:t>
      </w:r>
      <w:r w:rsidRPr="00610E48">
        <w:rPr>
          <w:rFonts w:ascii="Calibri" w:hAnsi="Calibri"/>
          <w:i/>
          <w:noProof/>
          <w:sz w:val="20"/>
          <w:szCs w:val="20"/>
        </w:rPr>
        <w:t>The journal of physical chemistry. B,</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115</w:t>
      </w:r>
      <w:r w:rsidRPr="00610E48">
        <w:rPr>
          <w:rFonts w:ascii="Calibri" w:hAnsi="Calibri"/>
          <w:noProof/>
          <w:sz w:val="20"/>
          <w:szCs w:val="20"/>
        </w:rPr>
        <w:t>, 8883-90.</w:t>
      </w:r>
      <w:bookmarkEnd w:id="519"/>
    </w:p>
    <w:p w:rsidR="00512D09" w:rsidRPr="00610E48" w:rsidRDefault="00512D09" w:rsidP="00512D09">
      <w:pPr>
        <w:spacing w:after="0" w:line="240" w:lineRule="auto"/>
        <w:rPr>
          <w:rFonts w:ascii="Calibri" w:hAnsi="Calibri"/>
          <w:noProof/>
          <w:sz w:val="20"/>
          <w:szCs w:val="20"/>
        </w:rPr>
      </w:pPr>
      <w:bookmarkStart w:id="520" w:name="_ENREF_285"/>
      <w:r w:rsidRPr="00610E48">
        <w:rPr>
          <w:rFonts w:ascii="Calibri" w:hAnsi="Calibri"/>
          <w:noProof/>
          <w:sz w:val="20"/>
          <w:szCs w:val="20"/>
        </w:rPr>
        <w:tab/>
        <w:t>(285)</w:t>
      </w:r>
      <w:r w:rsidRPr="00610E48">
        <w:rPr>
          <w:rFonts w:ascii="Calibri" w:hAnsi="Calibri"/>
          <w:noProof/>
          <w:sz w:val="20"/>
          <w:szCs w:val="20"/>
        </w:rPr>
        <w:tab/>
        <w:t xml:space="preserve">Lachenmann, M. J.; Ladbury, J. E.; Qian, X.; Huang, K.; Singh, R.; Weiss, M. A.: Solvation and the hidden thermodynamics of a zinc finger probed by nonstandard repair of a protein crevice. </w:t>
      </w:r>
      <w:r w:rsidRPr="00610E48">
        <w:rPr>
          <w:rFonts w:ascii="Calibri" w:hAnsi="Calibri"/>
          <w:i/>
          <w:noProof/>
          <w:sz w:val="20"/>
          <w:szCs w:val="20"/>
        </w:rPr>
        <w:t>Protein Science,</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13</w:t>
      </w:r>
      <w:r w:rsidRPr="00610E48">
        <w:rPr>
          <w:rFonts w:ascii="Calibri" w:hAnsi="Calibri"/>
          <w:noProof/>
          <w:sz w:val="20"/>
          <w:szCs w:val="20"/>
        </w:rPr>
        <w:t>, 3115-3126.</w:t>
      </w:r>
      <w:bookmarkEnd w:id="520"/>
    </w:p>
    <w:p w:rsidR="00512D09" w:rsidRPr="00610E48" w:rsidRDefault="00512D09" w:rsidP="00512D09">
      <w:pPr>
        <w:spacing w:after="0" w:line="240" w:lineRule="auto"/>
        <w:rPr>
          <w:rFonts w:ascii="Calibri" w:hAnsi="Calibri"/>
          <w:noProof/>
          <w:sz w:val="20"/>
          <w:szCs w:val="20"/>
        </w:rPr>
      </w:pPr>
      <w:bookmarkStart w:id="521" w:name="_ENREF_286"/>
      <w:r w:rsidRPr="00610E48">
        <w:rPr>
          <w:rFonts w:ascii="Calibri" w:hAnsi="Calibri"/>
          <w:noProof/>
          <w:sz w:val="20"/>
          <w:szCs w:val="20"/>
        </w:rPr>
        <w:tab/>
        <w:t>(286)</w:t>
      </w:r>
      <w:r w:rsidRPr="00610E48">
        <w:rPr>
          <w:rFonts w:ascii="Calibri" w:hAnsi="Calibri"/>
          <w:noProof/>
          <w:sz w:val="20"/>
          <w:szCs w:val="20"/>
        </w:rPr>
        <w:tab/>
        <w:t xml:space="preserve">Téllez-Sanz, R.; Cesareo, E.; Nuccetelli, M.; Aguilera, A. M.; Barón, C.; Parker, L. J.; Adams, J. J.; Morton, C. J.; Lo Bello, M.; Parker, M. W.; García-Fuentes, L.: Calorimetric and structural studies of the nitric oxide carrier S-nitrosoglutathione bound to human glutathione transferase P1-1. </w:t>
      </w:r>
      <w:r w:rsidRPr="00610E48">
        <w:rPr>
          <w:rFonts w:ascii="Calibri" w:hAnsi="Calibri"/>
          <w:i/>
          <w:noProof/>
          <w:sz w:val="20"/>
          <w:szCs w:val="20"/>
        </w:rPr>
        <w:t>Protein science : a publication of the Protein Society,</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15</w:t>
      </w:r>
      <w:r w:rsidRPr="00610E48">
        <w:rPr>
          <w:rFonts w:ascii="Calibri" w:hAnsi="Calibri"/>
          <w:noProof/>
          <w:sz w:val="20"/>
          <w:szCs w:val="20"/>
        </w:rPr>
        <w:t>, 1093-1105.</w:t>
      </w:r>
      <w:bookmarkEnd w:id="521"/>
    </w:p>
    <w:p w:rsidR="00512D09" w:rsidRPr="00610E48" w:rsidRDefault="00512D09" w:rsidP="00512D09">
      <w:pPr>
        <w:spacing w:after="0" w:line="240" w:lineRule="auto"/>
        <w:rPr>
          <w:rFonts w:ascii="Calibri" w:hAnsi="Calibri"/>
          <w:noProof/>
          <w:sz w:val="20"/>
          <w:szCs w:val="20"/>
        </w:rPr>
      </w:pPr>
      <w:bookmarkStart w:id="522" w:name="_ENREF_287"/>
      <w:r w:rsidRPr="00610E48">
        <w:rPr>
          <w:rFonts w:ascii="Calibri" w:hAnsi="Calibri"/>
          <w:noProof/>
          <w:sz w:val="20"/>
          <w:szCs w:val="20"/>
        </w:rPr>
        <w:tab/>
        <w:t>(287)</w:t>
      </w:r>
      <w:r w:rsidRPr="00610E48">
        <w:rPr>
          <w:rFonts w:ascii="Calibri" w:hAnsi="Calibri"/>
          <w:noProof/>
          <w:sz w:val="20"/>
          <w:szCs w:val="20"/>
        </w:rPr>
        <w:tab/>
        <w:t xml:space="preserve">Dobreva, M. A.; Frazier, R. A.; Mueller-Harvey, I.; Clifton, L. A.; Gea, A.; Green, R. J.: Binding of Pentagalloyl Glucose to Two Globular Proteins Occurs via Multiple Surface Sites. </w:t>
      </w:r>
      <w:r w:rsidRPr="00610E48">
        <w:rPr>
          <w:rFonts w:ascii="Calibri" w:hAnsi="Calibri"/>
          <w:i/>
          <w:noProof/>
          <w:sz w:val="20"/>
          <w:szCs w:val="20"/>
        </w:rPr>
        <w:t>Biomacromolecules,</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12</w:t>
      </w:r>
      <w:r w:rsidRPr="00610E48">
        <w:rPr>
          <w:rFonts w:ascii="Calibri" w:hAnsi="Calibri"/>
          <w:noProof/>
          <w:sz w:val="20"/>
          <w:szCs w:val="20"/>
        </w:rPr>
        <w:t>, 710-715.</w:t>
      </w:r>
      <w:bookmarkEnd w:id="522"/>
    </w:p>
    <w:p w:rsidR="00512D09" w:rsidRPr="00610E48" w:rsidRDefault="00512D09" w:rsidP="00512D09">
      <w:pPr>
        <w:spacing w:after="0" w:line="240" w:lineRule="auto"/>
        <w:rPr>
          <w:rFonts w:ascii="Calibri" w:hAnsi="Calibri"/>
          <w:noProof/>
          <w:sz w:val="20"/>
          <w:szCs w:val="20"/>
        </w:rPr>
      </w:pPr>
      <w:bookmarkStart w:id="523" w:name="_ENREF_288"/>
      <w:r w:rsidRPr="00610E48">
        <w:rPr>
          <w:rFonts w:ascii="Calibri" w:hAnsi="Calibri"/>
          <w:noProof/>
          <w:sz w:val="20"/>
          <w:szCs w:val="20"/>
        </w:rPr>
        <w:tab/>
        <w:t>(288)</w:t>
      </w:r>
      <w:r w:rsidRPr="00610E48">
        <w:rPr>
          <w:rFonts w:ascii="Calibri" w:hAnsi="Calibri"/>
          <w:noProof/>
          <w:sz w:val="20"/>
          <w:szCs w:val="20"/>
        </w:rPr>
        <w:tab/>
        <w:t xml:space="preserve">Markova, N.; Hallén, D.: The development of a continuous isothermal titration calorimetric method for equilibrium studies. </w:t>
      </w:r>
      <w:r w:rsidRPr="00610E48">
        <w:rPr>
          <w:rFonts w:ascii="Calibri" w:hAnsi="Calibri"/>
          <w:i/>
          <w:noProof/>
          <w:sz w:val="20"/>
          <w:szCs w:val="20"/>
        </w:rPr>
        <w:t>Analytical biochemistry,</w:t>
      </w:r>
      <w:r w:rsidRPr="00610E48">
        <w:rPr>
          <w:rFonts w:ascii="Calibri" w:hAnsi="Calibri"/>
          <w:noProof/>
          <w:sz w:val="20"/>
          <w:szCs w:val="20"/>
        </w:rPr>
        <w:t xml:space="preserve"> </w:t>
      </w:r>
      <w:r w:rsidRPr="00610E48">
        <w:rPr>
          <w:rFonts w:ascii="Calibri" w:hAnsi="Calibri"/>
          <w:b/>
          <w:noProof/>
          <w:sz w:val="20"/>
          <w:szCs w:val="20"/>
        </w:rPr>
        <w:t>2004</w:t>
      </w:r>
      <w:r w:rsidRPr="00610E48">
        <w:rPr>
          <w:rFonts w:ascii="Calibri" w:hAnsi="Calibri"/>
          <w:noProof/>
          <w:sz w:val="20"/>
          <w:szCs w:val="20"/>
        </w:rPr>
        <w:t xml:space="preserve">, </w:t>
      </w:r>
      <w:r w:rsidRPr="00610E48">
        <w:rPr>
          <w:rFonts w:ascii="Calibri" w:hAnsi="Calibri"/>
          <w:i/>
          <w:noProof/>
          <w:sz w:val="20"/>
          <w:szCs w:val="20"/>
        </w:rPr>
        <w:t>331</w:t>
      </w:r>
      <w:r w:rsidRPr="00610E48">
        <w:rPr>
          <w:rFonts w:ascii="Calibri" w:hAnsi="Calibri"/>
          <w:noProof/>
          <w:sz w:val="20"/>
          <w:szCs w:val="20"/>
        </w:rPr>
        <w:t>, 77-88.</w:t>
      </w:r>
      <w:bookmarkEnd w:id="523"/>
    </w:p>
    <w:p w:rsidR="00512D09" w:rsidRPr="00610E48" w:rsidRDefault="00512D09" w:rsidP="00512D09">
      <w:pPr>
        <w:spacing w:after="0" w:line="240" w:lineRule="auto"/>
        <w:rPr>
          <w:rFonts w:ascii="Calibri" w:hAnsi="Calibri"/>
          <w:noProof/>
          <w:sz w:val="20"/>
          <w:szCs w:val="20"/>
        </w:rPr>
      </w:pPr>
      <w:bookmarkStart w:id="524" w:name="_ENREF_289"/>
      <w:r w:rsidRPr="00610E48">
        <w:rPr>
          <w:rFonts w:ascii="Calibri" w:hAnsi="Calibri"/>
          <w:noProof/>
          <w:sz w:val="20"/>
          <w:szCs w:val="20"/>
        </w:rPr>
        <w:tab/>
        <w:t>(289)</w:t>
      </w:r>
      <w:r w:rsidRPr="00610E48">
        <w:rPr>
          <w:rFonts w:ascii="Calibri" w:hAnsi="Calibri"/>
          <w:noProof/>
          <w:sz w:val="20"/>
          <w:szCs w:val="20"/>
        </w:rPr>
        <w:tab/>
        <w:t xml:space="preserve">Freyer, M. W.; Lewis, E. A.: Isothermal Titration Calorimetry: Experimental Design, Data Analysis, and Probing Macromolecule/Ligand Binding and Kinetic Interactions. In </w:t>
      </w:r>
      <w:r w:rsidRPr="00610E48">
        <w:rPr>
          <w:rFonts w:ascii="Calibri" w:hAnsi="Calibri"/>
          <w:i/>
          <w:noProof/>
          <w:sz w:val="20"/>
          <w:szCs w:val="20"/>
        </w:rPr>
        <w:t>Methods in Cell Biology</w:t>
      </w:r>
      <w:r w:rsidRPr="00610E48">
        <w:rPr>
          <w:rFonts w:ascii="Calibri" w:hAnsi="Calibri"/>
          <w:noProof/>
          <w:sz w:val="20"/>
          <w:szCs w:val="20"/>
        </w:rPr>
        <w:t>; John, J. C., H. William Detrich, III, Eds.; Academic Press, 2008; Vol. Volume 84; pp 79-113.</w:t>
      </w:r>
      <w:bookmarkEnd w:id="524"/>
    </w:p>
    <w:p w:rsidR="00512D09" w:rsidRPr="00610E48" w:rsidRDefault="00512D09" w:rsidP="00512D09">
      <w:pPr>
        <w:spacing w:after="0" w:line="240" w:lineRule="auto"/>
        <w:rPr>
          <w:rFonts w:ascii="Calibri" w:hAnsi="Calibri"/>
          <w:noProof/>
          <w:sz w:val="20"/>
          <w:szCs w:val="20"/>
        </w:rPr>
      </w:pPr>
      <w:bookmarkStart w:id="525" w:name="_ENREF_290"/>
      <w:r w:rsidRPr="00610E48">
        <w:rPr>
          <w:rFonts w:ascii="Calibri" w:hAnsi="Calibri"/>
          <w:noProof/>
          <w:sz w:val="20"/>
          <w:szCs w:val="20"/>
        </w:rPr>
        <w:tab/>
        <w:t>(290)</w:t>
      </w:r>
      <w:r w:rsidRPr="00610E48">
        <w:rPr>
          <w:rFonts w:ascii="Calibri" w:hAnsi="Calibri"/>
          <w:noProof/>
          <w:sz w:val="20"/>
          <w:szCs w:val="20"/>
        </w:rPr>
        <w:tab/>
        <w:t xml:space="preserve">Broecker, J.; Vargas, C.; Keller, S.: Revisiting the optimal c value for isothermal titration calorimetry. </w:t>
      </w:r>
      <w:r w:rsidRPr="00610E48">
        <w:rPr>
          <w:rFonts w:ascii="Calibri" w:hAnsi="Calibri"/>
          <w:i/>
          <w:noProof/>
          <w:sz w:val="20"/>
          <w:szCs w:val="20"/>
        </w:rPr>
        <w:t>Analytical biochemistry,</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418</w:t>
      </w:r>
      <w:r w:rsidRPr="00610E48">
        <w:rPr>
          <w:rFonts w:ascii="Calibri" w:hAnsi="Calibri"/>
          <w:noProof/>
          <w:sz w:val="20"/>
          <w:szCs w:val="20"/>
        </w:rPr>
        <w:t>, 307-309.</w:t>
      </w:r>
      <w:bookmarkEnd w:id="525"/>
    </w:p>
    <w:p w:rsidR="00512D09" w:rsidRPr="00610E48" w:rsidRDefault="00512D09" w:rsidP="00512D09">
      <w:pPr>
        <w:spacing w:after="0" w:line="240" w:lineRule="auto"/>
        <w:rPr>
          <w:rFonts w:ascii="Calibri" w:hAnsi="Calibri"/>
          <w:noProof/>
          <w:sz w:val="20"/>
          <w:szCs w:val="20"/>
        </w:rPr>
      </w:pPr>
      <w:bookmarkStart w:id="526" w:name="_ENREF_291"/>
      <w:r w:rsidRPr="00610E48">
        <w:rPr>
          <w:rFonts w:ascii="Calibri" w:hAnsi="Calibri"/>
          <w:noProof/>
          <w:sz w:val="20"/>
          <w:szCs w:val="20"/>
        </w:rPr>
        <w:tab/>
        <w:t>(291)</w:t>
      </w:r>
      <w:r w:rsidRPr="00610E48">
        <w:rPr>
          <w:rFonts w:ascii="Calibri" w:hAnsi="Calibri"/>
          <w:noProof/>
          <w:sz w:val="20"/>
          <w:szCs w:val="20"/>
        </w:rPr>
        <w:tab/>
        <w:t xml:space="preserve">Selle, P. H.; Ravindran, V.; Caldwell, A.; Bryden, W. L.: Phytate and phytase: consequences for protein utilisation. </w:t>
      </w:r>
      <w:r w:rsidRPr="00610E48">
        <w:rPr>
          <w:rFonts w:ascii="Calibri" w:hAnsi="Calibri"/>
          <w:i/>
          <w:noProof/>
          <w:sz w:val="20"/>
          <w:szCs w:val="20"/>
        </w:rPr>
        <w:t>Nutrition Research Reviews,</w:t>
      </w:r>
      <w:r w:rsidRPr="00610E48">
        <w:rPr>
          <w:rFonts w:ascii="Calibri" w:hAnsi="Calibri"/>
          <w:noProof/>
          <w:sz w:val="20"/>
          <w:szCs w:val="20"/>
        </w:rPr>
        <w:t xml:space="preserve"> </w:t>
      </w:r>
      <w:r w:rsidRPr="00610E48">
        <w:rPr>
          <w:rFonts w:ascii="Calibri" w:hAnsi="Calibri"/>
          <w:b/>
          <w:noProof/>
          <w:sz w:val="20"/>
          <w:szCs w:val="20"/>
        </w:rPr>
        <w:t>2000</w:t>
      </w:r>
      <w:r w:rsidRPr="00610E48">
        <w:rPr>
          <w:rFonts w:ascii="Calibri" w:hAnsi="Calibri"/>
          <w:noProof/>
          <w:sz w:val="20"/>
          <w:szCs w:val="20"/>
        </w:rPr>
        <w:t xml:space="preserve">, </w:t>
      </w:r>
      <w:r w:rsidRPr="00610E48">
        <w:rPr>
          <w:rFonts w:ascii="Calibri" w:hAnsi="Calibri"/>
          <w:i/>
          <w:noProof/>
          <w:sz w:val="20"/>
          <w:szCs w:val="20"/>
        </w:rPr>
        <w:t>13</w:t>
      </w:r>
      <w:r w:rsidRPr="00610E48">
        <w:rPr>
          <w:rFonts w:ascii="Calibri" w:hAnsi="Calibri"/>
          <w:noProof/>
          <w:sz w:val="20"/>
          <w:szCs w:val="20"/>
        </w:rPr>
        <w:t>, 255-278.</w:t>
      </w:r>
      <w:bookmarkEnd w:id="526"/>
    </w:p>
    <w:p w:rsidR="00512D09" w:rsidRPr="00610E48" w:rsidRDefault="00512D09" w:rsidP="00512D09">
      <w:pPr>
        <w:spacing w:after="0" w:line="240" w:lineRule="auto"/>
        <w:rPr>
          <w:rFonts w:ascii="Calibri" w:hAnsi="Calibri"/>
          <w:noProof/>
          <w:sz w:val="20"/>
          <w:szCs w:val="20"/>
        </w:rPr>
      </w:pPr>
      <w:bookmarkStart w:id="527" w:name="_ENREF_292"/>
      <w:r w:rsidRPr="00610E48">
        <w:rPr>
          <w:rFonts w:ascii="Calibri" w:hAnsi="Calibri"/>
          <w:noProof/>
          <w:sz w:val="20"/>
          <w:szCs w:val="20"/>
        </w:rPr>
        <w:tab/>
        <w:t>(292)</w:t>
      </w:r>
      <w:r w:rsidRPr="00610E48">
        <w:rPr>
          <w:rFonts w:ascii="Calibri" w:hAnsi="Calibri"/>
          <w:noProof/>
          <w:sz w:val="20"/>
          <w:szCs w:val="20"/>
        </w:rPr>
        <w:tab/>
        <w:t xml:space="preserve">Singh, M.; Krikorian, A. D.: Inhibition of trypsin activity in vitro by phytate.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1982</w:t>
      </w:r>
      <w:r w:rsidRPr="00610E48">
        <w:rPr>
          <w:rFonts w:ascii="Calibri" w:hAnsi="Calibri"/>
          <w:noProof/>
          <w:sz w:val="20"/>
          <w:szCs w:val="20"/>
        </w:rPr>
        <w:t xml:space="preserve">, </w:t>
      </w:r>
      <w:r w:rsidRPr="00610E48">
        <w:rPr>
          <w:rFonts w:ascii="Calibri" w:hAnsi="Calibri"/>
          <w:i/>
          <w:noProof/>
          <w:sz w:val="20"/>
          <w:szCs w:val="20"/>
        </w:rPr>
        <w:t>30</w:t>
      </w:r>
      <w:r w:rsidRPr="00610E48">
        <w:rPr>
          <w:rFonts w:ascii="Calibri" w:hAnsi="Calibri"/>
          <w:noProof/>
          <w:sz w:val="20"/>
          <w:szCs w:val="20"/>
        </w:rPr>
        <w:t>, 799-800.</w:t>
      </w:r>
      <w:bookmarkEnd w:id="527"/>
    </w:p>
    <w:p w:rsidR="00512D09" w:rsidRPr="00610E48" w:rsidRDefault="00512D09" w:rsidP="00512D09">
      <w:pPr>
        <w:spacing w:after="0" w:line="240" w:lineRule="auto"/>
        <w:rPr>
          <w:rFonts w:ascii="Calibri" w:hAnsi="Calibri"/>
          <w:noProof/>
          <w:sz w:val="20"/>
          <w:szCs w:val="20"/>
        </w:rPr>
      </w:pPr>
      <w:bookmarkStart w:id="528" w:name="_ENREF_293"/>
      <w:r w:rsidRPr="00610E48">
        <w:rPr>
          <w:rFonts w:ascii="Calibri" w:hAnsi="Calibri"/>
          <w:noProof/>
          <w:sz w:val="20"/>
          <w:szCs w:val="20"/>
        </w:rPr>
        <w:tab/>
        <w:t>(293)</w:t>
      </w:r>
      <w:r w:rsidRPr="00610E48">
        <w:rPr>
          <w:rFonts w:ascii="Calibri" w:hAnsi="Calibri"/>
          <w:noProof/>
          <w:sz w:val="20"/>
          <w:szCs w:val="20"/>
        </w:rPr>
        <w:tab/>
        <w:t xml:space="preserve">Kemme, P. A.; Jongbloed, A. W.; Mroz, Z.; Kogut, J.; Beynen, A. C.: Digestibility of nutrients in growing–finishing pigs is affected by Aspergillus niger phytase, phytate and lactic acid levels: 1. Apparent ileal digestibility of amino acids. </w:t>
      </w:r>
      <w:r w:rsidRPr="00610E48">
        <w:rPr>
          <w:rFonts w:ascii="Calibri" w:hAnsi="Calibri"/>
          <w:i/>
          <w:noProof/>
          <w:sz w:val="20"/>
          <w:szCs w:val="20"/>
        </w:rPr>
        <w:t>Livestock Production Science,</w:t>
      </w:r>
      <w:r w:rsidRPr="00610E48">
        <w:rPr>
          <w:rFonts w:ascii="Calibri" w:hAnsi="Calibri"/>
          <w:noProof/>
          <w:sz w:val="20"/>
          <w:szCs w:val="20"/>
        </w:rPr>
        <w:t xml:space="preserve"> </w:t>
      </w:r>
      <w:r w:rsidRPr="00610E48">
        <w:rPr>
          <w:rFonts w:ascii="Calibri" w:hAnsi="Calibri"/>
          <w:b/>
          <w:noProof/>
          <w:sz w:val="20"/>
          <w:szCs w:val="20"/>
        </w:rPr>
        <w:t>1999</w:t>
      </w:r>
      <w:r w:rsidRPr="00610E48">
        <w:rPr>
          <w:rFonts w:ascii="Calibri" w:hAnsi="Calibri"/>
          <w:noProof/>
          <w:sz w:val="20"/>
          <w:szCs w:val="20"/>
        </w:rPr>
        <w:t xml:space="preserve">, </w:t>
      </w:r>
      <w:r w:rsidRPr="00610E48">
        <w:rPr>
          <w:rFonts w:ascii="Calibri" w:hAnsi="Calibri"/>
          <w:i/>
          <w:noProof/>
          <w:sz w:val="20"/>
          <w:szCs w:val="20"/>
        </w:rPr>
        <w:t>58</w:t>
      </w:r>
      <w:r w:rsidRPr="00610E48">
        <w:rPr>
          <w:rFonts w:ascii="Calibri" w:hAnsi="Calibri"/>
          <w:noProof/>
          <w:sz w:val="20"/>
          <w:szCs w:val="20"/>
        </w:rPr>
        <w:t>, 107-117.</w:t>
      </w:r>
      <w:bookmarkEnd w:id="528"/>
    </w:p>
    <w:p w:rsidR="00512D09" w:rsidRPr="00610E48" w:rsidRDefault="00512D09" w:rsidP="00512D09">
      <w:pPr>
        <w:spacing w:after="0" w:line="240" w:lineRule="auto"/>
        <w:rPr>
          <w:rFonts w:ascii="Calibri" w:hAnsi="Calibri"/>
          <w:noProof/>
          <w:sz w:val="20"/>
          <w:szCs w:val="20"/>
        </w:rPr>
      </w:pPr>
      <w:bookmarkStart w:id="529" w:name="_ENREF_294"/>
      <w:r w:rsidRPr="00610E48">
        <w:rPr>
          <w:rFonts w:ascii="Calibri" w:hAnsi="Calibri"/>
          <w:noProof/>
          <w:sz w:val="20"/>
          <w:szCs w:val="20"/>
        </w:rPr>
        <w:tab/>
        <w:t>(294)</w:t>
      </w:r>
      <w:r w:rsidRPr="00610E48">
        <w:rPr>
          <w:rFonts w:ascii="Calibri" w:hAnsi="Calibri"/>
          <w:noProof/>
          <w:sz w:val="20"/>
          <w:szCs w:val="20"/>
        </w:rPr>
        <w:tab/>
        <w:t xml:space="preserve">Deshpande, S. S.; Damodaran, S.: Effect of Phytate on Solubility, Activity and Conformation of Trypsin and Chymotrypsin. </w:t>
      </w:r>
      <w:r w:rsidRPr="00610E48">
        <w:rPr>
          <w:rFonts w:ascii="Calibri" w:hAnsi="Calibri"/>
          <w:i/>
          <w:noProof/>
          <w:sz w:val="20"/>
          <w:szCs w:val="20"/>
        </w:rPr>
        <w:t>Journal of Food Science,</w:t>
      </w:r>
      <w:r w:rsidRPr="00610E48">
        <w:rPr>
          <w:rFonts w:ascii="Calibri" w:hAnsi="Calibri"/>
          <w:noProof/>
          <w:sz w:val="20"/>
          <w:szCs w:val="20"/>
        </w:rPr>
        <w:t xml:space="preserve"> </w:t>
      </w:r>
      <w:r w:rsidRPr="00610E48">
        <w:rPr>
          <w:rFonts w:ascii="Calibri" w:hAnsi="Calibri"/>
          <w:b/>
          <w:noProof/>
          <w:sz w:val="20"/>
          <w:szCs w:val="20"/>
        </w:rPr>
        <w:t>1989</w:t>
      </w:r>
      <w:r w:rsidRPr="00610E48">
        <w:rPr>
          <w:rFonts w:ascii="Calibri" w:hAnsi="Calibri"/>
          <w:noProof/>
          <w:sz w:val="20"/>
          <w:szCs w:val="20"/>
        </w:rPr>
        <w:t xml:space="preserve">, </w:t>
      </w:r>
      <w:r w:rsidRPr="00610E48">
        <w:rPr>
          <w:rFonts w:ascii="Calibri" w:hAnsi="Calibri"/>
          <w:i/>
          <w:noProof/>
          <w:sz w:val="20"/>
          <w:szCs w:val="20"/>
        </w:rPr>
        <w:t>54</w:t>
      </w:r>
      <w:r w:rsidRPr="00610E48">
        <w:rPr>
          <w:rFonts w:ascii="Calibri" w:hAnsi="Calibri"/>
          <w:noProof/>
          <w:sz w:val="20"/>
          <w:szCs w:val="20"/>
        </w:rPr>
        <w:t>, 695-699.</w:t>
      </w:r>
      <w:bookmarkEnd w:id="529"/>
    </w:p>
    <w:p w:rsidR="00512D09" w:rsidRPr="00610E48" w:rsidRDefault="00512D09" w:rsidP="00512D09">
      <w:pPr>
        <w:spacing w:after="0" w:line="240" w:lineRule="auto"/>
        <w:rPr>
          <w:rFonts w:ascii="Calibri" w:hAnsi="Calibri"/>
          <w:noProof/>
          <w:sz w:val="20"/>
          <w:szCs w:val="20"/>
        </w:rPr>
      </w:pPr>
      <w:bookmarkStart w:id="530" w:name="_ENREF_295"/>
      <w:r w:rsidRPr="00610E48">
        <w:rPr>
          <w:rFonts w:ascii="Calibri" w:hAnsi="Calibri"/>
          <w:noProof/>
          <w:sz w:val="20"/>
          <w:szCs w:val="20"/>
        </w:rPr>
        <w:tab/>
        <w:t>(295)</w:t>
      </w:r>
      <w:r w:rsidRPr="00610E48">
        <w:rPr>
          <w:rFonts w:ascii="Calibri" w:hAnsi="Calibri"/>
          <w:noProof/>
          <w:sz w:val="20"/>
          <w:szCs w:val="20"/>
        </w:rPr>
        <w:tab/>
        <w:t xml:space="preserve">Whitcomb, D. C.; Lowe, M. E.: Human pancreatic digestive enzymes. </w:t>
      </w:r>
      <w:r w:rsidRPr="00610E48">
        <w:rPr>
          <w:rFonts w:ascii="Calibri" w:hAnsi="Calibri"/>
          <w:i/>
          <w:noProof/>
          <w:sz w:val="20"/>
          <w:szCs w:val="20"/>
        </w:rPr>
        <w:t>Digestive diseases and sciences,</w:t>
      </w:r>
      <w:r w:rsidRPr="00610E48">
        <w:rPr>
          <w:rFonts w:ascii="Calibri" w:hAnsi="Calibri"/>
          <w:noProof/>
          <w:sz w:val="20"/>
          <w:szCs w:val="20"/>
        </w:rPr>
        <w:t xml:space="preserve"> </w:t>
      </w:r>
      <w:r w:rsidRPr="00610E48">
        <w:rPr>
          <w:rFonts w:ascii="Calibri" w:hAnsi="Calibri"/>
          <w:b/>
          <w:noProof/>
          <w:sz w:val="20"/>
          <w:szCs w:val="20"/>
        </w:rPr>
        <w:t>2007</w:t>
      </w:r>
      <w:r w:rsidRPr="00610E48">
        <w:rPr>
          <w:rFonts w:ascii="Calibri" w:hAnsi="Calibri"/>
          <w:noProof/>
          <w:sz w:val="20"/>
          <w:szCs w:val="20"/>
        </w:rPr>
        <w:t xml:space="preserve">, </w:t>
      </w:r>
      <w:r w:rsidRPr="00610E48">
        <w:rPr>
          <w:rFonts w:ascii="Calibri" w:hAnsi="Calibri"/>
          <w:i/>
          <w:noProof/>
          <w:sz w:val="20"/>
          <w:szCs w:val="20"/>
        </w:rPr>
        <w:t>52</w:t>
      </w:r>
      <w:r w:rsidRPr="00610E48">
        <w:rPr>
          <w:rFonts w:ascii="Calibri" w:hAnsi="Calibri"/>
          <w:noProof/>
          <w:sz w:val="20"/>
          <w:szCs w:val="20"/>
        </w:rPr>
        <w:t>, 1-17.</w:t>
      </w:r>
      <w:bookmarkEnd w:id="530"/>
    </w:p>
    <w:p w:rsidR="00512D09" w:rsidRPr="00610E48" w:rsidRDefault="00303EEB" w:rsidP="00512D09">
      <w:pPr>
        <w:spacing w:after="0" w:line="240" w:lineRule="auto"/>
        <w:rPr>
          <w:rFonts w:ascii="Calibri" w:hAnsi="Calibri"/>
          <w:noProof/>
          <w:sz w:val="20"/>
          <w:szCs w:val="20"/>
        </w:rPr>
      </w:pPr>
      <w:bookmarkStart w:id="531" w:name="_ENREF_296"/>
      <w:r w:rsidRPr="00610E48">
        <w:rPr>
          <w:rFonts w:ascii="Calibri" w:hAnsi="Calibri"/>
          <w:noProof/>
          <w:sz w:val="20"/>
          <w:szCs w:val="20"/>
        </w:rPr>
        <w:tab/>
        <w:t>(296)</w:t>
      </w:r>
      <w:r w:rsidRPr="00610E48">
        <w:rPr>
          <w:rFonts w:ascii="Calibri" w:hAnsi="Calibri"/>
          <w:noProof/>
          <w:sz w:val="20"/>
          <w:szCs w:val="20"/>
        </w:rPr>
        <w:tab/>
        <w:t>Kasimova, M.(2011)</w:t>
      </w:r>
      <w:r w:rsidR="00512D09" w:rsidRPr="00610E48">
        <w:rPr>
          <w:rFonts w:ascii="Calibri" w:hAnsi="Calibri"/>
          <w:noProof/>
          <w:sz w:val="20"/>
          <w:szCs w:val="20"/>
        </w:rPr>
        <w:t xml:space="preserve"> </w:t>
      </w:r>
      <w:r w:rsidR="00512D09" w:rsidRPr="00610E48">
        <w:rPr>
          <w:rFonts w:ascii="Calibri" w:hAnsi="Calibri"/>
          <w:i/>
          <w:noProof/>
          <w:sz w:val="20"/>
          <w:szCs w:val="20"/>
        </w:rPr>
        <w:t>Troubleshooting guide for Isothermal Titration Calorimetry</w:t>
      </w:r>
      <w:r w:rsidR="00512D09" w:rsidRPr="00610E48">
        <w:rPr>
          <w:rFonts w:ascii="Calibri" w:hAnsi="Calibri"/>
          <w:noProof/>
          <w:sz w:val="20"/>
          <w:szCs w:val="20"/>
        </w:rPr>
        <w:t xml:space="preserve">: University of Iowa, </w:t>
      </w:r>
      <w:bookmarkEnd w:id="531"/>
      <w:r w:rsidRPr="00610E48">
        <w:rPr>
          <w:rFonts w:ascii="Calibri" w:hAnsi="Calibri"/>
          <w:noProof/>
          <w:sz w:val="20"/>
          <w:szCs w:val="20"/>
        </w:rPr>
        <w:t xml:space="preserve">p.4. </w:t>
      </w:r>
      <w:r w:rsidRPr="00610E48">
        <w:rPr>
          <w:sz w:val="20"/>
          <w:szCs w:val="20"/>
        </w:rPr>
        <w:t xml:space="preserve">Available at: http:// </w:t>
      </w:r>
      <w:r w:rsidRPr="00610E48">
        <w:rPr>
          <w:sz w:val="20"/>
          <w:szCs w:val="20"/>
          <w:u w:val="single"/>
        </w:rPr>
        <w:t xml:space="preserve">http://www.cif.iastate.edu/sites/default/files/uploads/Other_Inst/ITC/TroubleshootingITC.pdf </w:t>
      </w:r>
      <w:r w:rsidRPr="00610E48">
        <w:rPr>
          <w:sz w:val="20"/>
          <w:szCs w:val="20"/>
        </w:rPr>
        <w:t>(Accessed: 28/07/2016)</w:t>
      </w:r>
    </w:p>
    <w:p w:rsidR="00512D09" w:rsidRPr="00610E48" w:rsidRDefault="00512D09" w:rsidP="00512D09">
      <w:pPr>
        <w:spacing w:after="0" w:line="240" w:lineRule="auto"/>
        <w:rPr>
          <w:rFonts w:ascii="Calibri" w:hAnsi="Calibri"/>
          <w:noProof/>
          <w:sz w:val="20"/>
          <w:szCs w:val="20"/>
        </w:rPr>
      </w:pPr>
      <w:bookmarkStart w:id="532" w:name="_ENREF_297"/>
      <w:r w:rsidRPr="00610E48">
        <w:rPr>
          <w:rFonts w:ascii="Calibri" w:hAnsi="Calibri"/>
          <w:noProof/>
          <w:sz w:val="20"/>
          <w:szCs w:val="20"/>
        </w:rPr>
        <w:tab/>
        <w:t>(297)</w:t>
      </w:r>
      <w:r w:rsidRPr="00610E48">
        <w:rPr>
          <w:rFonts w:ascii="Calibri" w:hAnsi="Calibri"/>
          <w:noProof/>
          <w:sz w:val="20"/>
          <w:szCs w:val="20"/>
        </w:rPr>
        <w:tab/>
        <w:t xml:space="preserve">Veiga, N.; Torres, J.; Godage, H. Y.; Riley, A. M.; Domínguez, S.; Potter, B. V.; Díaz, A.; Kremer, C.: The behaviour of inositol 1, 3, 4, 5, 6-pentakisphosphate in the presence of the major biological metal cations. </w:t>
      </w:r>
      <w:r w:rsidRPr="00610E48">
        <w:rPr>
          <w:rFonts w:ascii="Calibri" w:hAnsi="Calibri"/>
          <w:i/>
          <w:noProof/>
          <w:sz w:val="20"/>
          <w:szCs w:val="20"/>
        </w:rPr>
        <w:t>JBIC Journal of Biological Inorganic Chemistry,</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 xml:space="preserve">, </w:t>
      </w:r>
      <w:r w:rsidRPr="00610E48">
        <w:rPr>
          <w:rFonts w:ascii="Calibri" w:hAnsi="Calibri"/>
          <w:i/>
          <w:noProof/>
          <w:sz w:val="20"/>
          <w:szCs w:val="20"/>
        </w:rPr>
        <w:t>14</w:t>
      </w:r>
      <w:r w:rsidRPr="00610E48">
        <w:rPr>
          <w:rFonts w:ascii="Calibri" w:hAnsi="Calibri"/>
          <w:noProof/>
          <w:sz w:val="20"/>
          <w:szCs w:val="20"/>
        </w:rPr>
        <w:t>, 1001-1013.</w:t>
      </w:r>
      <w:bookmarkEnd w:id="532"/>
    </w:p>
    <w:p w:rsidR="00512D09" w:rsidRPr="00610E48" w:rsidRDefault="00512D09" w:rsidP="00512D09">
      <w:pPr>
        <w:spacing w:after="0" w:line="240" w:lineRule="auto"/>
        <w:rPr>
          <w:rFonts w:ascii="Calibri" w:hAnsi="Calibri"/>
          <w:noProof/>
          <w:sz w:val="20"/>
          <w:szCs w:val="20"/>
        </w:rPr>
      </w:pPr>
      <w:bookmarkStart w:id="533" w:name="_ENREF_298"/>
      <w:r w:rsidRPr="00610E48">
        <w:rPr>
          <w:rFonts w:ascii="Calibri" w:hAnsi="Calibri"/>
          <w:noProof/>
          <w:sz w:val="20"/>
          <w:szCs w:val="20"/>
        </w:rPr>
        <w:lastRenderedPageBreak/>
        <w:tab/>
        <w:t>(298)</w:t>
      </w:r>
      <w:r w:rsidRPr="00610E48">
        <w:rPr>
          <w:rFonts w:ascii="Calibri" w:hAnsi="Calibri"/>
          <w:noProof/>
          <w:sz w:val="20"/>
          <w:szCs w:val="20"/>
        </w:rPr>
        <w:tab/>
        <w:t xml:space="preserve">Dersjant-Li, Y.; Awati, A.; Schulze, H.; Partridge, G.: Phytase in non-ruminant animal nutrition: a critical review on phytase activities in the gastrointestinal tract and influencing factors. </w:t>
      </w:r>
      <w:r w:rsidRPr="00610E48">
        <w:rPr>
          <w:rFonts w:ascii="Calibri" w:hAnsi="Calibri"/>
          <w:i/>
          <w:noProof/>
          <w:sz w:val="20"/>
          <w:szCs w:val="20"/>
        </w:rPr>
        <w:t>Journal of the Science of Food and Agriculture,</w:t>
      </w:r>
      <w:r w:rsidRPr="00610E48">
        <w:rPr>
          <w:rFonts w:ascii="Calibri" w:hAnsi="Calibri"/>
          <w:noProof/>
          <w:sz w:val="20"/>
          <w:szCs w:val="20"/>
        </w:rPr>
        <w:t xml:space="preserve"> </w:t>
      </w:r>
      <w:r w:rsidRPr="00610E48">
        <w:rPr>
          <w:rFonts w:ascii="Calibri" w:hAnsi="Calibri"/>
          <w:b/>
          <w:noProof/>
          <w:sz w:val="20"/>
          <w:szCs w:val="20"/>
        </w:rPr>
        <w:t>2015</w:t>
      </w:r>
      <w:r w:rsidRPr="00610E48">
        <w:rPr>
          <w:rFonts w:ascii="Calibri" w:hAnsi="Calibri"/>
          <w:noProof/>
          <w:sz w:val="20"/>
          <w:szCs w:val="20"/>
        </w:rPr>
        <w:t xml:space="preserve">, </w:t>
      </w:r>
      <w:r w:rsidRPr="00610E48">
        <w:rPr>
          <w:rFonts w:ascii="Calibri" w:hAnsi="Calibri"/>
          <w:i/>
          <w:noProof/>
          <w:sz w:val="20"/>
          <w:szCs w:val="20"/>
        </w:rPr>
        <w:t>95</w:t>
      </w:r>
      <w:r w:rsidRPr="00610E48">
        <w:rPr>
          <w:rFonts w:ascii="Calibri" w:hAnsi="Calibri"/>
          <w:noProof/>
          <w:sz w:val="20"/>
          <w:szCs w:val="20"/>
        </w:rPr>
        <w:t>, 878-896.</w:t>
      </w:r>
      <w:bookmarkEnd w:id="533"/>
    </w:p>
    <w:p w:rsidR="00512D09" w:rsidRPr="00610E48" w:rsidRDefault="00512D09" w:rsidP="00512D09">
      <w:pPr>
        <w:spacing w:after="0" w:line="240" w:lineRule="auto"/>
        <w:rPr>
          <w:rFonts w:ascii="Calibri" w:hAnsi="Calibri"/>
          <w:noProof/>
          <w:sz w:val="20"/>
          <w:szCs w:val="20"/>
        </w:rPr>
      </w:pPr>
      <w:bookmarkStart w:id="534" w:name="_ENREF_299"/>
      <w:r w:rsidRPr="00610E48">
        <w:rPr>
          <w:rFonts w:ascii="Calibri" w:hAnsi="Calibri"/>
          <w:noProof/>
          <w:sz w:val="20"/>
          <w:szCs w:val="20"/>
        </w:rPr>
        <w:tab/>
        <w:t>(299)</w:t>
      </w:r>
      <w:r w:rsidRPr="00610E48">
        <w:rPr>
          <w:rFonts w:ascii="Calibri" w:hAnsi="Calibri"/>
          <w:noProof/>
          <w:sz w:val="20"/>
          <w:szCs w:val="20"/>
        </w:rPr>
        <w:tab/>
        <w:t xml:space="preserve">Ha, C. E.; Bhagavan, N. V.: Novel insights into the pleiotropic effects of human serum albumin in health and disease. </w:t>
      </w:r>
      <w:r w:rsidRPr="00610E48">
        <w:rPr>
          <w:rFonts w:ascii="Calibri" w:hAnsi="Calibri"/>
          <w:i/>
          <w:noProof/>
          <w:sz w:val="20"/>
          <w:szCs w:val="20"/>
        </w:rPr>
        <w:t>Biochimica et Biophysica Acta (BBA) - General Subjects,</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1830</w:t>
      </w:r>
      <w:r w:rsidRPr="00610E48">
        <w:rPr>
          <w:rFonts w:ascii="Calibri" w:hAnsi="Calibri"/>
          <w:noProof/>
          <w:sz w:val="20"/>
          <w:szCs w:val="20"/>
        </w:rPr>
        <w:t>, 5486-93.</w:t>
      </w:r>
      <w:bookmarkEnd w:id="534"/>
    </w:p>
    <w:p w:rsidR="00512D09" w:rsidRPr="00610E48" w:rsidRDefault="00512D09" w:rsidP="00512D09">
      <w:pPr>
        <w:spacing w:after="0" w:line="240" w:lineRule="auto"/>
        <w:rPr>
          <w:rFonts w:ascii="Calibri" w:hAnsi="Calibri"/>
          <w:noProof/>
          <w:sz w:val="20"/>
          <w:szCs w:val="20"/>
        </w:rPr>
      </w:pPr>
      <w:bookmarkStart w:id="535" w:name="_ENREF_300"/>
      <w:r w:rsidRPr="00610E48">
        <w:rPr>
          <w:rFonts w:ascii="Calibri" w:hAnsi="Calibri"/>
          <w:noProof/>
          <w:sz w:val="20"/>
          <w:szCs w:val="20"/>
        </w:rPr>
        <w:tab/>
        <w:t>(300)</w:t>
      </w:r>
      <w:r w:rsidRPr="00610E48">
        <w:rPr>
          <w:rFonts w:ascii="Calibri" w:hAnsi="Calibri"/>
          <w:noProof/>
          <w:sz w:val="20"/>
          <w:szCs w:val="20"/>
        </w:rPr>
        <w:tab/>
        <w:t xml:space="preserve">Kragh-Hansen, U.; Minchiotti, L.; Galliano, M.; Peters, T., Jr.: Human serum albumin isoforms: genetic and molecular aspects and functional consequences. </w:t>
      </w:r>
      <w:r w:rsidRPr="00610E48">
        <w:rPr>
          <w:rFonts w:ascii="Calibri" w:hAnsi="Calibri"/>
          <w:i/>
          <w:noProof/>
          <w:sz w:val="20"/>
          <w:szCs w:val="20"/>
        </w:rPr>
        <w:t>Biochimica et Biophysica Acta (BBA) - General Subjects,</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1830</w:t>
      </w:r>
      <w:r w:rsidRPr="00610E48">
        <w:rPr>
          <w:rFonts w:ascii="Calibri" w:hAnsi="Calibri"/>
          <w:noProof/>
          <w:sz w:val="20"/>
          <w:szCs w:val="20"/>
        </w:rPr>
        <w:t>, 5405-17.</w:t>
      </w:r>
      <w:bookmarkEnd w:id="535"/>
    </w:p>
    <w:p w:rsidR="00512D09" w:rsidRPr="00610E48" w:rsidRDefault="00512D09" w:rsidP="00512D09">
      <w:pPr>
        <w:spacing w:after="0" w:line="240" w:lineRule="auto"/>
        <w:rPr>
          <w:rFonts w:ascii="Calibri" w:hAnsi="Calibri"/>
          <w:noProof/>
          <w:sz w:val="20"/>
          <w:szCs w:val="20"/>
        </w:rPr>
      </w:pPr>
      <w:bookmarkStart w:id="536" w:name="_ENREF_301"/>
      <w:r w:rsidRPr="00610E48">
        <w:rPr>
          <w:rFonts w:ascii="Calibri" w:hAnsi="Calibri"/>
          <w:noProof/>
          <w:sz w:val="20"/>
          <w:szCs w:val="20"/>
        </w:rPr>
        <w:tab/>
        <w:t>(301)</w:t>
      </w:r>
      <w:r w:rsidRPr="00610E48">
        <w:rPr>
          <w:rFonts w:ascii="Calibri" w:hAnsi="Calibri"/>
          <w:noProof/>
          <w:sz w:val="20"/>
          <w:szCs w:val="20"/>
        </w:rPr>
        <w:tab/>
        <w:t xml:space="preserve">Simard, J. R.; Zunszain, P. A.; Hamilton, J. A.; Curry, S.: Location of high and low affinity fatty acid binding sites on human serum albumin revealed by NMR drug-competition analysis.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361</w:t>
      </w:r>
      <w:r w:rsidRPr="00610E48">
        <w:rPr>
          <w:rFonts w:ascii="Calibri" w:hAnsi="Calibri"/>
          <w:noProof/>
          <w:sz w:val="20"/>
          <w:szCs w:val="20"/>
        </w:rPr>
        <w:t>, 336-51.</w:t>
      </w:r>
      <w:bookmarkEnd w:id="536"/>
    </w:p>
    <w:p w:rsidR="00512D09" w:rsidRPr="00610E48" w:rsidRDefault="00512D09" w:rsidP="00512D09">
      <w:pPr>
        <w:spacing w:after="0" w:line="240" w:lineRule="auto"/>
        <w:rPr>
          <w:rFonts w:ascii="Calibri" w:hAnsi="Calibri"/>
          <w:noProof/>
          <w:sz w:val="20"/>
          <w:szCs w:val="20"/>
        </w:rPr>
      </w:pPr>
      <w:bookmarkStart w:id="537" w:name="_ENREF_302"/>
      <w:r w:rsidRPr="00610E48">
        <w:rPr>
          <w:rFonts w:ascii="Calibri" w:hAnsi="Calibri"/>
          <w:noProof/>
          <w:sz w:val="20"/>
          <w:szCs w:val="20"/>
        </w:rPr>
        <w:tab/>
        <w:t>(302)</w:t>
      </w:r>
      <w:r w:rsidRPr="00610E48">
        <w:rPr>
          <w:rFonts w:ascii="Calibri" w:hAnsi="Calibri"/>
          <w:noProof/>
          <w:sz w:val="20"/>
          <w:szCs w:val="20"/>
        </w:rPr>
        <w:tab/>
        <w:t xml:space="preserve">Sippl, M. J.: Calculation of conformational ensembles from potentials of mena force: an approach to the knowledge-based prediction of local structures in globular proteins. </w:t>
      </w:r>
      <w:r w:rsidRPr="00610E48">
        <w:rPr>
          <w:rFonts w:ascii="Calibri" w:hAnsi="Calibri"/>
          <w:i/>
          <w:noProof/>
          <w:sz w:val="20"/>
          <w:szCs w:val="20"/>
        </w:rPr>
        <w:t>Journal of Molecular Biology,</w:t>
      </w:r>
      <w:r w:rsidRPr="00610E48">
        <w:rPr>
          <w:rFonts w:ascii="Calibri" w:hAnsi="Calibri"/>
          <w:noProof/>
          <w:sz w:val="20"/>
          <w:szCs w:val="20"/>
        </w:rPr>
        <w:t xml:space="preserve"> </w:t>
      </w:r>
      <w:r w:rsidRPr="00610E48">
        <w:rPr>
          <w:rFonts w:ascii="Calibri" w:hAnsi="Calibri"/>
          <w:b/>
          <w:noProof/>
          <w:sz w:val="20"/>
          <w:szCs w:val="20"/>
        </w:rPr>
        <w:t>1990</w:t>
      </w:r>
      <w:r w:rsidRPr="00610E48">
        <w:rPr>
          <w:rFonts w:ascii="Calibri" w:hAnsi="Calibri"/>
          <w:noProof/>
          <w:sz w:val="20"/>
          <w:szCs w:val="20"/>
        </w:rPr>
        <w:t xml:space="preserve">, </w:t>
      </w:r>
      <w:r w:rsidRPr="00610E48">
        <w:rPr>
          <w:rFonts w:ascii="Calibri" w:hAnsi="Calibri"/>
          <w:i/>
          <w:noProof/>
          <w:sz w:val="20"/>
          <w:szCs w:val="20"/>
        </w:rPr>
        <w:t>213</w:t>
      </w:r>
      <w:r w:rsidRPr="00610E48">
        <w:rPr>
          <w:rFonts w:ascii="Calibri" w:hAnsi="Calibri"/>
          <w:noProof/>
          <w:sz w:val="20"/>
          <w:szCs w:val="20"/>
        </w:rPr>
        <w:t>, 859-883.</w:t>
      </w:r>
      <w:bookmarkEnd w:id="537"/>
    </w:p>
    <w:p w:rsidR="00512D09" w:rsidRPr="00610E48" w:rsidRDefault="00512D09" w:rsidP="00512D09">
      <w:pPr>
        <w:spacing w:after="0" w:line="240" w:lineRule="auto"/>
        <w:rPr>
          <w:rFonts w:ascii="Calibri" w:hAnsi="Calibri"/>
          <w:noProof/>
          <w:sz w:val="20"/>
          <w:szCs w:val="20"/>
        </w:rPr>
      </w:pPr>
      <w:bookmarkStart w:id="538" w:name="_ENREF_303"/>
      <w:r w:rsidRPr="00610E48">
        <w:rPr>
          <w:rFonts w:ascii="Calibri" w:hAnsi="Calibri"/>
          <w:noProof/>
          <w:sz w:val="20"/>
          <w:szCs w:val="20"/>
        </w:rPr>
        <w:tab/>
        <w:t>(303)</w:t>
      </w:r>
      <w:r w:rsidRPr="00610E48">
        <w:rPr>
          <w:rFonts w:ascii="Calibri" w:hAnsi="Calibri"/>
          <w:noProof/>
          <w:sz w:val="20"/>
          <w:szCs w:val="20"/>
        </w:rPr>
        <w:tab/>
        <w:t xml:space="preserve">Wang, Y.; Yu, H.; Shi, X.; Luo, Z.; Lin, D.; Huang, M.: Structural Mechanism of Ring-opening Reaction of Glucose by Human Serum Albumin.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288</w:t>
      </w:r>
      <w:r w:rsidRPr="00610E48">
        <w:rPr>
          <w:rFonts w:ascii="Calibri" w:hAnsi="Calibri"/>
          <w:noProof/>
          <w:sz w:val="20"/>
          <w:szCs w:val="20"/>
        </w:rPr>
        <w:t>, 15980-15987.</w:t>
      </w:r>
      <w:bookmarkEnd w:id="538"/>
    </w:p>
    <w:p w:rsidR="00512D09" w:rsidRPr="00610E48" w:rsidRDefault="00512D09" w:rsidP="00512D09">
      <w:pPr>
        <w:spacing w:after="0" w:line="240" w:lineRule="auto"/>
        <w:rPr>
          <w:rFonts w:ascii="Calibri" w:hAnsi="Calibri"/>
          <w:noProof/>
          <w:sz w:val="20"/>
          <w:szCs w:val="20"/>
        </w:rPr>
      </w:pPr>
      <w:bookmarkStart w:id="539" w:name="_ENREF_304"/>
      <w:r w:rsidRPr="00610E48">
        <w:rPr>
          <w:rFonts w:ascii="Calibri" w:hAnsi="Calibri"/>
          <w:noProof/>
          <w:sz w:val="20"/>
          <w:szCs w:val="20"/>
        </w:rPr>
        <w:tab/>
        <w:t>(304)</w:t>
      </w:r>
      <w:r w:rsidRPr="00610E48">
        <w:rPr>
          <w:rFonts w:ascii="Calibri" w:hAnsi="Calibri"/>
          <w:noProof/>
          <w:sz w:val="20"/>
          <w:szCs w:val="20"/>
        </w:rPr>
        <w:tab/>
        <w:t xml:space="preserve">Kragh-Hansen, U.: Molecular and practical aspects of the enzymatic properties of human serum albumin and of albumin-ligand complexes. </w:t>
      </w:r>
      <w:r w:rsidRPr="00610E48">
        <w:rPr>
          <w:rFonts w:ascii="Calibri" w:hAnsi="Calibri"/>
          <w:i/>
          <w:noProof/>
          <w:sz w:val="20"/>
          <w:szCs w:val="20"/>
        </w:rPr>
        <w:t>Biochimica et biophysica acta,</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1830</w:t>
      </w:r>
      <w:r w:rsidRPr="00610E48">
        <w:rPr>
          <w:rFonts w:ascii="Calibri" w:hAnsi="Calibri"/>
          <w:noProof/>
          <w:sz w:val="20"/>
          <w:szCs w:val="20"/>
        </w:rPr>
        <w:t>, 5535-44.</w:t>
      </w:r>
      <w:bookmarkEnd w:id="539"/>
    </w:p>
    <w:p w:rsidR="00512D09" w:rsidRPr="00610E48" w:rsidRDefault="00512D09" w:rsidP="00512D09">
      <w:pPr>
        <w:spacing w:after="0" w:line="240" w:lineRule="auto"/>
        <w:rPr>
          <w:rFonts w:ascii="Calibri" w:hAnsi="Calibri"/>
          <w:noProof/>
          <w:sz w:val="20"/>
          <w:szCs w:val="20"/>
        </w:rPr>
      </w:pPr>
      <w:bookmarkStart w:id="540" w:name="_ENREF_305"/>
      <w:r w:rsidRPr="00610E48">
        <w:rPr>
          <w:rFonts w:ascii="Calibri" w:hAnsi="Calibri"/>
          <w:noProof/>
          <w:sz w:val="20"/>
          <w:szCs w:val="20"/>
        </w:rPr>
        <w:tab/>
        <w:t>(305)</w:t>
      </w:r>
      <w:r w:rsidRPr="00610E48">
        <w:rPr>
          <w:rFonts w:ascii="Calibri" w:hAnsi="Calibri"/>
          <w:noProof/>
          <w:sz w:val="20"/>
          <w:szCs w:val="20"/>
        </w:rPr>
        <w:tab/>
        <w:t xml:space="preserve">Zhu, L.; Yang, F.; Chen, L.; Meehan, E. J.; Huang, M.: A new drug binding subsite on human serum albumin and drug-drug interaction studied by X-ray crystallography. </w:t>
      </w:r>
      <w:r w:rsidRPr="00610E48">
        <w:rPr>
          <w:rFonts w:ascii="Calibri" w:hAnsi="Calibri"/>
          <w:i/>
          <w:noProof/>
          <w:sz w:val="20"/>
          <w:szCs w:val="20"/>
        </w:rPr>
        <w:t>Journal of Structural Biology,</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162</w:t>
      </w:r>
      <w:r w:rsidRPr="00610E48">
        <w:rPr>
          <w:rFonts w:ascii="Calibri" w:hAnsi="Calibri"/>
          <w:noProof/>
          <w:sz w:val="20"/>
          <w:szCs w:val="20"/>
        </w:rPr>
        <w:t>, 40-49.</w:t>
      </w:r>
      <w:bookmarkEnd w:id="540"/>
    </w:p>
    <w:p w:rsidR="00512D09" w:rsidRPr="00610E48" w:rsidRDefault="00512D09" w:rsidP="00512D09">
      <w:pPr>
        <w:spacing w:after="0" w:line="240" w:lineRule="auto"/>
        <w:rPr>
          <w:rFonts w:ascii="Calibri" w:hAnsi="Calibri"/>
          <w:noProof/>
          <w:sz w:val="20"/>
          <w:szCs w:val="20"/>
        </w:rPr>
      </w:pPr>
      <w:bookmarkStart w:id="541" w:name="_ENREF_306"/>
      <w:r w:rsidRPr="00610E48">
        <w:rPr>
          <w:rFonts w:ascii="Calibri" w:hAnsi="Calibri"/>
          <w:noProof/>
          <w:sz w:val="20"/>
          <w:szCs w:val="20"/>
        </w:rPr>
        <w:tab/>
        <w:t>(306)</w:t>
      </w:r>
      <w:r w:rsidRPr="00610E48">
        <w:rPr>
          <w:rFonts w:ascii="Calibri" w:hAnsi="Calibri"/>
          <w:noProof/>
          <w:sz w:val="20"/>
          <w:szCs w:val="20"/>
        </w:rPr>
        <w:tab/>
        <w:t xml:space="preserve">Sudlow, G.; Birkett, D. J.; Wade, D. N.: Further Characterization of Specific Drug Binding-Sites on Human-Serum Albumin. </w:t>
      </w:r>
      <w:r w:rsidRPr="00610E48">
        <w:rPr>
          <w:rFonts w:ascii="Calibri" w:hAnsi="Calibri"/>
          <w:i/>
          <w:noProof/>
          <w:sz w:val="20"/>
          <w:szCs w:val="20"/>
        </w:rPr>
        <w:t>Molecular Pharmacology,</w:t>
      </w:r>
      <w:r w:rsidRPr="00610E48">
        <w:rPr>
          <w:rFonts w:ascii="Calibri" w:hAnsi="Calibri"/>
          <w:noProof/>
          <w:sz w:val="20"/>
          <w:szCs w:val="20"/>
        </w:rPr>
        <w:t xml:space="preserve"> </w:t>
      </w:r>
      <w:r w:rsidRPr="00610E48">
        <w:rPr>
          <w:rFonts w:ascii="Calibri" w:hAnsi="Calibri"/>
          <w:b/>
          <w:noProof/>
          <w:sz w:val="20"/>
          <w:szCs w:val="20"/>
        </w:rPr>
        <w:t>1976</w:t>
      </w:r>
      <w:r w:rsidRPr="00610E48">
        <w:rPr>
          <w:rFonts w:ascii="Calibri" w:hAnsi="Calibri"/>
          <w:noProof/>
          <w:sz w:val="20"/>
          <w:szCs w:val="20"/>
        </w:rPr>
        <w:t xml:space="preserve">, </w:t>
      </w:r>
      <w:r w:rsidRPr="00610E48">
        <w:rPr>
          <w:rFonts w:ascii="Calibri" w:hAnsi="Calibri"/>
          <w:i/>
          <w:noProof/>
          <w:sz w:val="20"/>
          <w:szCs w:val="20"/>
        </w:rPr>
        <w:t>12</w:t>
      </w:r>
      <w:r w:rsidRPr="00610E48">
        <w:rPr>
          <w:rFonts w:ascii="Calibri" w:hAnsi="Calibri"/>
          <w:noProof/>
          <w:sz w:val="20"/>
          <w:szCs w:val="20"/>
        </w:rPr>
        <w:t>, 1052-1061.</w:t>
      </w:r>
      <w:bookmarkEnd w:id="541"/>
    </w:p>
    <w:p w:rsidR="00512D09" w:rsidRPr="00610E48" w:rsidRDefault="00512D09" w:rsidP="00512D09">
      <w:pPr>
        <w:spacing w:after="0" w:line="240" w:lineRule="auto"/>
        <w:rPr>
          <w:rFonts w:ascii="Calibri" w:hAnsi="Calibri"/>
          <w:noProof/>
          <w:sz w:val="20"/>
          <w:szCs w:val="20"/>
        </w:rPr>
      </w:pPr>
      <w:bookmarkStart w:id="542" w:name="_ENREF_307"/>
      <w:r w:rsidRPr="00610E48">
        <w:rPr>
          <w:rFonts w:ascii="Calibri" w:hAnsi="Calibri"/>
          <w:noProof/>
          <w:sz w:val="20"/>
          <w:szCs w:val="20"/>
        </w:rPr>
        <w:tab/>
        <w:t>(307)</w:t>
      </w:r>
      <w:r w:rsidRPr="00610E48">
        <w:rPr>
          <w:rFonts w:ascii="Calibri" w:hAnsi="Calibri"/>
          <w:noProof/>
          <w:sz w:val="20"/>
          <w:szCs w:val="20"/>
        </w:rPr>
        <w:tab/>
        <w:t xml:space="preserve">Kragh-Hansen, U.; Chuang, V. T. G.; Otagiri, M.: Practical aspects of the ligand-binding and enzymatic properties of human serum albumin. </w:t>
      </w:r>
      <w:r w:rsidRPr="00610E48">
        <w:rPr>
          <w:rFonts w:ascii="Calibri" w:hAnsi="Calibri"/>
          <w:i/>
          <w:noProof/>
          <w:sz w:val="20"/>
          <w:szCs w:val="20"/>
        </w:rPr>
        <w:t>Biol. Pharmacol. Bull.,</w:t>
      </w:r>
      <w:r w:rsidRPr="00610E48">
        <w:rPr>
          <w:rFonts w:ascii="Calibri" w:hAnsi="Calibri"/>
          <w:noProof/>
          <w:sz w:val="20"/>
          <w:szCs w:val="20"/>
        </w:rPr>
        <w:t xml:space="preserve"> </w:t>
      </w:r>
      <w:r w:rsidRPr="00610E48">
        <w:rPr>
          <w:rFonts w:ascii="Calibri" w:hAnsi="Calibri"/>
          <w:b/>
          <w:noProof/>
          <w:sz w:val="20"/>
          <w:szCs w:val="20"/>
        </w:rPr>
        <w:t>2002</w:t>
      </w:r>
      <w:r w:rsidRPr="00610E48">
        <w:rPr>
          <w:rFonts w:ascii="Calibri" w:hAnsi="Calibri"/>
          <w:noProof/>
          <w:sz w:val="20"/>
          <w:szCs w:val="20"/>
        </w:rPr>
        <w:t xml:space="preserve">, </w:t>
      </w:r>
      <w:r w:rsidRPr="00610E48">
        <w:rPr>
          <w:rFonts w:ascii="Calibri" w:hAnsi="Calibri"/>
          <w:i/>
          <w:noProof/>
          <w:sz w:val="20"/>
          <w:szCs w:val="20"/>
        </w:rPr>
        <w:t>25</w:t>
      </w:r>
      <w:r w:rsidRPr="00610E48">
        <w:rPr>
          <w:rFonts w:ascii="Calibri" w:hAnsi="Calibri"/>
          <w:noProof/>
          <w:sz w:val="20"/>
          <w:szCs w:val="20"/>
        </w:rPr>
        <w:t>, 695-704.</w:t>
      </w:r>
      <w:bookmarkEnd w:id="542"/>
    </w:p>
    <w:p w:rsidR="00512D09" w:rsidRPr="00610E48" w:rsidRDefault="00512D09" w:rsidP="00512D09">
      <w:pPr>
        <w:spacing w:after="0" w:line="240" w:lineRule="auto"/>
        <w:rPr>
          <w:rFonts w:ascii="Calibri" w:hAnsi="Calibri"/>
          <w:noProof/>
          <w:sz w:val="20"/>
          <w:szCs w:val="20"/>
        </w:rPr>
      </w:pPr>
      <w:bookmarkStart w:id="543" w:name="_ENREF_308"/>
      <w:r w:rsidRPr="00610E48">
        <w:rPr>
          <w:rFonts w:ascii="Calibri" w:hAnsi="Calibri"/>
          <w:noProof/>
          <w:sz w:val="20"/>
          <w:szCs w:val="20"/>
        </w:rPr>
        <w:tab/>
        <w:t>(308)</w:t>
      </w:r>
      <w:r w:rsidRPr="00610E48">
        <w:rPr>
          <w:rFonts w:ascii="Calibri" w:hAnsi="Calibri"/>
          <w:noProof/>
          <w:sz w:val="20"/>
          <w:szCs w:val="20"/>
        </w:rPr>
        <w:tab/>
        <w:t xml:space="preserve">Petitpas, I.; Bhattacharya, A. A.; Twine, S.; East, M.; Curry, S.: Crystal structure analysis of warfarin binding to human serum albumin - Anatomy of drug site I.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2001</w:t>
      </w:r>
      <w:r w:rsidRPr="00610E48">
        <w:rPr>
          <w:rFonts w:ascii="Calibri" w:hAnsi="Calibri"/>
          <w:noProof/>
          <w:sz w:val="20"/>
          <w:szCs w:val="20"/>
        </w:rPr>
        <w:t xml:space="preserve">, </w:t>
      </w:r>
      <w:r w:rsidRPr="00610E48">
        <w:rPr>
          <w:rFonts w:ascii="Calibri" w:hAnsi="Calibri"/>
          <w:i/>
          <w:noProof/>
          <w:sz w:val="20"/>
          <w:szCs w:val="20"/>
        </w:rPr>
        <w:t>276</w:t>
      </w:r>
      <w:r w:rsidRPr="00610E48">
        <w:rPr>
          <w:rFonts w:ascii="Calibri" w:hAnsi="Calibri"/>
          <w:noProof/>
          <w:sz w:val="20"/>
          <w:szCs w:val="20"/>
        </w:rPr>
        <w:t>, 22804-22809.</w:t>
      </w:r>
      <w:bookmarkEnd w:id="543"/>
    </w:p>
    <w:p w:rsidR="00512D09" w:rsidRPr="00610E48" w:rsidRDefault="00512D09" w:rsidP="00512D09">
      <w:pPr>
        <w:spacing w:after="0" w:line="240" w:lineRule="auto"/>
        <w:rPr>
          <w:rFonts w:ascii="Calibri" w:hAnsi="Calibri"/>
          <w:noProof/>
          <w:sz w:val="20"/>
          <w:szCs w:val="20"/>
        </w:rPr>
      </w:pPr>
      <w:bookmarkStart w:id="544" w:name="_ENREF_309"/>
      <w:r w:rsidRPr="00610E48">
        <w:rPr>
          <w:rFonts w:ascii="Calibri" w:hAnsi="Calibri"/>
          <w:noProof/>
          <w:sz w:val="20"/>
          <w:szCs w:val="20"/>
        </w:rPr>
        <w:tab/>
        <w:t>(309)</w:t>
      </w:r>
      <w:r w:rsidRPr="00610E48">
        <w:rPr>
          <w:rFonts w:ascii="Calibri" w:hAnsi="Calibri"/>
          <w:noProof/>
          <w:sz w:val="20"/>
          <w:szCs w:val="20"/>
        </w:rPr>
        <w:tab/>
        <w:t xml:space="preserve">Poór, M.; Li, Y.; Matisz, G.; Kiss, L.; Kunsági-Máté, S.; Kőszegi, T.: Quantitation of species differences in albumin–ligand interactions for bovine, human and rat serum albumins using fluorescence spectroscopy: A test case with some Sudlow's site I ligands. </w:t>
      </w:r>
      <w:r w:rsidRPr="00610E48">
        <w:rPr>
          <w:rFonts w:ascii="Calibri" w:hAnsi="Calibri"/>
          <w:i/>
          <w:noProof/>
          <w:sz w:val="20"/>
          <w:szCs w:val="20"/>
        </w:rPr>
        <w:t>Journal of Luminescence,</w:t>
      </w:r>
      <w:r w:rsidRPr="00610E48">
        <w:rPr>
          <w:rFonts w:ascii="Calibri" w:hAnsi="Calibri"/>
          <w:noProof/>
          <w:sz w:val="20"/>
          <w:szCs w:val="20"/>
        </w:rPr>
        <w:t xml:space="preserve"> </w:t>
      </w:r>
      <w:r w:rsidRPr="00610E48">
        <w:rPr>
          <w:rFonts w:ascii="Calibri" w:hAnsi="Calibri"/>
          <w:b/>
          <w:noProof/>
          <w:sz w:val="20"/>
          <w:szCs w:val="20"/>
        </w:rPr>
        <w:t>2014</w:t>
      </w:r>
      <w:r w:rsidRPr="00610E48">
        <w:rPr>
          <w:rFonts w:ascii="Calibri" w:hAnsi="Calibri"/>
          <w:noProof/>
          <w:sz w:val="20"/>
          <w:szCs w:val="20"/>
        </w:rPr>
        <w:t xml:space="preserve">, </w:t>
      </w:r>
      <w:r w:rsidRPr="00610E48">
        <w:rPr>
          <w:rFonts w:ascii="Calibri" w:hAnsi="Calibri"/>
          <w:i/>
          <w:noProof/>
          <w:sz w:val="20"/>
          <w:szCs w:val="20"/>
        </w:rPr>
        <w:t>145</w:t>
      </w:r>
      <w:r w:rsidRPr="00610E48">
        <w:rPr>
          <w:rFonts w:ascii="Calibri" w:hAnsi="Calibri"/>
          <w:noProof/>
          <w:sz w:val="20"/>
          <w:szCs w:val="20"/>
        </w:rPr>
        <w:t>, 767-773.</w:t>
      </w:r>
      <w:bookmarkEnd w:id="544"/>
    </w:p>
    <w:p w:rsidR="00512D09" w:rsidRPr="00610E48" w:rsidRDefault="00512D09" w:rsidP="00512D09">
      <w:pPr>
        <w:spacing w:after="0" w:line="240" w:lineRule="auto"/>
        <w:rPr>
          <w:rFonts w:ascii="Calibri" w:hAnsi="Calibri"/>
          <w:noProof/>
          <w:sz w:val="20"/>
          <w:szCs w:val="20"/>
        </w:rPr>
      </w:pPr>
      <w:bookmarkStart w:id="545" w:name="_ENREF_310"/>
      <w:r w:rsidRPr="00610E48">
        <w:rPr>
          <w:rFonts w:ascii="Calibri" w:hAnsi="Calibri"/>
          <w:noProof/>
          <w:sz w:val="20"/>
          <w:szCs w:val="20"/>
        </w:rPr>
        <w:tab/>
        <w:t>(310)</w:t>
      </w:r>
      <w:r w:rsidRPr="00610E48">
        <w:rPr>
          <w:rFonts w:ascii="Calibri" w:hAnsi="Calibri"/>
          <w:noProof/>
          <w:sz w:val="20"/>
          <w:szCs w:val="20"/>
        </w:rPr>
        <w:tab/>
        <w:t xml:space="preserve">Abou-Zied, O. K.; Al-Lawatia, N.; Elstner, M.; Steinbrecher, T. B.: Binding of Hydroxyquinoline Probes to Human Serum Albumin: Combining Molecular Modeling and Forster's Resonance Energy Transfer Spectroscopy to Understand Flexible Ligand Binding. </w:t>
      </w:r>
      <w:r w:rsidRPr="00610E48">
        <w:rPr>
          <w:rFonts w:ascii="Calibri" w:hAnsi="Calibri"/>
          <w:i/>
          <w:noProof/>
          <w:sz w:val="20"/>
          <w:szCs w:val="20"/>
        </w:rPr>
        <w:t>Journal of Physical Chemistry B,</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117</w:t>
      </w:r>
      <w:r w:rsidRPr="00610E48">
        <w:rPr>
          <w:rFonts w:ascii="Calibri" w:hAnsi="Calibri"/>
          <w:noProof/>
          <w:sz w:val="20"/>
          <w:szCs w:val="20"/>
        </w:rPr>
        <w:t>, 1062-1074.</w:t>
      </w:r>
      <w:bookmarkEnd w:id="545"/>
    </w:p>
    <w:p w:rsidR="00512D09" w:rsidRPr="00610E48" w:rsidRDefault="00512D09" w:rsidP="00512D09">
      <w:pPr>
        <w:spacing w:after="0" w:line="240" w:lineRule="auto"/>
        <w:rPr>
          <w:rFonts w:ascii="Calibri" w:hAnsi="Calibri"/>
          <w:noProof/>
          <w:sz w:val="20"/>
          <w:szCs w:val="20"/>
        </w:rPr>
      </w:pPr>
      <w:bookmarkStart w:id="546" w:name="_ENREF_311"/>
      <w:r w:rsidRPr="00610E48">
        <w:rPr>
          <w:rFonts w:ascii="Calibri" w:hAnsi="Calibri"/>
          <w:noProof/>
          <w:sz w:val="20"/>
          <w:szCs w:val="20"/>
        </w:rPr>
        <w:tab/>
        <w:t>(311)</w:t>
      </w:r>
      <w:r w:rsidRPr="00610E48">
        <w:rPr>
          <w:rFonts w:ascii="Calibri" w:hAnsi="Calibri"/>
          <w:noProof/>
          <w:sz w:val="20"/>
          <w:szCs w:val="20"/>
        </w:rPr>
        <w:tab/>
        <w:t xml:space="preserve">Kosa, T.; Maruyama, T.; Otagiri, M.: Species differences of serum albumins: I. Drug binding sites. </w:t>
      </w:r>
      <w:r w:rsidRPr="00610E48">
        <w:rPr>
          <w:rFonts w:ascii="Calibri" w:hAnsi="Calibri"/>
          <w:i/>
          <w:noProof/>
          <w:sz w:val="20"/>
          <w:szCs w:val="20"/>
        </w:rPr>
        <w:t>Pharmaceutical research,</w:t>
      </w:r>
      <w:r w:rsidRPr="00610E48">
        <w:rPr>
          <w:rFonts w:ascii="Calibri" w:hAnsi="Calibri"/>
          <w:noProof/>
          <w:sz w:val="20"/>
          <w:szCs w:val="20"/>
        </w:rPr>
        <w:t xml:space="preserve"> </w:t>
      </w:r>
      <w:r w:rsidRPr="00610E48">
        <w:rPr>
          <w:rFonts w:ascii="Calibri" w:hAnsi="Calibri"/>
          <w:b/>
          <w:noProof/>
          <w:sz w:val="20"/>
          <w:szCs w:val="20"/>
        </w:rPr>
        <w:t>1997</w:t>
      </w:r>
      <w:r w:rsidRPr="00610E48">
        <w:rPr>
          <w:rFonts w:ascii="Calibri" w:hAnsi="Calibri"/>
          <w:noProof/>
          <w:sz w:val="20"/>
          <w:szCs w:val="20"/>
        </w:rPr>
        <w:t xml:space="preserve">, </w:t>
      </w:r>
      <w:r w:rsidRPr="00610E48">
        <w:rPr>
          <w:rFonts w:ascii="Calibri" w:hAnsi="Calibri"/>
          <w:i/>
          <w:noProof/>
          <w:sz w:val="20"/>
          <w:szCs w:val="20"/>
        </w:rPr>
        <w:t>14</w:t>
      </w:r>
      <w:r w:rsidRPr="00610E48">
        <w:rPr>
          <w:rFonts w:ascii="Calibri" w:hAnsi="Calibri"/>
          <w:noProof/>
          <w:sz w:val="20"/>
          <w:szCs w:val="20"/>
        </w:rPr>
        <w:t>, 1607-1612.</w:t>
      </w:r>
      <w:bookmarkEnd w:id="546"/>
    </w:p>
    <w:p w:rsidR="00512D09" w:rsidRPr="00610E48" w:rsidRDefault="00512D09" w:rsidP="00512D09">
      <w:pPr>
        <w:spacing w:after="0" w:line="240" w:lineRule="auto"/>
        <w:rPr>
          <w:rFonts w:ascii="Calibri" w:hAnsi="Calibri"/>
          <w:noProof/>
          <w:sz w:val="20"/>
          <w:szCs w:val="20"/>
        </w:rPr>
      </w:pPr>
      <w:bookmarkStart w:id="547" w:name="_ENREF_312"/>
      <w:r w:rsidRPr="00610E48">
        <w:rPr>
          <w:rFonts w:ascii="Calibri" w:hAnsi="Calibri"/>
          <w:noProof/>
          <w:sz w:val="20"/>
          <w:szCs w:val="20"/>
        </w:rPr>
        <w:tab/>
        <w:t>(312)</w:t>
      </w:r>
      <w:r w:rsidRPr="00610E48">
        <w:rPr>
          <w:rFonts w:ascii="Calibri" w:hAnsi="Calibri"/>
          <w:noProof/>
          <w:sz w:val="20"/>
          <w:szCs w:val="20"/>
        </w:rPr>
        <w:tab/>
        <w:t xml:space="preserve">Tur, F.; Tur, E.; Lentheric, I.; Mendoza, P.; Encabo, M.; Isern, B.; Grases, F.; Maraschiello, C.; Perelló, J.: Validation of an LC–MS bioanalytical method for quantification of phytate levels in rat, dog and human plasma. </w:t>
      </w:r>
      <w:r w:rsidRPr="00610E48">
        <w:rPr>
          <w:rFonts w:ascii="Calibri" w:hAnsi="Calibri"/>
          <w:i/>
          <w:noProof/>
          <w:sz w:val="20"/>
          <w:szCs w:val="20"/>
        </w:rPr>
        <w:t>Journal of Chromatography B,</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928</w:t>
      </w:r>
      <w:r w:rsidRPr="00610E48">
        <w:rPr>
          <w:rFonts w:ascii="Calibri" w:hAnsi="Calibri"/>
          <w:noProof/>
          <w:sz w:val="20"/>
          <w:szCs w:val="20"/>
        </w:rPr>
        <w:t>, 146-154.</w:t>
      </w:r>
      <w:bookmarkEnd w:id="547"/>
    </w:p>
    <w:p w:rsidR="00512D09" w:rsidRPr="00610E48" w:rsidRDefault="00512D09" w:rsidP="00512D09">
      <w:pPr>
        <w:spacing w:after="0" w:line="240" w:lineRule="auto"/>
        <w:rPr>
          <w:rFonts w:ascii="Calibri" w:hAnsi="Calibri"/>
          <w:noProof/>
          <w:sz w:val="20"/>
          <w:szCs w:val="20"/>
        </w:rPr>
      </w:pPr>
      <w:bookmarkStart w:id="548" w:name="_ENREF_313"/>
      <w:r w:rsidRPr="00610E48">
        <w:rPr>
          <w:rFonts w:ascii="Calibri" w:hAnsi="Calibri"/>
          <w:noProof/>
          <w:sz w:val="20"/>
          <w:szCs w:val="20"/>
        </w:rPr>
        <w:tab/>
        <w:t>(313)</w:t>
      </w:r>
      <w:r w:rsidRPr="00610E48">
        <w:rPr>
          <w:rFonts w:ascii="Calibri" w:hAnsi="Calibri"/>
          <w:noProof/>
          <w:sz w:val="20"/>
          <w:szCs w:val="20"/>
        </w:rPr>
        <w:tab/>
        <w:t xml:space="preserve">Vucenik, I.; Sakamoto, K.; Bansal, M.; Shamsuddin, A. M.: Inhibition of rat mammary carcinogenesis by inositol hexaphosphate (phytic acid). A pilot study. </w:t>
      </w:r>
      <w:r w:rsidRPr="00610E48">
        <w:rPr>
          <w:rFonts w:ascii="Calibri" w:hAnsi="Calibri"/>
          <w:i/>
          <w:noProof/>
          <w:sz w:val="20"/>
          <w:szCs w:val="20"/>
        </w:rPr>
        <w:t>Cancer Letters,</w:t>
      </w:r>
      <w:r w:rsidRPr="00610E48">
        <w:rPr>
          <w:rFonts w:ascii="Calibri" w:hAnsi="Calibri"/>
          <w:noProof/>
          <w:sz w:val="20"/>
          <w:szCs w:val="20"/>
        </w:rPr>
        <w:t xml:space="preserve"> </w:t>
      </w:r>
      <w:r w:rsidRPr="00610E48">
        <w:rPr>
          <w:rFonts w:ascii="Calibri" w:hAnsi="Calibri"/>
          <w:b/>
          <w:noProof/>
          <w:sz w:val="20"/>
          <w:szCs w:val="20"/>
        </w:rPr>
        <w:t>1993</w:t>
      </w:r>
      <w:r w:rsidRPr="00610E48">
        <w:rPr>
          <w:rFonts w:ascii="Calibri" w:hAnsi="Calibri"/>
          <w:noProof/>
          <w:sz w:val="20"/>
          <w:szCs w:val="20"/>
        </w:rPr>
        <w:t xml:space="preserve">, </w:t>
      </w:r>
      <w:r w:rsidRPr="00610E48">
        <w:rPr>
          <w:rFonts w:ascii="Calibri" w:hAnsi="Calibri"/>
          <w:i/>
          <w:noProof/>
          <w:sz w:val="20"/>
          <w:szCs w:val="20"/>
        </w:rPr>
        <w:t>75</w:t>
      </w:r>
      <w:r w:rsidRPr="00610E48">
        <w:rPr>
          <w:rFonts w:ascii="Calibri" w:hAnsi="Calibri"/>
          <w:noProof/>
          <w:sz w:val="20"/>
          <w:szCs w:val="20"/>
        </w:rPr>
        <w:t>, 95-102.</w:t>
      </w:r>
      <w:bookmarkEnd w:id="548"/>
    </w:p>
    <w:p w:rsidR="00512D09" w:rsidRPr="00610E48" w:rsidRDefault="00512D09" w:rsidP="00512D09">
      <w:pPr>
        <w:spacing w:after="0" w:line="240" w:lineRule="auto"/>
        <w:rPr>
          <w:rFonts w:ascii="Calibri" w:hAnsi="Calibri"/>
          <w:noProof/>
          <w:sz w:val="20"/>
          <w:szCs w:val="20"/>
        </w:rPr>
      </w:pPr>
      <w:bookmarkStart w:id="549" w:name="_ENREF_314"/>
      <w:r w:rsidRPr="00610E48">
        <w:rPr>
          <w:rFonts w:ascii="Calibri" w:hAnsi="Calibri"/>
          <w:noProof/>
          <w:sz w:val="20"/>
          <w:szCs w:val="20"/>
        </w:rPr>
        <w:tab/>
        <w:t>(314)</w:t>
      </w:r>
      <w:r w:rsidRPr="00610E48">
        <w:rPr>
          <w:rFonts w:ascii="Calibri" w:hAnsi="Calibri"/>
          <w:noProof/>
          <w:sz w:val="20"/>
          <w:szCs w:val="20"/>
        </w:rPr>
        <w:tab/>
        <w:t xml:space="preserve">Kolappaswamy, K.; Williams, K. A.; Benazzi, C.; Sarli, G.; McLeod, C. G.; Vucenik, I.; DeTolla, L. J.: Effect of Inositol Hexaphosphate on the Development of UVB-Induced Skin Tumors in SKH1 Hairless Mice. </w:t>
      </w:r>
      <w:r w:rsidRPr="00610E48">
        <w:rPr>
          <w:rFonts w:ascii="Calibri" w:hAnsi="Calibri"/>
          <w:i/>
          <w:noProof/>
          <w:sz w:val="20"/>
          <w:szCs w:val="20"/>
        </w:rPr>
        <w:t>Comparative Medicine,</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 xml:space="preserve">, </w:t>
      </w:r>
      <w:r w:rsidRPr="00610E48">
        <w:rPr>
          <w:rFonts w:ascii="Calibri" w:hAnsi="Calibri"/>
          <w:i/>
          <w:noProof/>
          <w:sz w:val="20"/>
          <w:szCs w:val="20"/>
        </w:rPr>
        <w:t>59</w:t>
      </w:r>
      <w:r w:rsidRPr="00610E48">
        <w:rPr>
          <w:rFonts w:ascii="Calibri" w:hAnsi="Calibri"/>
          <w:noProof/>
          <w:sz w:val="20"/>
          <w:szCs w:val="20"/>
        </w:rPr>
        <w:t>, 147-152.</w:t>
      </w:r>
      <w:bookmarkEnd w:id="549"/>
    </w:p>
    <w:p w:rsidR="00512D09" w:rsidRPr="00610E48" w:rsidRDefault="00512D09" w:rsidP="00512D09">
      <w:pPr>
        <w:spacing w:after="0" w:line="240" w:lineRule="auto"/>
        <w:rPr>
          <w:rFonts w:ascii="Calibri" w:hAnsi="Calibri"/>
          <w:noProof/>
          <w:sz w:val="20"/>
          <w:szCs w:val="20"/>
        </w:rPr>
      </w:pPr>
      <w:bookmarkStart w:id="550" w:name="_ENREF_315"/>
      <w:r w:rsidRPr="00610E48">
        <w:rPr>
          <w:rFonts w:ascii="Calibri" w:hAnsi="Calibri"/>
          <w:noProof/>
          <w:sz w:val="20"/>
          <w:szCs w:val="20"/>
        </w:rPr>
        <w:tab/>
        <w:t>(315)</w:t>
      </w:r>
      <w:r w:rsidRPr="00610E48">
        <w:rPr>
          <w:rFonts w:ascii="Calibri" w:hAnsi="Calibri"/>
          <w:noProof/>
          <w:sz w:val="20"/>
          <w:szCs w:val="20"/>
        </w:rPr>
        <w:tab/>
        <w:t xml:space="preserve">Wilson, M. S.; Bulley, S. J.; Pisani, F.; Irvine, R. F.; Saiardi, A.: A novel method for the purification of inositol phosphates from biological samples reveals that no phytate is present in human plasma or urine. </w:t>
      </w:r>
      <w:r w:rsidRPr="00610E48">
        <w:rPr>
          <w:rFonts w:ascii="Calibri" w:hAnsi="Calibri"/>
          <w:i/>
          <w:noProof/>
          <w:sz w:val="20"/>
          <w:szCs w:val="20"/>
        </w:rPr>
        <w:t>Open biology,</w:t>
      </w:r>
      <w:r w:rsidRPr="00610E48">
        <w:rPr>
          <w:rFonts w:ascii="Calibri" w:hAnsi="Calibri"/>
          <w:noProof/>
          <w:sz w:val="20"/>
          <w:szCs w:val="20"/>
        </w:rPr>
        <w:t xml:space="preserve"> </w:t>
      </w:r>
      <w:r w:rsidRPr="00610E48">
        <w:rPr>
          <w:rFonts w:ascii="Calibri" w:hAnsi="Calibri"/>
          <w:b/>
          <w:noProof/>
          <w:sz w:val="20"/>
          <w:szCs w:val="20"/>
        </w:rPr>
        <w:t>2015</w:t>
      </w:r>
      <w:r w:rsidRPr="00610E48">
        <w:rPr>
          <w:rFonts w:ascii="Calibri" w:hAnsi="Calibri"/>
          <w:noProof/>
          <w:sz w:val="20"/>
          <w:szCs w:val="20"/>
        </w:rPr>
        <w:t xml:space="preserve">, </w:t>
      </w:r>
      <w:r w:rsidRPr="00610E48">
        <w:rPr>
          <w:rFonts w:ascii="Calibri" w:hAnsi="Calibri"/>
          <w:i/>
          <w:noProof/>
          <w:sz w:val="20"/>
          <w:szCs w:val="20"/>
        </w:rPr>
        <w:t>5</w:t>
      </w:r>
      <w:r w:rsidRPr="00610E48">
        <w:rPr>
          <w:rFonts w:ascii="Calibri" w:hAnsi="Calibri"/>
          <w:noProof/>
          <w:sz w:val="20"/>
          <w:szCs w:val="20"/>
        </w:rPr>
        <w:t>, 150014.</w:t>
      </w:r>
      <w:bookmarkEnd w:id="550"/>
    </w:p>
    <w:p w:rsidR="00512D09" w:rsidRPr="00610E48" w:rsidRDefault="00512D09" w:rsidP="00512D09">
      <w:pPr>
        <w:spacing w:after="0" w:line="240" w:lineRule="auto"/>
        <w:rPr>
          <w:rFonts w:ascii="Calibri" w:hAnsi="Calibri"/>
          <w:noProof/>
          <w:sz w:val="20"/>
          <w:szCs w:val="20"/>
        </w:rPr>
      </w:pPr>
      <w:bookmarkStart w:id="551" w:name="_ENREF_316"/>
      <w:r w:rsidRPr="00610E48">
        <w:rPr>
          <w:rFonts w:ascii="Calibri" w:hAnsi="Calibri"/>
          <w:noProof/>
          <w:sz w:val="20"/>
          <w:szCs w:val="20"/>
        </w:rPr>
        <w:tab/>
        <w:t>(316)</w:t>
      </w:r>
      <w:r w:rsidRPr="00610E48">
        <w:rPr>
          <w:rFonts w:ascii="Calibri" w:hAnsi="Calibri"/>
          <w:noProof/>
          <w:sz w:val="20"/>
          <w:szCs w:val="20"/>
        </w:rPr>
        <w:tab/>
        <w:t>Windhorst, S.; Lin, H.; Blechner, C.; Fanick, W.; Brandt, L.; Brehm, Maria A.; Mayr, Georg W.: Tumour cells can employ extracellular Ins(1,2,3,4,5,6)P6 and multiple inositol-</w:t>
      </w:r>
      <w:r w:rsidRPr="00610E48">
        <w:rPr>
          <w:rFonts w:ascii="Calibri" w:hAnsi="Calibri"/>
          <w:noProof/>
          <w:sz w:val="20"/>
          <w:szCs w:val="20"/>
        </w:rPr>
        <w:lastRenderedPageBreak/>
        <w:t xml:space="preserve">polyphosphate phosphatase 1 (MINPP1) dephosphorylation to improve their proliferation. </w:t>
      </w:r>
      <w:r w:rsidRPr="00610E48">
        <w:rPr>
          <w:rFonts w:ascii="Calibri" w:hAnsi="Calibri"/>
          <w:i/>
          <w:noProof/>
          <w:sz w:val="20"/>
          <w:szCs w:val="20"/>
        </w:rPr>
        <w:t>Biochemical Journal,</w:t>
      </w:r>
      <w:r w:rsidRPr="00610E48">
        <w:rPr>
          <w:rFonts w:ascii="Calibri" w:hAnsi="Calibri"/>
          <w:noProof/>
          <w:sz w:val="20"/>
          <w:szCs w:val="20"/>
        </w:rPr>
        <w:t xml:space="preserve"> </w:t>
      </w:r>
      <w:r w:rsidRPr="00610E48">
        <w:rPr>
          <w:rFonts w:ascii="Calibri" w:hAnsi="Calibri"/>
          <w:b/>
          <w:noProof/>
          <w:sz w:val="20"/>
          <w:szCs w:val="20"/>
        </w:rPr>
        <w:t>2013</w:t>
      </w:r>
      <w:r w:rsidRPr="00610E48">
        <w:rPr>
          <w:rFonts w:ascii="Calibri" w:hAnsi="Calibri"/>
          <w:noProof/>
          <w:sz w:val="20"/>
          <w:szCs w:val="20"/>
        </w:rPr>
        <w:t xml:space="preserve">, </w:t>
      </w:r>
      <w:r w:rsidRPr="00610E48">
        <w:rPr>
          <w:rFonts w:ascii="Calibri" w:hAnsi="Calibri"/>
          <w:i/>
          <w:noProof/>
          <w:sz w:val="20"/>
          <w:szCs w:val="20"/>
        </w:rPr>
        <w:t>450</w:t>
      </w:r>
      <w:r w:rsidRPr="00610E48">
        <w:rPr>
          <w:rFonts w:ascii="Calibri" w:hAnsi="Calibri"/>
          <w:noProof/>
          <w:sz w:val="20"/>
          <w:szCs w:val="20"/>
        </w:rPr>
        <w:t>, 115-125.</w:t>
      </w:r>
      <w:bookmarkEnd w:id="551"/>
    </w:p>
    <w:p w:rsidR="00512D09" w:rsidRPr="00610E48" w:rsidRDefault="00512D09" w:rsidP="00512D09">
      <w:pPr>
        <w:spacing w:after="0" w:line="240" w:lineRule="auto"/>
        <w:rPr>
          <w:rFonts w:ascii="Calibri" w:hAnsi="Calibri"/>
          <w:noProof/>
          <w:sz w:val="20"/>
          <w:szCs w:val="20"/>
        </w:rPr>
      </w:pPr>
      <w:bookmarkStart w:id="552" w:name="_ENREF_317"/>
      <w:r w:rsidRPr="00610E48">
        <w:rPr>
          <w:rFonts w:ascii="Calibri" w:hAnsi="Calibri"/>
          <w:noProof/>
          <w:sz w:val="20"/>
          <w:szCs w:val="20"/>
        </w:rPr>
        <w:tab/>
        <w:t>(317)</w:t>
      </w:r>
      <w:r w:rsidRPr="00610E48">
        <w:rPr>
          <w:rFonts w:ascii="Calibri" w:hAnsi="Calibri"/>
          <w:noProof/>
          <w:sz w:val="20"/>
          <w:szCs w:val="20"/>
        </w:rPr>
        <w:tab/>
        <w:t>Efanov, A. M.; Zaitsev, S. V.; Berggren, P. O.: Inositol hexakisphosphate stimulates non-Ca</w:t>
      </w:r>
      <w:r w:rsidRPr="00610E48">
        <w:rPr>
          <w:rFonts w:ascii="Calibri" w:hAnsi="Calibri"/>
          <w:noProof/>
          <w:sz w:val="20"/>
          <w:szCs w:val="20"/>
          <w:vertAlign w:val="superscript"/>
        </w:rPr>
        <w:t>2+</w:t>
      </w:r>
      <w:r w:rsidRPr="00610E48">
        <w:rPr>
          <w:rFonts w:ascii="Calibri" w:hAnsi="Calibri"/>
          <w:noProof/>
          <w:sz w:val="20"/>
          <w:szCs w:val="20"/>
        </w:rPr>
        <w:t>-mediated and primes Ca</w:t>
      </w:r>
      <w:r w:rsidRPr="00610E48">
        <w:rPr>
          <w:rFonts w:ascii="Calibri" w:hAnsi="Calibri"/>
          <w:noProof/>
          <w:sz w:val="20"/>
          <w:szCs w:val="20"/>
          <w:vertAlign w:val="superscript"/>
        </w:rPr>
        <w:t>2+</w:t>
      </w:r>
      <w:r w:rsidRPr="00610E48">
        <w:rPr>
          <w:rFonts w:ascii="Calibri" w:hAnsi="Calibri"/>
          <w:noProof/>
          <w:sz w:val="20"/>
          <w:szCs w:val="20"/>
        </w:rPr>
        <w:t xml:space="preserve">-mediated exocytosis of insulin by activation of protein kinase C. </w:t>
      </w:r>
      <w:r w:rsidRPr="00610E48">
        <w:rPr>
          <w:rFonts w:ascii="Calibri" w:hAnsi="Calibri"/>
          <w:i/>
          <w:noProof/>
          <w:sz w:val="20"/>
          <w:szCs w:val="20"/>
        </w:rPr>
        <w:t>Proceedings of the National Academy of Sciences of the United States of America,</w:t>
      </w:r>
      <w:r w:rsidRPr="00610E48">
        <w:rPr>
          <w:rFonts w:ascii="Calibri" w:hAnsi="Calibri"/>
          <w:noProof/>
          <w:sz w:val="20"/>
          <w:szCs w:val="20"/>
        </w:rPr>
        <w:t xml:space="preserve"> </w:t>
      </w:r>
      <w:r w:rsidRPr="00610E48">
        <w:rPr>
          <w:rFonts w:ascii="Calibri" w:hAnsi="Calibri"/>
          <w:b/>
          <w:noProof/>
          <w:sz w:val="20"/>
          <w:szCs w:val="20"/>
        </w:rPr>
        <w:t>1997</w:t>
      </w:r>
      <w:r w:rsidRPr="00610E48">
        <w:rPr>
          <w:rFonts w:ascii="Calibri" w:hAnsi="Calibri"/>
          <w:noProof/>
          <w:sz w:val="20"/>
          <w:szCs w:val="20"/>
        </w:rPr>
        <w:t xml:space="preserve">, </w:t>
      </w:r>
      <w:r w:rsidRPr="00610E48">
        <w:rPr>
          <w:rFonts w:ascii="Calibri" w:hAnsi="Calibri"/>
          <w:i/>
          <w:noProof/>
          <w:sz w:val="20"/>
          <w:szCs w:val="20"/>
        </w:rPr>
        <w:t>94</w:t>
      </w:r>
      <w:r w:rsidRPr="00610E48">
        <w:rPr>
          <w:rFonts w:ascii="Calibri" w:hAnsi="Calibri"/>
          <w:noProof/>
          <w:sz w:val="20"/>
          <w:szCs w:val="20"/>
        </w:rPr>
        <w:t>, 4435-9.</w:t>
      </w:r>
      <w:bookmarkEnd w:id="552"/>
    </w:p>
    <w:p w:rsidR="00512D09" w:rsidRPr="00610E48" w:rsidRDefault="00512D09" w:rsidP="00512D09">
      <w:pPr>
        <w:spacing w:after="0" w:line="240" w:lineRule="auto"/>
        <w:rPr>
          <w:rFonts w:ascii="Calibri" w:hAnsi="Calibri"/>
          <w:noProof/>
          <w:sz w:val="20"/>
          <w:szCs w:val="20"/>
        </w:rPr>
      </w:pPr>
      <w:bookmarkStart w:id="553" w:name="_ENREF_318"/>
      <w:r w:rsidRPr="00610E48">
        <w:rPr>
          <w:rFonts w:ascii="Calibri" w:hAnsi="Calibri"/>
          <w:noProof/>
          <w:sz w:val="20"/>
          <w:szCs w:val="20"/>
        </w:rPr>
        <w:tab/>
        <w:t>(318)</w:t>
      </w:r>
      <w:r w:rsidRPr="00610E48">
        <w:rPr>
          <w:rFonts w:ascii="Calibri" w:hAnsi="Calibri"/>
          <w:noProof/>
          <w:sz w:val="20"/>
          <w:szCs w:val="20"/>
        </w:rPr>
        <w:tab/>
        <w:t xml:space="preserve">Alcazar-Roman, A. R.; Tran, E. J.; Guo, S.; Wente, S. R.: Inositol hexakisphosphate and Gle1 activate the DEAD-box protein Dbp5 for nuclear mRNA export. </w:t>
      </w:r>
      <w:r w:rsidRPr="00610E48">
        <w:rPr>
          <w:rFonts w:ascii="Calibri" w:hAnsi="Calibri"/>
          <w:i/>
          <w:noProof/>
          <w:sz w:val="20"/>
          <w:szCs w:val="20"/>
        </w:rPr>
        <w:t>Nature Cell Biology,</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8</w:t>
      </w:r>
      <w:r w:rsidRPr="00610E48">
        <w:rPr>
          <w:rFonts w:ascii="Calibri" w:hAnsi="Calibri"/>
          <w:noProof/>
          <w:sz w:val="20"/>
          <w:szCs w:val="20"/>
        </w:rPr>
        <w:t>, 711-716.</w:t>
      </w:r>
      <w:bookmarkEnd w:id="553"/>
    </w:p>
    <w:p w:rsidR="00512D09" w:rsidRPr="00610E48" w:rsidRDefault="00512D09" w:rsidP="00512D09">
      <w:pPr>
        <w:spacing w:after="0" w:line="240" w:lineRule="auto"/>
        <w:rPr>
          <w:rFonts w:ascii="Calibri" w:hAnsi="Calibri"/>
          <w:noProof/>
          <w:sz w:val="20"/>
          <w:szCs w:val="20"/>
        </w:rPr>
      </w:pPr>
      <w:bookmarkStart w:id="554" w:name="_ENREF_319"/>
      <w:r w:rsidRPr="00610E48">
        <w:rPr>
          <w:rFonts w:ascii="Calibri" w:hAnsi="Calibri"/>
          <w:noProof/>
          <w:sz w:val="20"/>
          <w:szCs w:val="20"/>
        </w:rPr>
        <w:tab/>
        <w:t>(319)</w:t>
      </w:r>
      <w:r w:rsidRPr="00610E48">
        <w:rPr>
          <w:rFonts w:ascii="Calibri" w:hAnsi="Calibri"/>
          <w:noProof/>
          <w:sz w:val="20"/>
          <w:szCs w:val="20"/>
        </w:rPr>
        <w:tab/>
        <w:t xml:space="preserve">Macbeth, M. R.; Schubert, H. L.; VanDemark, A. P.; Lingam, A. T.; Hill, C. P.; Bass, B. L.: Inositol Hexakisphosphate Is Bound in the ADAR2 Core and Required for RNA Editing. </w:t>
      </w:r>
      <w:r w:rsidRPr="00610E48">
        <w:rPr>
          <w:rFonts w:ascii="Calibri" w:hAnsi="Calibri"/>
          <w:i/>
          <w:noProof/>
          <w:sz w:val="20"/>
          <w:szCs w:val="20"/>
        </w:rPr>
        <w:t>Science,</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309</w:t>
      </w:r>
      <w:r w:rsidRPr="00610E48">
        <w:rPr>
          <w:rFonts w:ascii="Calibri" w:hAnsi="Calibri"/>
          <w:noProof/>
          <w:sz w:val="20"/>
          <w:szCs w:val="20"/>
        </w:rPr>
        <w:t>, 1534-1539.</w:t>
      </w:r>
      <w:bookmarkEnd w:id="554"/>
    </w:p>
    <w:p w:rsidR="00512D09" w:rsidRPr="00610E48" w:rsidRDefault="00512D09" w:rsidP="00512D09">
      <w:pPr>
        <w:spacing w:after="0" w:line="240" w:lineRule="auto"/>
        <w:rPr>
          <w:rFonts w:ascii="Calibri" w:hAnsi="Calibri"/>
          <w:noProof/>
          <w:sz w:val="20"/>
          <w:szCs w:val="20"/>
        </w:rPr>
      </w:pPr>
      <w:bookmarkStart w:id="555" w:name="_ENREF_320"/>
      <w:r w:rsidRPr="00610E48">
        <w:rPr>
          <w:rFonts w:ascii="Calibri" w:hAnsi="Calibri"/>
          <w:noProof/>
          <w:sz w:val="20"/>
          <w:szCs w:val="20"/>
        </w:rPr>
        <w:tab/>
        <w:t>(320)</w:t>
      </w:r>
      <w:r w:rsidRPr="00610E48">
        <w:rPr>
          <w:rFonts w:ascii="Calibri" w:hAnsi="Calibri"/>
          <w:noProof/>
          <w:sz w:val="20"/>
          <w:szCs w:val="20"/>
        </w:rPr>
        <w:tab/>
        <w:t xml:space="preserve">Hartman, R. J.; Cheng, L. T.: Isoelectric Point of Glycinin. </w:t>
      </w:r>
      <w:r w:rsidRPr="00610E48">
        <w:rPr>
          <w:rFonts w:ascii="Calibri" w:hAnsi="Calibri"/>
          <w:i/>
          <w:noProof/>
          <w:sz w:val="20"/>
          <w:szCs w:val="20"/>
        </w:rPr>
        <w:t>The Journal of Physical Chemistry,</w:t>
      </w:r>
      <w:r w:rsidRPr="00610E48">
        <w:rPr>
          <w:rFonts w:ascii="Calibri" w:hAnsi="Calibri"/>
          <w:noProof/>
          <w:sz w:val="20"/>
          <w:szCs w:val="20"/>
        </w:rPr>
        <w:t xml:space="preserve"> </w:t>
      </w:r>
      <w:r w:rsidRPr="00610E48">
        <w:rPr>
          <w:rFonts w:ascii="Calibri" w:hAnsi="Calibri"/>
          <w:b/>
          <w:noProof/>
          <w:sz w:val="20"/>
          <w:szCs w:val="20"/>
        </w:rPr>
        <w:t>1935</w:t>
      </w:r>
      <w:r w:rsidRPr="00610E48">
        <w:rPr>
          <w:rFonts w:ascii="Calibri" w:hAnsi="Calibri"/>
          <w:noProof/>
          <w:sz w:val="20"/>
          <w:szCs w:val="20"/>
        </w:rPr>
        <w:t xml:space="preserve">, </w:t>
      </w:r>
      <w:r w:rsidRPr="00610E48">
        <w:rPr>
          <w:rFonts w:ascii="Calibri" w:hAnsi="Calibri"/>
          <w:i/>
          <w:noProof/>
          <w:sz w:val="20"/>
          <w:szCs w:val="20"/>
        </w:rPr>
        <w:t>40</w:t>
      </w:r>
      <w:r w:rsidRPr="00610E48">
        <w:rPr>
          <w:rFonts w:ascii="Calibri" w:hAnsi="Calibri"/>
          <w:noProof/>
          <w:sz w:val="20"/>
          <w:szCs w:val="20"/>
        </w:rPr>
        <w:t>, 453-459.</w:t>
      </w:r>
      <w:bookmarkEnd w:id="555"/>
    </w:p>
    <w:p w:rsidR="00512D09" w:rsidRPr="00610E48" w:rsidRDefault="00512D09" w:rsidP="00512D09">
      <w:pPr>
        <w:spacing w:after="0" w:line="240" w:lineRule="auto"/>
        <w:rPr>
          <w:rFonts w:ascii="Calibri" w:hAnsi="Calibri"/>
          <w:noProof/>
          <w:sz w:val="20"/>
          <w:szCs w:val="20"/>
        </w:rPr>
      </w:pPr>
      <w:bookmarkStart w:id="556" w:name="_ENREF_321"/>
      <w:r w:rsidRPr="00610E48">
        <w:rPr>
          <w:rFonts w:ascii="Calibri" w:hAnsi="Calibri"/>
          <w:noProof/>
          <w:sz w:val="20"/>
          <w:szCs w:val="20"/>
        </w:rPr>
        <w:tab/>
        <w:t>(321)</w:t>
      </w:r>
      <w:r w:rsidRPr="00610E48">
        <w:rPr>
          <w:rFonts w:ascii="Calibri" w:hAnsi="Calibri"/>
          <w:noProof/>
          <w:sz w:val="20"/>
          <w:szCs w:val="20"/>
        </w:rPr>
        <w:tab/>
        <w:t xml:space="preserve">O'Dell, B. L.; De Boland, A.: Complexation of phytate with proteins and cations in corn germ and oil seed meals. </w:t>
      </w:r>
      <w:r w:rsidRPr="00610E48">
        <w:rPr>
          <w:rFonts w:ascii="Calibri" w:hAnsi="Calibri"/>
          <w:i/>
          <w:noProof/>
          <w:sz w:val="20"/>
          <w:szCs w:val="20"/>
        </w:rPr>
        <w:t>Journal of Agricultural and Food Chemistry,</w:t>
      </w:r>
      <w:r w:rsidRPr="00610E48">
        <w:rPr>
          <w:rFonts w:ascii="Calibri" w:hAnsi="Calibri"/>
          <w:noProof/>
          <w:sz w:val="20"/>
          <w:szCs w:val="20"/>
        </w:rPr>
        <w:t xml:space="preserve"> </w:t>
      </w:r>
      <w:r w:rsidRPr="00610E48">
        <w:rPr>
          <w:rFonts w:ascii="Calibri" w:hAnsi="Calibri"/>
          <w:b/>
          <w:noProof/>
          <w:sz w:val="20"/>
          <w:szCs w:val="20"/>
        </w:rPr>
        <w:t>1976</w:t>
      </w:r>
      <w:r w:rsidRPr="00610E48">
        <w:rPr>
          <w:rFonts w:ascii="Calibri" w:hAnsi="Calibri"/>
          <w:noProof/>
          <w:sz w:val="20"/>
          <w:szCs w:val="20"/>
        </w:rPr>
        <w:t xml:space="preserve">, </w:t>
      </w:r>
      <w:r w:rsidRPr="00610E48">
        <w:rPr>
          <w:rFonts w:ascii="Calibri" w:hAnsi="Calibri"/>
          <w:i/>
          <w:noProof/>
          <w:sz w:val="20"/>
          <w:szCs w:val="20"/>
        </w:rPr>
        <w:t>24</w:t>
      </w:r>
      <w:r w:rsidRPr="00610E48">
        <w:rPr>
          <w:rFonts w:ascii="Calibri" w:hAnsi="Calibri"/>
          <w:noProof/>
          <w:sz w:val="20"/>
          <w:szCs w:val="20"/>
        </w:rPr>
        <w:t>, 804-808.</w:t>
      </w:r>
      <w:bookmarkEnd w:id="556"/>
    </w:p>
    <w:p w:rsidR="00512D09" w:rsidRPr="00610E48" w:rsidRDefault="00512D09" w:rsidP="00512D09">
      <w:pPr>
        <w:spacing w:after="0" w:line="240" w:lineRule="auto"/>
        <w:rPr>
          <w:rFonts w:ascii="Calibri" w:hAnsi="Calibri"/>
          <w:noProof/>
          <w:sz w:val="20"/>
          <w:szCs w:val="20"/>
        </w:rPr>
      </w:pPr>
      <w:bookmarkStart w:id="557" w:name="_ENREF_322"/>
      <w:r w:rsidRPr="00610E48">
        <w:rPr>
          <w:rFonts w:ascii="Calibri" w:hAnsi="Calibri"/>
          <w:noProof/>
          <w:sz w:val="20"/>
          <w:szCs w:val="20"/>
        </w:rPr>
        <w:tab/>
        <w:t>(322)</w:t>
      </w:r>
      <w:r w:rsidRPr="00610E48">
        <w:rPr>
          <w:rFonts w:ascii="Calibri" w:hAnsi="Calibri"/>
          <w:noProof/>
          <w:sz w:val="20"/>
          <w:szCs w:val="20"/>
        </w:rPr>
        <w:tab/>
        <w:t xml:space="preserve">Chervenak, M. C.; Toone, E. J.: A direct measure of the contribution of solvent reorganization to the enthalpy of binding. </w:t>
      </w:r>
      <w:r w:rsidRPr="00610E48">
        <w:rPr>
          <w:rFonts w:ascii="Calibri" w:hAnsi="Calibri"/>
          <w:i/>
          <w:noProof/>
          <w:sz w:val="20"/>
          <w:szCs w:val="20"/>
        </w:rPr>
        <w:t>Journal of the American Chemical Society,</w:t>
      </w:r>
      <w:r w:rsidRPr="00610E48">
        <w:rPr>
          <w:rFonts w:ascii="Calibri" w:hAnsi="Calibri"/>
          <w:noProof/>
          <w:sz w:val="20"/>
          <w:szCs w:val="20"/>
        </w:rPr>
        <w:t xml:space="preserve"> </w:t>
      </w:r>
      <w:r w:rsidRPr="00610E48">
        <w:rPr>
          <w:rFonts w:ascii="Calibri" w:hAnsi="Calibri"/>
          <w:b/>
          <w:noProof/>
          <w:sz w:val="20"/>
          <w:szCs w:val="20"/>
        </w:rPr>
        <w:t>1994</w:t>
      </w:r>
      <w:r w:rsidRPr="00610E48">
        <w:rPr>
          <w:rFonts w:ascii="Calibri" w:hAnsi="Calibri"/>
          <w:noProof/>
          <w:sz w:val="20"/>
          <w:szCs w:val="20"/>
        </w:rPr>
        <w:t xml:space="preserve">, </w:t>
      </w:r>
      <w:r w:rsidRPr="00610E48">
        <w:rPr>
          <w:rFonts w:ascii="Calibri" w:hAnsi="Calibri"/>
          <w:i/>
          <w:noProof/>
          <w:sz w:val="20"/>
          <w:szCs w:val="20"/>
        </w:rPr>
        <w:t>116</w:t>
      </w:r>
      <w:r w:rsidRPr="00610E48">
        <w:rPr>
          <w:rFonts w:ascii="Calibri" w:hAnsi="Calibri"/>
          <w:noProof/>
          <w:sz w:val="20"/>
          <w:szCs w:val="20"/>
        </w:rPr>
        <w:t>, 10533-10539.</w:t>
      </w:r>
      <w:bookmarkEnd w:id="557"/>
    </w:p>
    <w:p w:rsidR="00512D09" w:rsidRPr="00610E48" w:rsidRDefault="00512D09" w:rsidP="00512D09">
      <w:pPr>
        <w:spacing w:after="0" w:line="240" w:lineRule="auto"/>
        <w:rPr>
          <w:rFonts w:ascii="Calibri" w:hAnsi="Calibri"/>
          <w:noProof/>
          <w:sz w:val="20"/>
          <w:szCs w:val="20"/>
        </w:rPr>
      </w:pPr>
      <w:bookmarkStart w:id="558" w:name="_ENREF_323"/>
      <w:r w:rsidRPr="00610E48">
        <w:rPr>
          <w:rFonts w:ascii="Calibri" w:hAnsi="Calibri"/>
          <w:noProof/>
          <w:sz w:val="20"/>
          <w:szCs w:val="20"/>
        </w:rPr>
        <w:tab/>
        <w:t>(323)</w:t>
      </w:r>
      <w:r w:rsidRPr="00610E48">
        <w:rPr>
          <w:rFonts w:ascii="Calibri" w:hAnsi="Calibri"/>
          <w:noProof/>
          <w:sz w:val="20"/>
          <w:szCs w:val="20"/>
        </w:rPr>
        <w:tab/>
        <w:t xml:space="preserve">Kozliak, E. I.; Lambert, F. L.: "Order-to-disorder” for entropy change? Consider the numbers. </w:t>
      </w:r>
      <w:r w:rsidRPr="00610E48">
        <w:rPr>
          <w:rFonts w:ascii="Calibri" w:hAnsi="Calibri"/>
          <w:i/>
          <w:noProof/>
          <w:sz w:val="20"/>
          <w:szCs w:val="20"/>
        </w:rPr>
        <w:t>The Chemical Educator,</w:t>
      </w:r>
      <w:r w:rsidRPr="00610E48">
        <w:rPr>
          <w:rFonts w:ascii="Calibri" w:hAnsi="Calibri"/>
          <w:noProof/>
          <w:sz w:val="20"/>
          <w:szCs w:val="20"/>
        </w:rPr>
        <w:t xml:space="preserve"> </w:t>
      </w:r>
      <w:r w:rsidRPr="00610E48">
        <w:rPr>
          <w:rFonts w:ascii="Calibri" w:hAnsi="Calibri"/>
          <w:b/>
          <w:noProof/>
          <w:sz w:val="20"/>
          <w:szCs w:val="20"/>
        </w:rPr>
        <w:t>2005</w:t>
      </w:r>
      <w:r w:rsidRPr="00610E48">
        <w:rPr>
          <w:rFonts w:ascii="Calibri" w:hAnsi="Calibri"/>
          <w:noProof/>
          <w:sz w:val="20"/>
          <w:szCs w:val="20"/>
        </w:rPr>
        <w:t xml:space="preserve">, </w:t>
      </w:r>
      <w:r w:rsidRPr="00610E48">
        <w:rPr>
          <w:rFonts w:ascii="Calibri" w:hAnsi="Calibri"/>
          <w:i/>
          <w:noProof/>
          <w:sz w:val="20"/>
          <w:szCs w:val="20"/>
        </w:rPr>
        <w:t>10</w:t>
      </w:r>
      <w:r w:rsidRPr="00610E48">
        <w:rPr>
          <w:rFonts w:ascii="Calibri" w:hAnsi="Calibri"/>
          <w:noProof/>
          <w:sz w:val="20"/>
          <w:szCs w:val="20"/>
        </w:rPr>
        <w:t>, 24-25.</w:t>
      </w:r>
      <w:bookmarkEnd w:id="558"/>
    </w:p>
    <w:p w:rsidR="00512D09" w:rsidRPr="00610E48" w:rsidRDefault="00512D09" w:rsidP="00512D09">
      <w:pPr>
        <w:spacing w:after="0" w:line="240" w:lineRule="auto"/>
        <w:rPr>
          <w:rFonts w:ascii="Calibri" w:hAnsi="Calibri"/>
          <w:noProof/>
          <w:sz w:val="20"/>
          <w:szCs w:val="20"/>
        </w:rPr>
      </w:pPr>
      <w:bookmarkStart w:id="559" w:name="_ENREF_324"/>
      <w:r w:rsidRPr="00610E48">
        <w:rPr>
          <w:rFonts w:ascii="Calibri" w:hAnsi="Calibri"/>
          <w:noProof/>
          <w:sz w:val="20"/>
          <w:szCs w:val="20"/>
        </w:rPr>
        <w:tab/>
        <w:t>(324)</w:t>
      </w:r>
      <w:r w:rsidRPr="00610E48">
        <w:rPr>
          <w:rFonts w:ascii="Calibri" w:hAnsi="Calibri"/>
          <w:noProof/>
          <w:sz w:val="20"/>
          <w:szCs w:val="20"/>
        </w:rPr>
        <w:tab/>
        <w:t xml:space="preserve">Banker, M. J.; Clark, T. H.: Plasma/serum protein binding determinations. </w:t>
      </w:r>
      <w:r w:rsidRPr="00610E48">
        <w:rPr>
          <w:rFonts w:ascii="Calibri" w:hAnsi="Calibri"/>
          <w:i/>
          <w:noProof/>
          <w:sz w:val="20"/>
          <w:szCs w:val="20"/>
        </w:rPr>
        <w:t>Current drug metabolism,</w:t>
      </w:r>
      <w:r w:rsidRPr="00610E48">
        <w:rPr>
          <w:rFonts w:ascii="Calibri" w:hAnsi="Calibri"/>
          <w:noProof/>
          <w:sz w:val="20"/>
          <w:szCs w:val="20"/>
        </w:rPr>
        <w:t xml:space="preserve"> </w:t>
      </w:r>
      <w:r w:rsidRPr="00610E48">
        <w:rPr>
          <w:rFonts w:ascii="Calibri" w:hAnsi="Calibri"/>
          <w:b/>
          <w:noProof/>
          <w:sz w:val="20"/>
          <w:szCs w:val="20"/>
        </w:rPr>
        <w:t>2008</w:t>
      </w:r>
      <w:r w:rsidRPr="00610E48">
        <w:rPr>
          <w:rFonts w:ascii="Calibri" w:hAnsi="Calibri"/>
          <w:noProof/>
          <w:sz w:val="20"/>
          <w:szCs w:val="20"/>
        </w:rPr>
        <w:t xml:space="preserve">, </w:t>
      </w:r>
      <w:r w:rsidRPr="00610E48">
        <w:rPr>
          <w:rFonts w:ascii="Calibri" w:hAnsi="Calibri"/>
          <w:i/>
          <w:noProof/>
          <w:sz w:val="20"/>
          <w:szCs w:val="20"/>
        </w:rPr>
        <w:t>9</w:t>
      </w:r>
      <w:r w:rsidRPr="00610E48">
        <w:rPr>
          <w:rFonts w:ascii="Calibri" w:hAnsi="Calibri"/>
          <w:noProof/>
          <w:sz w:val="20"/>
          <w:szCs w:val="20"/>
        </w:rPr>
        <w:t>, 854-859.</w:t>
      </w:r>
      <w:bookmarkEnd w:id="559"/>
    </w:p>
    <w:p w:rsidR="00512D09" w:rsidRPr="00610E48" w:rsidRDefault="00512D09" w:rsidP="00512D09">
      <w:pPr>
        <w:spacing w:after="0" w:line="240" w:lineRule="auto"/>
        <w:rPr>
          <w:rFonts w:ascii="Calibri" w:hAnsi="Calibri"/>
          <w:noProof/>
          <w:sz w:val="20"/>
          <w:szCs w:val="20"/>
        </w:rPr>
      </w:pPr>
      <w:bookmarkStart w:id="560" w:name="_ENREF_325"/>
      <w:r w:rsidRPr="00610E48">
        <w:rPr>
          <w:rFonts w:ascii="Calibri" w:hAnsi="Calibri"/>
          <w:noProof/>
          <w:sz w:val="20"/>
          <w:szCs w:val="20"/>
        </w:rPr>
        <w:tab/>
        <w:t>(325)</w:t>
      </w:r>
      <w:r w:rsidRPr="00610E48">
        <w:rPr>
          <w:rFonts w:ascii="Calibri" w:hAnsi="Calibri"/>
          <w:noProof/>
          <w:sz w:val="20"/>
          <w:szCs w:val="20"/>
        </w:rPr>
        <w:tab/>
        <w:t xml:space="preserve">Barbehenn, R. V.; Peter Constabel, C.: Tannins in plant–herbivore interactions. </w:t>
      </w:r>
      <w:r w:rsidRPr="00610E48">
        <w:rPr>
          <w:rFonts w:ascii="Calibri" w:hAnsi="Calibri"/>
          <w:i/>
          <w:noProof/>
          <w:sz w:val="20"/>
          <w:szCs w:val="20"/>
        </w:rPr>
        <w:t>Phytochemistry,</w:t>
      </w:r>
      <w:r w:rsidRPr="00610E48">
        <w:rPr>
          <w:rFonts w:ascii="Calibri" w:hAnsi="Calibri"/>
          <w:noProof/>
          <w:sz w:val="20"/>
          <w:szCs w:val="20"/>
        </w:rPr>
        <w:t xml:space="preserve"> </w:t>
      </w:r>
      <w:r w:rsidRPr="00610E48">
        <w:rPr>
          <w:rFonts w:ascii="Calibri" w:hAnsi="Calibri"/>
          <w:b/>
          <w:noProof/>
          <w:sz w:val="20"/>
          <w:szCs w:val="20"/>
        </w:rPr>
        <w:t>2011</w:t>
      </w:r>
      <w:r w:rsidRPr="00610E48">
        <w:rPr>
          <w:rFonts w:ascii="Calibri" w:hAnsi="Calibri"/>
          <w:noProof/>
          <w:sz w:val="20"/>
          <w:szCs w:val="20"/>
        </w:rPr>
        <w:t xml:space="preserve">, </w:t>
      </w:r>
      <w:r w:rsidRPr="00610E48">
        <w:rPr>
          <w:rFonts w:ascii="Calibri" w:hAnsi="Calibri"/>
          <w:i/>
          <w:noProof/>
          <w:sz w:val="20"/>
          <w:szCs w:val="20"/>
        </w:rPr>
        <w:t>72</w:t>
      </w:r>
      <w:r w:rsidRPr="00610E48">
        <w:rPr>
          <w:rFonts w:ascii="Calibri" w:hAnsi="Calibri"/>
          <w:noProof/>
          <w:sz w:val="20"/>
          <w:szCs w:val="20"/>
        </w:rPr>
        <w:t>, 1551-1565.</w:t>
      </w:r>
      <w:bookmarkEnd w:id="560"/>
    </w:p>
    <w:p w:rsidR="00512D09" w:rsidRPr="00610E48" w:rsidRDefault="00512D09" w:rsidP="00512D09">
      <w:pPr>
        <w:spacing w:after="0" w:line="240" w:lineRule="auto"/>
        <w:rPr>
          <w:rFonts w:ascii="Calibri" w:hAnsi="Calibri"/>
          <w:noProof/>
          <w:sz w:val="20"/>
          <w:szCs w:val="20"/>
        </w:rPr>
      </w:pPr>
      <w:bookmarkStart w:id="561" w:name="_ENREF_326"/>
      <w:r w:rsidRPr="00610E48">
        <w:rPr>
          <w:rFonts w:ascii="Calibri" w:hAnsi="Calibri"/>
          <w:noProof/>
          <w:sz w:val="20"/>
          <w:szCs w:val="20"/>
        </w:rPr>
        <w:tab/>
        <w:t>(326)</w:t>
      </w:r>
      <w:r w:rsidRPr="00610E48">
        <w:rPr>
          <w:rFonts w:ascii="Calibri" w:hAnsi="Calibri"/>
          <w:noProof/>
          <w:sz w:val="20"/>
          <w:szCs w:val="20"/>
        </w:rPr>
        <w:tab/>
        <w:t xml:space="preserve">Bate-Smith, E. C.: Haemanalysis of tannins: The concept of relative astringency. </w:t>
      </w:r>
      <w:r w:rsidRPr="00610E48">
        <w:rPr>
          <w:rFonts w:ascii="Calibri" w:hAnsi="Calibri"/>
          <w:i/>
          <w:noProof/>
          <w:sz w:val="20"/>
          <w:szCs w:val="20"/>
        </w:rPr>
        <w:t>Phytochemistry,</w:t>
      </w:r>
      <w:r w:rsidRPr="00610E48">
        <w:rPr>
          <w:rFonts w:ascii="Calibri" w:hAnsi="Calibri"/>
          <w:noProof/>
          <w:sz w:val="20"/>
          <w:szCs w:val="20"/>
        </w:rPr>
        <w:t xml:space="preserve"> </w:t>
      </w:r>
      <w:r w:rsidRPr="00610E48">
        <w:rPr>
          <w:rFonts w:ascii="Calibri" w:hAnsi="Calibri"/>
          <w:b/>
          <w:noProof/>
          <w:sz w:val="20"/>
          <w:szCs w:val="20"/>
        </w:rPr>
        <w:t>1973</w:t>
      </w:r>
      <w:r w:rsidRPr="00610E48">
        <w:rPr>
          <w:rFonts w:ascii="Calibri" w:hAnsi="Calibri"/>
          <w:noProof/>
          <w:sz w:val="20"/>
          <w:szCs w:val="20"/>
        </w:rPr>
        <w:t xml:space="preserve">, </w:t>
      </w:r>
      <w:r w:rsidRPr="00610E48">
        <w:rPr>
          <w:rFonts w:ascii="Calibri" w:hAnsi="Calibri"/>
          <w:i/>
          <w:noProof/>
          <w:sz w:val="20"/>
          <w:szCs w:val="20"/>
        </w:rPr>
        <w:t>12</w:t>
      </w:r>
      <w:r w:rsidRPr="00610E48">
        <w:rPr>
          <w:rFonts w:ascii="Calibri" w:hAnsi="Calibri"/>
          <w:noProof/>
          <w:sz w:val="20"/>
          <w:szCs w:val="20"/>
        </w:rPr>
        <w:t>, 907-912.</w:t>
      </w:r>
      <w:bookmarkEnd w:id="561"/>
    </w:p>
    <w:p w:rsidR="00512D09" w:rsidRPr="00610E48" w:rsidRDefault="00512D09" w:rsidP="00512D09">
      <w:pPr>
        <w:spacing w:after="0" w:line="240" w:lineRule="auto"/>
        <w:rPr>
          <w:rFonts w:ascii="Calibri" w:hAnsi="Calibri"/>
          <w:noProof/>
          <w:sz w:val="20"/>
          <w:szCs w:val="20"/>
        </w:rPr>
      </w:pPr>
      <w:bookmarkStart w:id="562" w:name="_ENREF_327"/>
      <w:r w:rsidRPr="00610E48">
        <w:rPr>
          <w:rFonts w:ascii="Calibri" w:hAnsi="Calibri"/>
          <w:noProof/>
          <w:sz w:val="20"/>
          <w:szCs w:val="20"/>
        </w:rPr>
        <w:tab/>
        <w:t>(327)</w:t>
      </w:r>
      <w:r w:rsidRPr="00610E48">
        <w:rPr>
          <w:rFonts w:ascii="Calibri" w:hAnsi="Calibri"/>
          <w:noProof/>
          <w:sz w:val="20"/>
          <w:szCs w:val="20"/>
        </w:rPr>
        <w:tab/>
        <w:t xml:space="preserve">Larrosa, M.; García-Conesa, M. T.; Espín, J. C.; Tomás-Barberán, F. A.: Ellagitannins, ellagic acid and vascular health. </w:t>
      </w:r>
      <w:r w:rsidRPr="00610E48">
        <w:rPr>
          <w:rFonts w:ascii="Calibri" w:hAnsi="Calibri"/>
          <w:i/>
          <w:noProof/>
          <w:sz w:val="20"/>
          <w:szCs w:val="20"/>
        </w:rPr>
        <w:t>Molecular Aspects of Medicine,</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31</w:t>
      </w:r>
      <w:r w:rsidRPr="00610E48">
        <w:rPr>
          <w:rFonts w:ascii="Calibri" w:hAnsi="Calibri"/>
          <w:noProof/>
          <w:sz w:val="20"/>
          <w:szCs w:val="20"/>
        </w:rPr>
        <w:t>, 513-539.</w:t>
      </w:r>
      <w:bookmarkEnd w:id="562"/>
    </w:p>
    <w:p w:rsidR="00512D09" w:rsidRPr="00610E48" w:rsidRDefault="00512D09" w:rsidP="00512D09">
      <w:pPr>
        <w:spacing w:after="0" w:line="240" w:lineRule="auto"/>
        <w:rPr>
          <w:rFonts w:ascii="Calibri" w:hAnsi="Calibri"/>
          <w:noProof/>
          <w:sz w:val="20"/>
          <w:szCs w:val="20"/>
        </w:rPr>
      </w:pPr>
      <w:bookmarkStart w:id="563" w:name="_ENREF_328"/>
      <w:r w:rsidRPr="00610E48">
        <w:rPr>
          <w:rFonts w:ascii="Calibri" w:hAnsi="Calibri"/>
          <w:noProof/>
          <w:sz w:val="20"/>
          <w:szCs w:val="20"/>
        </w:rPr>
        <w:tab/>
        <w:t>(328)</w:t>
      </w:r>
      <w:r w:rsidRPr="00610E48">
        <w:rPr>
          <w:rFonts w:ascii="Calibri" w:hAnsi="Calibri"/>
          <w:noProof/>
          <w:sz w:val="20"/>
          <w:szCs w:val="20"/>
        </w:rPr>
        <w:tab/>
        <w:t xml:space="preserve">Cala, O.; Pinaud, N.; Simon, C.; Fouquet, E.; Laguerre, M.; Dufourc, E. J.; Pianet, I.: NMR and molecular modeling of wine tannins binding to saliva proteins: revisiting astringency from molecular and colloidal prospects. </w:t>
      </w:r>
      <w:r w:rsidRPr="00610E48">
        <w:rPr>
          <w:rFonts w:ascii="Calibri" w:hAnsi="Calibri"/>
          <w:i/>
          <w:noProof/>
          <w:sz w:val="20"/>
          <w:szCs w:val="20"/>
        </w:rPr>
        <w:t>The FASEB Journal,</w:t>
      </w:r>
      <w:r w:rsidRPr="00610E48">
        <w:rPr>
          <w:rFonts w:ascii="Calibri" w:hAnsi="Calibri"/>
          <w:noProof/>
          <w:sz w:val="20"/>
          <w:szCs w:val="20"/>
        </w:rPr>
        <w:t xml:space="preserve"> </w:t>
      </w:r>
      <w:r w:rsidRPr="00610E48">
        <w:rPr>
          <w:rFonts w:ascii="Calibri" w:hAnsi="Calibri"/>
          <w:b/>
          <w:noProof/>
          <w:sz w:val="20"/>
          <w:szCs w:val="20"/>
        </w:rPr>
        <w:t>2010</w:t>
      </w:r>
      <w:r w:rsidRPr="00610E48">
        <w:rPr>
          <w:rFonts w:ascii="Calibri" w:hAnsi="Calibri"/>
          <w:noProof/>
          <w:sz w:val="20"/>
          <w:szCs w:val="20"/>
        </w:rPr>
        <w:t xml:space="preserve">, </w:t>
      </w:r>
      <w:r w:rsidRPr="00610E48">
        <w:rPr>
          <w:rFonts w:ascii="Calibri" w:hAnsi="Calibri"/>
          <w:i/>
          <w:noProof/>
          <w:sz w:val="20"/>
          <w:szCs w:val="20"/>
        </w:rPr>
        <w:t>24</w:t>
      </w:r>
      <w:r w:rsidRPr="00610E48">
        <w:rPr>
          <w:rFonts w:ascii="Calibri" w:hAnsi="Calibri"/>
          <w:noProof/>
          <w:sz w:val="20"/>
          <w:szCs w:val="20"/>
        </w:rPr>
        <w:t>, 4281-4290.</w:t>
      </w:r>
      <w:bookmarkEnd w:id="563"/>
    </w:p>
    <w:p w:rsidR="00512D09" w:rsidRPr="00610E48" w:rsidRDefault="00512D09" w:rsidP="00512D09">
      <w:pPr>
        <w:spacing w:after="0" w:line="240" w:lineRule="auto"/>
        <w:rPr>
          <w:rFonts w:ascii="Calibri" w:hAnsi="Calibri"/>
          <w:noProof/>
          <w:sz w:val="20"/>
          <w:szCs w:val="20"/>
        </w:rPr>
      </w:pPr>
      <w:bookmarkStart w:id="564" w:name="_ENREF_329"/>
      <w:r w:rsidRPr="00610E48">
        <w:rPr>
          <w:rFonts w:ascii="Calibri" w:hAnsi="Calibri"/>
          <w:noProof/>
          <w:sz w:val="20"/>
          <w:szCs w:val="20"/>
        </w:rPr>
        <w:tab/>
        <w:t>(329)</w:t>
      </w:r>
      <w:r w:rsidRPr="00610E48">
        <w:rPr>
          <w:rFonts w:ascii="Calibri" w:hAnsi="Calibri"/>
          <w:noProof/>
          <w:sz w:val="20"/>
          <w:szCs w:val="20"/>
        </w:rPr>
        <w:tab/>
        <w:t xml:space="preserve">Serrano, J.; Puupponen-Pimiä, R.; Dauer, A.; Aura, A.-M.; Saura-Calixto, F.: Tannins: Current knowledge of food sources, intake, bioavailability and biological effects. </w:t>
      </w:r>
      <w:r w:rsidRPr="00610E48">
        <w:rPr>
          <w:rFonts w:ascii="Calibri" w:hAnsi="Calibri"/>
          <w:i/>
          <w:noProof/>
          <w:sz w:val="20"/>
          <w:szCs w:val="20"/>
        </w:rPr>
        <w:t>Molecular Nutrition &amp; Food Research,</w:t>
      </w:r>
      <w:r w:rsidRPr="00610E48">
        <w:rPr>
          <w:rFonts w:ascii="Calibri" w:hAnsi="Calibri"/>
          <w:noProof/>
          <w:sz w:val="20"/>
          <w:szCs w:val="20"/>
        </w:rPr>
        <w:t xml:space="preserve"> </w:t>
      </w:r>
      <w:r w:rsidRPr="00610E48">
        <w:rPr>
          <w:rFonts w:ascii="Calibri" w:hAnsi="Calibri"/>
          <w:b/>
          <w:noProof/>
          <w:sz w:val="20"/>
          <w:szCs w:val="20"/>
        </w:rPr>
        <w:t>2009</w:t>
      </w:r>
      <w:r w:rsidRPr="00610E48">
        <w:rPr>
          <w:rFonts w:ascii="Calibri" w:hAnsi="Calibri"/>
          <w:noProof/>
          <w:sz w:val="20"/>
          <w:szCs w:val="20"/>
        </w:rPr>
        <w:t xml:space="preserve">, </w:t>
      </w:r>
      <w:r w:rsidRPr="00610E48">
        <w:rPr>
          <w:rFonts w:ascii="Calibri" w:hAnsi="Calibri"/>
          <w:i/>
          <w:noProof/>
          <w:sz w:val="20"/>
          <w:szCs w:val="20"/>
        </w:rPr>
        <w:t>53</w:t>
      </w:r>
      <w:r w:rsidRPr="00610E48">
        <w:rPr>
          <w:rFonts w:ascii="Calibri" w:hAnsi="Calibri"/>
          <w:noProof/>
          <w:sz w:val="20"/>
          <w:szCs w:val="20"/>
        </w:rPr>
        <w:t>, S310-S329.</w:t>
      </w:r>
      <w:bookmarkEnd w:id="564"/>
    </w:p>
    <w:p w:rsidR="00512D09" w:rsidRPr="00610E48" w:rsidRDefault="00512D09" w:rsidP="00512D09">
      <w:pPr>
        <w:spacing w:after="0" w:line="240" w:lineRule="auto"/>
        <w:rPr>
          <w:rFonts w:ascii="Calibri" w:hAnsi="Calibri"/>
          <w:noProof/>
          <w:sz w:val="20"/>
          <w:szCs w:val="20"/>
        </w:rPr>
      </w:pPr>
      <w:bookmarkStart w:id="565" w:name="_ENREF_330"/>
      <w:r w:rsidRPr="00610E48">
        <w:rPr>
          <w:rFonts w:ascii="Calibri" w:hAnsi="Calibri"/>
          <w:noProof/>
          <w:sz w:val="20"/>
          <w:szCs w:val="20"/>
        </w:rPr>
        <w:tab/>
        <w:t>(330)</w:t>
      </w:r>
      <w:r w:rsidRPr="00610E48">
        <w:rPr>
          <w:rFonts w:ascii="Calibri" w:hAnsi="Calibri"/>
          <w:noProof/>
          <w:sz w:val="20"/>
          <w:szCs w:val="20"/>
        </w:rPr>
        <w:tab/>
        <w:t xml:space="preserve">Larry, G. B.; John, C. R.: Biochemical Mechanisms of the Antinutritional Effects of Tannins. In </w:t>
      </w:r>
      <w:r w:rsidRPr="00610E48">
        <w:rPr>
          <w:rFonts w:ascii="Calibri" w:hAnsi="Calibri"/>
          <w:i/>
          <w:noProof/>
          <w:sz w:val="20"/>
          <w:szCs w:val="20"/>
        </w:rPr>
        <w:t>Phenolic Compounds in Food and Their Effects on Health I</w:t>
      </w:r>
      <w:r w:rsidRPr="00610E48">
        <w:rPr>
          <w:rFonts w:ascii="Calibri" w:hAnsi="Calibri"/>
          <w:noProof/>
          <w:sz w:val="20"/>
          <w:szCs w:val="20"/>
        </w:rPr>
        <w:t>; American Chemical Society, 1992; Vol. 506; pp 298-304.</w:t>
      </w:r>
      <w:bookmarkEnd w:id="565"/>
    </w:p>
    <w:p w:rsidR="00512D09" w:rsidRPr="00610E48" w:rsidRDefault="00512D09" w:rsidP="00512D09">
      <w:pPr>
        <w:spacing w:after="0" w:line="240" w:lineRule="auto"/>
        <w:rPr>
          <w:rFonts w:ascii="Calibri" w:hAnsi="Calibri"/>
          <w:noProof/>
          <w:sz w:val="20"/>
          <w:szCs w:val="20"/>
        </w:rPr>
      </w:pPr>
      <w:bookmarkStart w:id="566" w:name="_ENREF_331"/>
      <w:r w:rsidRPr="00610E48">
        <w:rPr>
          <w:rFonts w:ascii="Calibri" w:hAnsi="Calibri"/>
          <w:noProof/>
          <w:sz w:val="20"/>
          <w:szCs w:val="20"/>
        </w:rPr>
        <w:tab/>
        <w:t>(331)</w:t>
      </w:r>
      <w:r w:rsidRPr="00610E48">
        <w:rPr>
          <w:rFonts w:ascii="Calibri" w:hAnsi="Calibri"/>
          <w:noProof/>
          <w:sz w:val="20"/>
          <w:szCs w:val="20"/>
        </w:rPr>
        <w:tab/>
        <w:t xml:space="preserve">Graf, E.; Empson, K. L.; Eaton, J. W.: Phytic acid. A natural antioxidant. </w:t>
      </w:r>
      <w:r w:rsidRPr="00610E48">
        <w:rPr>
          <w:rFonts w:ascii="Calibri" w:hAnsi="Calibri"/>
          <w:i/>
          <w:noProof/>
          <w:sz w:val="20"/>
          <w:szCs w:val="20"/>
        </w:rPr>
        <w:t>Journal of Biological Chemistry,</w:t>
      </w:r>
      <w:r w:rsidRPr="00610E48">
        <w:rPr>
          <w:rFonts w:ascii="Calibri" w:hAnsi="Calibri"/>
          <w:noProof/>
          <w:sz w:val="20"/>
          <w:szCs w:val="20"/>
        </w:rPr>
        <w:t xml:space="preserve"> </w:t>
      </w:r>
      <w:r w:rsidRPr="00610E48">
        <w:rPr>
          <w:rFonts w:ascii="Calibri" w:hAnsi="Calibri"/>
          <w:b/>
          <w:noProof/>
          <w:sz w:val="20"/>
          <w:szCs w:val="20"/>
        </w:rPr>
        <w:t>1987</w:t>
      </w:r>
      <w:r w:rsidRPr="00610E48">
        <w:rPr>
          <w:rFonts w:ascii="Calibri" w:hAnsi="Calibri"/>
          <w:noProof/>
          <w:sz w:val="20"/>
          <w:szCs w:val="20"/>
        </w:rPr>
        <w:t xml:space="preserve">, </w:t>
      </w:r>
      <w:r w:rsidRPr="00610E48">
        <w:rPr>
          <w:rFonts w:ascii="Calibri" w:hAnsi="Calibri"/>
          <w:i/>
          <w:noProof/>
          <w:sz w:val="20"/>
          <w:szCs w:val="20"/>
        </w:rPr>
        <w:t>262</w:t>
      </w:r>
      <w:r w:rsidRPr="00610E48">
        <w:rPr>
          <w:rFonts w:ascii="Calibri" w:hAnsi="Calibri"/>
          <w:noProof/>
          <w:sz w:val="20"/>
          <w:szCs w:val="20"/>
        </w:rPr>
        <w:t>, 11647-11650.</w:t>
      </w:r>
      <w:bookmarkEnd w:id="566"/>
    </w:p>
    <w:p w:rsidR="00512D09" w:rsidRPr="00610E48" w:rsidRDefault="00512D09" w:rsidP="00512D09">
      <w:pPr>
        <w:spacing w:line="240" w:lineRule="auto"/>
        <w:rPr>
          <w:rFonts w:ascii="Calibri" w:hAnsi="Calibri"/>
          <w:noProof/>
          <w:sz w:val="20"/>
          <w:szCs w:val="20"/>
        </w:rPr>
      </w:pPr>
      <w:bookmarkStart w:id="567" w:name="_ENREF_332"/>
      <w:r w:rsidRPr="00610E48">
        <w:rPr>
          <w:rFonts w:ascii="Calibri" w:hAnsi="Calibri"/>
          <w:noProof/>
          <w:sz w:val="20"/>
          <w:szCs w:val="20"/>
        </w:rPr>
        <w:tab/>
        <w:t>(332)</w:t>
      </w:r>
      <w:r w:rsidRPr="00610E48">
        <w:rPr>
          <w:rFonts w:ascii="Calibri" w:hAnsi="Calibri"/>
          <w:noProof/>
          <w:sz w:val="20"/>
          <w:szCs w:val="20"/>
        </w:rPr>
        <w:tab/>
        <w:t xml:space="preserve">Weirich, C. S.; Erzberger, J. P.; Flick, J. S.; Berger, J. M.; Thorner, J.; Weis, K.: Activation of the DExD/H-box protein Dbp5 by the nuclear-pore protein Gle1 and its coactivator InsP6 is required for mRNA export. </w:t>
      </w:r>
      <w:r w:rsidRPr="00610E48">
        <w:rPr>
          <w:rFonts w:ascii="Calibri" w:hAnsi="Calibri"/>
          <w:i/>
          <w:noProof/>
          <w:sz w:val="20"/>
          <w:szCs w:val="20"/>
        </w:rPr>
        <w:t>Nature Cell Biology,</w:t>
      </w:r>
      <w:r w:rsidRPr="00610E48">
        <w:rPr>
          <w:rFonts w:ascii="Calibri" w:hAnsi="Calibri"/>
          <w:noProof/>
          <w:sz w:val="20"/>
          <w:szCs w:val="20"/>
        </w:rPr>
        <w:t xml:space="preserve"> </w:t>
      </w:r>
      <w:r w:rsidRPr="00610E48">
        <w:rPr>
          <w:rFonts w:ascii="Calibri" w:hAnsi="Calibri"/>
          <w:b/>
          <w:noProof/>
          <w:sz w:val="20"/>
          <w:szCs w:val="20"/>
        </w:rPr>
        <w:t>2006</w:t>
      </w:r>
      <w:r w:rsidRPr="00610E48">
        <w:rPr>
          <w:rFonts w:ascii="Calibri" w:hAnsi="Calibri"/>
          <w:noProof/>
          <w:sz w:val="20"/>
          <w:szCs w:val="20"/>
        </w:rPr>
        <w:t xml:space="preserve">, </w:t>
      </w:r>
      <w:r w:rsidRPr="00610E48">
        <w:rPr>
          <w:rFonts w:ascii="Calibri" w:hAnsi="Calibri"/>
          <w:i/>
          <w:noProof/>
          <w:sz w:val="20"/>
          <w:szCs w:val="20"/>
        </w:rPr>
        <w:t>8</w:t>
      </w:r>
      <w:r w:rsidRPr="00610E48">
        <w:rPr>
          <w:rFonts w:ascii="Calibri" w:hAnsi="Calibri"/>
          <w:noProof/>
          <w:sz w:val="20"/>
          <w:szCs w:val="20"/>
        </w:rPr>
        <w:t>, 668-676.</w:t>
      </w:r>
      <w:bookmarkEnd w:id="567"/>
    </w:p>
    <w:p w:rsidR="0095721B" w:rsidRPr="00AA23FB" w:rsidRDefault="0075172E" w:rsidP="0095721B">
      <w:r w:rsidRPr="00610E48">
        <w:rPr>
          <w:sz w:val="20"/>
          <w:szCs w:val="20"/>
        </w:rPr>
        <w:fldChar w:fldCharType="end"/>
      </w:r>
      <w:r>
        <w:fldChar w:fldCharType="begin"/>
      </w:r>
      <w:r w:rsidR="00254917">
        <w:instrText xml:space="preserve"> ADDIN </w:instrText>
      </w:r>
      <w:r>
        <w:fldChar w:fldCharType="end"/>
      </w:r>
    </w:p>
    <w:sectPr w:rsidR="0095721B" w:rsidRPr="00AA23FB" w:rsidSect="000A0229">
      <w:type w:val="continuous"/>
      <w:pgSz w:w="11906" w:h="16838"/>
      <w:pgMar w:top="1440" w:right="1440" w:bottom="1440" w:left="226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62B" w:rsidRDefault="00CF162B" w:rsidP="00174119">
      <w:pPr>
        <w:spacing w:after="0" w:line="240" w:lineRule="auto"/>
      </w:pPr>
      <w:r>
        <w:separator/>
      </w:r>
    </w:p>
  </w:endnote>
  <w:endnote w:type="continuationSeparator" w:id="0">
    <w:p w:rsidR="00CF162B" w:rsidRDefault="00CF162B" w:rsidP="00174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thematica1">
    <w:altName w:val="Symbol"/>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gothic">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2716"/>
      <w:docPartObj>
        <w:docPartGallery w:val="Page Numbers (Bottom of Page)"/>
        <w:docPartUnique/>
      </w:docPartObj>
    </w:sdtPr>
    <w:sdtContent>
      <w:p w:rsidR="003A5686" w:rsidRDefault="003A5686">
        <w:pPr>
          <w:pStyle w:val="Footer"/>
          <w:jc w:val="center"/>
        </w:pPr>
        <w:r>
          <w:fldChar w:fldCharType="begin"/>
        </w:r>
        <w:r>
          <w:instrText xml:space="preserve"> PAGE   \* MERGEFORMAT </w:instrText>
        </w:r>
        <w:r>
          <w:fldChar w:fldCharType="separate"/>
        </w:r>
        <w:r w:rsidR="00CE35F1">
          <w:rPr>
            <w:noProof/>
          </w:rPr>
          <w:t>viii</w:t>
        </w:r>
        <w:r>
          <w:rPr>
            <w:noProof/>
          </w:rPr>
          <w:fldChar w:fldCharType="end"/>
        </w:r>
      </w:p>
    </w:sdtContent>
  </w:sdt>
  <w:p w:rsidR="003A5686" w:rsidRDefault="003A5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62B" w:rsidRDefault="00CF162B" w:rsidP="00174119">
      <w:pPr>
        <w:spacing w:after="0" w:line="240" w:lineRule="auto"/>
      </w:pPr>
      <w:r>
        <w:separator/>
      </w:r>
    </w:p>
  </w:footnote>
  <w:footnote w:type="continuationSeparator" w:id="0">
    <w:p w:rsidR="00CF162B" w:rsidRDefault="00CF162B" w:rsidP="001741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409.8pt;height:275.4pt;visibility:visible;mso-wrap-style:square" o:bullet="t">
        <v:imagedata r:id="rId1" o:title=""/>
      </v:shape>
    </w:pict>
  </w:numPicBullet>
  <w:abstractNum w:abstractNumId="0" w15:restartNumberingAfterBreak="0">
    <w:nsid w:val="057222DD"/>
    <w:multiLevelType w:val="hybridMultilevel"/>
    <w:tmpl w:val="6C3A85FE"/>
    <w:lvl w:ilvl="0" w:tplc="91FE513E">
      <w:start w:val="1"/>
      <w:numFmt w:val="decimal"/>
      <w:pStyle w:val="TableofFigure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9B3AFB"/>
    <w:multiLevelType w:val="multilevel"/>
    <w:tmpl w:val="619C1BF0"/>
    <w:lvl w:ilvl="0">
      <w:start w:val="1"/>
      <w:numFmt w:val="decimal"/>
      <w:pStyle w:val="Heading1"/>
      <w:lvlText w:val="%1"/>
      <w:lvlJc w:val="left"/>
      <w:pPr>
        <w:ind w:left="574" w:hanging="432"/>
      </w:pPr>
      <w:rPr>
        <w:color w:val="FFFFFF" w:themeColor="background1"/>
      </w:r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4F81BD" w:themeColor="accent1"/>
        <w:spacing w:val="0"/>
        <w:w w:val="0"/>
        <w:kern w:val="0"/>
        <w:position w:val="0"/>
        <w:szCs w:val="0"/>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F6F569B"/>
    <w:multiLevelType w:val="hybridMultilevel"/>
    <w:tmpl w:val="60BEC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785FB8"/>
    <w:multiLevelType w:val="hybridMultilevel"/>
    <w:tmpl w:val="32507A76"/>
    <w:lvl w:ilvl="0" w:tplc="272A00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BA93E31"/>
    <w:multiLevelType w:val="hybridMultilevel"/>
    <w:tmpl w:val="478C4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88543C"/>
    <w:multiLevelType w:val="hybridMultilevel"/>
    <w:tmpl w:val="08C23BA6"/>
    <w:lvl w:ilvl="0" w:tplc="9288D912">
      <w:start w:val="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1024B1"/>
    <w:multiLevelType w:val="hybridMultilevel"/>
    <w:tmpl w:val="6A906C92"/>
    <w:lvl w:ilvl="0" w:tplc="CD2A6E5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F45BAD"/>
    <w:multiLevelType w:val="hybridMultilevel"/>
    <w:tmpl w:val="F4D66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9808AE"/>
    <w:multiLevelType w:val="hybridMultilevel"/>
    <w:tmpl w:val="60F40C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DF4BB0"/>
    <w:multiLevelType w:val="hybridMultilevel"/>
    <w:tmpl w:val="B8A06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4"/>
  </w:num>
  <w:num w:numId="6">
    <w:abstractNumId w:val="2"/>
  </w:num>
  <w:num w:numId="7">
    <w:abstractNumId w:val="5"/>
  </w:num>
  <w:num w:numId="8">
    <w:abstractNumId w:val="9"/>
  </w:num>
  <w:num w:numId="9">
    <w:abstractNumId w:val="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ccounts Chemical Res po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trrespwzsdr07efd5tx2w96x22re9s0fsdt&quot;&gt;My EndNote Library&lt;record-ids&gt;&lt;item&gt;2&lt;/item&gt;&lt;item&gt;8&lt;/item&gt;&lt;item&gt;13&lt;/item&gt;&lt;item&gt;18&lt;/item&gt;&lt;item&gt;20&lt;/item&gt;&lt;item&gt;22&lt;/item&gt;&lt;item&gt;29&lt;/item&gt;&lt;item&gt;43&lt;/item&gt;&lt;item&gt;95&lt;/item&gt;&lt;item&gt;122&lt;/item&gt;&lt;item&gt;129&lt;/item&gt;&lt;item&gt;134&lt;/item&gt;&lt;item&gt;135&lt;/item&gt;&lt;item&gt;136&lt;/item&gt;&lt;item&gt;137&lt;/item&gt;&lt;item&gt;139&lt;/item&gt;&lt;item&gt;143&lt;/item&gt;&lt;item&gt;148&lt;/item&gt;&lt;item&gt;153&lt;/item&gt;&lt;item&gt;154&lt;/item&gt;&lt;item&gt;156&lt;/item&gt;&lt;item&gt;157&lt;/item&gt;&lt;item&gt;159&lt;/item&gt;&lt;item&gt;164&lt;/item&gt;&lt;item&gt;173&lt;/item&gt;&lt;item&gt;177&lt;/item&gt;&lt;item&gt;179&lt;/item&gt;&lt;item&gt;187&lt;/item&gt;&lt;item&gt;188&lt;/item&gt;&lt;item&gt;189&lt;/item&gt;&lt;item&gt;190&lt;/item&gt;&lt;item&gt;194&lt;/item&gt;&lt;item&gt;195&lt;/item&gt;&lt;item&gt;196&lt;/item&gt;&lt;item&gt;197&lt;/item&gt;&lt;item&gt;199&lt;/item&gt;&lt;item&gt;204&lt;/item&gt;&lt;item&gt;205&lt;/item&gt;&lt;item&gt;207&lt;/item&gt;&lt;item&gt;214&lt;/item&gt;&lt;item&gt;216&lt;/item&gt;&lt;item&gt;217&lt;/item&gt;&lt;item&gt;221&lt;/item&gt;&lt;item&gt;229&lt;/item&gt;&lt;item&gt;230&lt;/item&gt;&lt;item&gt;234&lt;/item&gt;&lt;item&gt;246&lt;/item&gt;&lt;item&gt;248&lt;/item&gt;&lt;item&gt;249&lt;/item&gt;&lt;item&gt;250&lt;/item&gt;&lt;item&gt;251&lt;/item&gt;&lt;item&gt;253&lt;/item&gt;&lt;item&gt;254&lt;/item&gt;&lt;item&gt;256&lt;/item&gt;&lt;item&gt;261&lt;/item&gt;&lt;item&gt;262&lt;/item&gt;&lt;item&gt;263&lt;/item&gt;&lt;item&gt;265&lt;/item&gt;&lt;item&gt;266&lt;/item&gt;&lt;item&gt;267&lt;/item&gt;&lt;item&gt;268&lt;/item&gt;&lt;item&gt;273&lt;/item&gt;&lt;item&gt;274&lt;/item&gt;&lt;item&gt;275&lt;/item&gt;&lt;item&gt;276&lt;/item&gt;&lt;item&gt;277&lt;/item&gt;&lt;item&gt;278&lt;/item&gt;&lt;item&gt;281&lt;/item&gt;&lt;item&gt;282&lt;/item&gt;&lt;item&gt;283&lt;/item&gt;&lt;item&gt;284&lt;/item&gt;&lt;item&gt;285&lt;/item&gt;&lt;item&gt;287&lt;/item&gt;&lt;item&gt;288&lt;/item&gt;&lt;item&gt;289&lt;/item&gt;&lt;item&gt;290&lt;/item&gt;&lt;item&gt;291&lt;/item&gt;&lt;item&gt;292&lt;/item&gt;&lt;item&gt;293&lt;/item&gt;&lt;item&gt;294&lt;/item&gt;&lt;item&gt;295&lt;/item&gt;&lt;item&gt;296&lt;/item&gt;&lt;item&gt;297&lt;/item&gt;&lt;item&gt;307&lt;/item&gt;&lt;item&gt;313&lt;/item&gt;&lt;item&gt;314&lt;/item&gt;&lt;item&gt;315&lt;/item&gt;&lt;item&gt;316&lt;/item&gt;&lt;item&gt;320&lt;/item&gt;&lt;item&gt;322&lt;/item&gt;&lt;item&gt;326&lt;/item&gt;&lt;item&gt;327&lt;/item&gt;&lt;item&gt;328&lt;/item&gt;&lt;item&gt;342&lt;/item&gt;&lt;item&gt;343&lt;/item&gt;&lt;item&gt;344&lt;/item&gt;&lt;item&gt;345&lt;/item&gt;&lt;item&gt;348&lt;/item&gt;&lt;item&gt;349&lt;/item&gt;&lt;item&gt;350&lt;/item&gt;&lt;item&gt;351&lt;/item&gt;&lt;item&gt;355&lt;/item&gt;&lt;item&gt;356&lt;/item&gt;&lt;item&gt;357&lt;/item&gt;&lt;item&gt;359&lt;/item&gt;&lt;item&gt;360&lt;/item&gt;&lt;item&gt;362&lt;/item&gt;&lt;item&gt;363&lt;/item&gt;&lt;item&gt;364&lt;/item&gt;&lt;item&gt;365&lt;/item&gt;&lt;item&gt;366&lt;/item&gt;&lt;item&gt;367&lt;/item&gt;&lt;item&gt;369&lt;/item&gt;&lt;item&gt;370&lt;/item&gt;&lt;item&gt;371&lt;/item&gt;&lt;item&gt;372&lt;/item&gt;&lt;item&gt;374&lt;/item&gt;&lt;item&gt;375&lt;/item&gt;&lt;item&gt;380&lt;/item&gt;&lt;item&gt;396&lt;/item&gt;&lt;item&gt;398&lt;/item&gt;&lt;item&gt;403&lt;/item&gt;&lt;item&gt;404&lt;/item&gt;&lt;item&gt;407&lt;/item&gt;&lt;item&gt;408&lt;/item&gt;&lt;item&gt;409&lt;/item&gt;&lt;item&gt;411&lt;/item&gt;&lt;item&gt;416&lt;/item&gt;&lt;item&gt;417&lt;/item&gt;&lt;item&gt;418&lt;/item&gt;&lt;item&gt;421&lt;/item&gt;&lt;item&gt;425&lt;/item&gt;&lt;item&gt;427&lt;/item&gt;&lt;item&gt;432&lt;/item&gt;&lt;item&gt;435&lt;/item&gt;&lt;item&gt;439&lt;/item&gt;&lt;item&gt;440&lt;/item&gt;&lt;item&gt;441&lt;/item&gt;&lt;item&gt;442&lt;/item&gt;&lt;item&gt;447&lt;/item&gt;&lt;item&gt;449&lt;/item&gt;&lt;item&gt;450&lt;/item&gt;&lt;item&gt;451&lt;/item&gt;&lt;item&gt;452&lt;/item&gt;&lt;item&gt;453&lt;/item&gt;&lt;item&gt;454&lt;/item&gt;&lt;item&gt;457&lt;/item&gt;&lt;item&gt;458&lt;/item&gt;&lt;item&gt;459&lt;/item&gt;&lt;item&gt;462&lt;/item&gt;&lt;item&gt;463&lt;/item&gt;&lt;item&gt;464&lt;/item&gt;&lt;item&gt;466&lt;/item&gt;&lt;item&gt;472&lt;/item&gt;&lt;item&gt;474&lt;/item&gt;&lt;item&gt;475&lt;/item&gt;&lt;item&gt;476&lt;/item&gt;&lt;item&gt;477&lt;/item&gt;&lt;item&gt;479&lt;/item&gt;&lt;item&gt;480&lt;/item&gt;&lt;item&gt;481&lt;/item&gt;&lt;item&gt;482&lt;/item&gt;&lt;item&gt;489&lt;/item&gt;&lt;item&gt;490&lt;/item&gt;&lt;item&gt;491&lt;/item&gt;&lt;item&gt;493&lt;/item&gt;&lt;item&gt;494&lt;/item&gt;&lt;item&gt;495&lt;/item&gt;&lt;item&gt;496&lt;/item&gt;&lt;item&gt;497&lt;/item&gt;&lt;item&gt;498&lt;/item&gt;&lt;item&gt;499&lt;/item&gt;&lt;item&gt;501&lt;/item&gt;&lt;item&gt;502&lt;/item&gt;&lt;item&gt;503&lt;/item&gt;&lt;item&gt;507&lt;/item&gt;&lt;item&gt;511&lt;/item&gt;&lt;item&gt;513&lt;/item&gt;&lt;item&gt;514&lt;/item&gt;&lt;item&gt;522&lt;/item&gt;&lt;item&gt;526&lt;/item&gt;&lt;item&gt;528&lt;/item&gt;&lt;item&gt;530&lt;/item&gt;&lt;item&gt;531&lt;/item&gt;&lt;item&gt;532&lt;/item&gt;&lt;item&gt;540&lt;/item&gt;&lt;item&gt;542&lt;/item&gt;&lt;item&gt;543&lt;/item&gt;&lt;item&gt;544&lt;/item&gt;&lt;item&gt;545&lt;/item&gt;&lt;item&gt;546&lt;/item&gt;&lt;item&gt;547&lt;/item&gt;&lt;item&gt;548&lt;/item&gt;&lt;item&gt;549&lt;/item&gt;&lt;item&gt;552&lt;/item&gt;&lt;item&gt;553&lt;/item&gt;&lt;item&gt;554&lt;/item&gt;&lt;item&gt;555&lt;/item&gt;&lt;item&gt;556&lt;/item&gt;&lt;item&gt;557&lt;/item&gt;&lt;item&gt;558&lt;/item&gt;&lt;item&gt;559&lt;/item&gt;&lt;item&gt;560&lt;/item&gt;&lt;item&gt;561&lt;/item&gt;&lt;item&gt;562&lt;/item&gt;&lt;item&gt;563&lt;/item&gt;&lt;item&gt;565&lt;/item&gt;&lt;item&gt;566&lt;/item&gt;&lt;item&gt;567&lt;/item&gt;&lt;item&gt;568&lt;/item&gt;&lt;item&gt;571&lt;/item&gt;&lt;item&gt;572&lt;/item&gt;&lt;item&gt;573&lt;/item&gt;&lt;item&gt;574&lt;/item&gt;&lt;item&gt;575&lt;/item&gt;&lt;item&gt;576&lt;/item&gt;&lt;item&gt;577&lt;/item&gt;&lt;item&gt;578&lt;/item&gt;&lt;item&gt;580&lt;/item&gt;&lt;item&gt;581&lt;/item&gt;&lt;item&gt;582&lt;/item&gt;&lt;item&gt;583&lt;/item&gt;&lt;item&gt;584&lt;/item&gt;&lt;item&gt;585&lt;/item&gt;&lt;item&gt;586&lt;/item&gt;&lt;item&gt;587&lt;/item&gt;&lt;item&gt;592&lt;/item&gt;&lt;item&gt;593&lt;/item&gt;&lt;item&gt;594&lt;/item&gt;&lt;item&gt;595&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2&lt;/item&gt;&lt;item&gt;613&lt;/item&gt;&lt;item&gt;614&lt;/item&gt;&lt;item&gt;615&lt;/item&gt;&lt;item&gt;616&lt;/item&gt;&lt;item&gt;617&lt;/item&gt;&lt;item&gt;618&lt;/item&gt;&lt;item&gt;619&lt;/item&gt;&lt;item&gt;621&lt;/item&gt;&lt;item&gt;623&lt;/item&gt;&lt;item&gt;624&lt;/item&gt;&lt;item&gt;626&lt;/item&gt;&lt;item&gt;627&lt;/item&gt;&lt;item&gt;631&lt;/item&gt;&lt;item&gt;632&lt;/item&gt;&lt;item&gt;635&lt;/item&gt;&lt;item&gt;636&lt;/item&gt;&lt;item&gt;637&lt;/item&gt;&lt;item&gt;638&lt;/item&gt;&lt;item&gt;643&lt;/item&gt;&lt;item&gt;644&lt;/item&gt;&lt;item&gt;645&lt;/item&gt;&lt;item&gt;646&lt;/item&gt;&lt;item&gt;648&lt;/item&gt;&lt;item&gt;649&lt;/item&gt;&lt;item&gt;650&lt;/item&gt;&lt;item&gt;654&lt;/item&gt;&lt;item&gt;655&lt;/item&gt;&lt;item&gt;656&lt;/item&gt;&lt;item&gt;657&lt;/item&gt;&lt;item&gt;658&lt;/item&gt;&lt;item&gt;659&lt;/item&gt;&lt;item&gt;660&lt;/item&gt;&lt;item&gt;661&lt;/item&gt;&lt;item&gt;662&lt;/item&gt;&lt;item&gt;666&lt;/item&gt;&lt;item&gt;667&lt;/item&gt;&lt;item&gt;668&lt;/item&gt;&lt;item&gt;671&lt;/item&gt;&lt;item&gt;672&lt;/item&gt;&lt;item&gt;673&lt;/item&gt;&lt;item&gt;674&lt;/item&gt;&lt;item&gt;675&lt;/item&gt;&lt;item&gt;676&lt;/item&gt;&lt;item&gt;677&lt;/item&gt;&lt;item&gt;679&lt;/item&gt;&lt;item&gt;680&lt;/item&gt;&lt;item&gt;681&lt;/item&gt;&lt;item&gt;682&lt;/item&gt;&lt;item&gt;683&lt;/item&gt;&lt;item&gt;686&lt;/item&gt;&lt;item&gt;687&lt;/item&gt;&lt;item&gt;688&lt;/item&gt;&lt;item&gt;691&lt;/item&gt;&lt;item&gt;692&lt;/item&gt;&lt;item&gt;694&lt;/item&gt;&lt;item&gt;698&lt;/item&gt;&lt;item&gt;699&lt;/item&gt;&lt;item&gt;700&lt;/item&gt;&lt;item&gt;701&lt;/item&gt;&lt;item&gt;702&lt;/item&gt;&lt;item&gt;704&lt;/item&gt;&lt;item&gt;705&lt;/item&gt;&lt;item&gt;706&lt;/item&gt;&lt;item&gt;707&lt;/item&gt;&lt;item&gt;708&lt;/item&gt;&lt;item&gt;709&lt;/item&gt;&lt;item&gt;710&lt;/item&gt;&lt;item&gt;713&lt;/item&gt;&lt;item&gt;715&lt;/item&gt;&lt;item&gt;718&lt;/item&gt;&lt;item&gt;720&lt;/item&gt;&lt;item&gt;721&lt;/item&gt;&lt;item&gt;725&lt;/item&gt;&lt;item&gt;726&lt;/item&gt;&lt;item&gt;727&lt;/item&gt;&lt;item&gt;729&lt;/item&gt;&lt;item&gt;730&lt;/item&gt;&lt;item&gt;732&lt;/item&gt;&lt;item&gt;733&lt;/item&gt;&lt;item&gt;734&lt;/item&gt;&lt;item&gt;736&lt;/item&gt;&lt;item&gt;744&lt;/item&gt;&lt;item&gt;745&lt;/item&gt;&lt;item&gt;746&lt;/item&gt;&lt;item&gt;777&lt;/item&gt;&lt;item&gt;778&lt;/item&gt;&lt;item&gt;780&lt;/item&gt;&lt;item&gt;781&lt;/item&gt;&lt;/record-ids&gt;&lt;/item&gt;&lt;/Libraries&gt;"/>
  </w:docVars>
  <w:rsids>
    <w:rsidRoot w:val="00563B06"/>
    <w:rsid w:val="000007A1"/>
    <w:rsid w:val="00000A63"/>
    <w:rsid w:val="00001D9F"/>
    <w:rsid w:val="00003B82"/>
    <w:rsid w:val="0000592E"/>
    <w:rsid w:val="00010095"/>
    <w:rsid w:val="000104A6"/>
    <w:rsid w:val="000108E9"/>
    <w:rsid w:val="0001093B"/>
    <w:rsid w:val="000132F8"/>
    <w:rsid w:val="00013E00"/>
    <w:rsid w:val="00016348"/>
    <w:rsid w:val="000167BC"/>
    <w:rsid w:val="000176A7"/>
    <w:rsid w:val="000274E3"/>
    <w:rsid w:val="00027E7A"/>
    <w:rsid w:val="00027FC2"/>
    <w:rsid w:val="00033347"/>
    <w:rsid w:val="000334E3"/>
    <w:rsid w:val="000360E4"/>
    <w:rsid w:val="00036656"/>
    <w:rsid w:val="00036CDF"/>
    <w:rsid w:val="00037732"/>
    <w:rsid w:val="000379B9"/>
    <w:rsid w:val="000402C4"/>
    <w:rsid w:val="00040A42"/>
    <w:rsid w:val="00040F10"/>
    <w:rsid w:val="00040F85"/>
    <w:rsid w:val="00041E91"/>
    <w:rsid w:val="00046BBE"/>
    <w:rsid w:val="00046E2A"/>
    <w:rsid w:val="00050649"/>
    <w:rsid w:val="00050D96"/>
    <w:rsid w:val="00051327"/>
    <w:rsid w:val="0005265A"/>
    <w:rsid w:val="00052699"/>
    <w:rsid w:val="000527FE"/>
    <w:rsid w:val="000574FF"/>
    <w:rsid w:val="000576DA"/>
    <w:rsid w:val="000656A7"/>
    <w:rsid w:val="000661BA"/>
    <w:rsid w:val="00066430"/>
    <w:rsid w:val="00066BD5"/>
    <w:rsid w:val="00070ABA"/>
    <w:rsid w:val="00071664"/>
    <w:rsid w:val="000724D2"/>
    <w:rsid w:val="00072955"/>
    <w:rsid w:val="00072DDE"/>
    <w:rsid w:val="00074125"/>
    <w:rsid w:val="00074A3C"/>
    <w:rsid w:val="000805AC"/>
    <w:rsid w:val="000817A2"/>
    <w:rsid w:val="00083523"/>
    <w:rsid w:val="00086DF4"/>
    <w:rsid w:val="0008764F"/>
    <w:rsid w:val="00090020"/>
    <w:rsid w:val="00094AF9"/>
    <w:rsid w:val="00094CCC"/>
    <w:rsid w:val="000962D0"/>
    <w:rsid w:val="00096BCE"/>
    <w:rsid w:val="000975B7"/>
    <w:rsid w:val="000978E5"/>
    <w:rsid w:val="00097947"/>
    <w:rsid w:val="000A0229"/>
    <w:rsid w:val="000A21A8"/>
    <w:rsid w:val="000A2367"/>
    <w:rsid w:val="000A36EE"/>
    <w:rsid w:val="000A4112"/>
    <w:rsid w:val="000A6499"/>
    <w:rsid w:val="000B18A3"/>
    <w:rsid w:val="000B212F"/>
    <w:rsid w:val="000B37B1"/>
    <w:rsid w:val="000B5460"/>
    <w:rsid w:val="000B59A9"/>
    <w:rsid w:val="000B62FF"/>
    <w:rsid w:val="000C20FC"/>
    <w:rsid w:val="000C22A9"/>
    <w:rsid w:val="000C3538"/>
    <w:rsid w:val="000C43B9"/>
    <w:rsid w:val="000C4CEE"/>
    <w:rsid w:val="000C4E8D"/>
    <w:rsid w:val="000C637B"/>
    <w:rsid w:val="000C7DDD"/>
    <w:rsid w:val="000D0D8B"/>
    <w:rsid w:val="000D41EA"/>
    <w:rsid w:val="000D44BC"/>
    <w:rsid w:val="000D518B"/>
    <w:rsid w:val="000E0299"/>
    <w:rsid w:val="000E2001"/>
    <w:rsid w:val="000E5A5A"/>
    <w:rsid w:val="000E6201"/>
    <w:rsid w:val="000E6500"/>
    <w:rsid w:val="000E6516"/>
    <w:rsid w:val="000F11B0"/>
    <w:rsid w:val="000F3523"/>
    <w:rsid w:val="000F658E"/>
    <w:rsid w:val="000F6FBF"/>
    <w:rsid w:val="0010205D"/>
    <w:rsid w:val="00103F06"/>
    <w:rsid w:val="001042E6"/>
    <w:rsid w:val="00106280"/>
    <w:rsid w:val="00107B4F"/>
    <w:rsid w:val="0011014D"/>
    <w:rsid w:val="00110991"/>
    <w:rsid w:val="001137AF"/>
    <w:rsid w:val="00114ABB"/>
    <w:rsid w:val="00114F3E"/>
    <w:rsid w:val="00116095"/>
    <w:rsid w:val="00116CEC"/>
    <w:rsid w:val="001217E3"/>
    <w:rsid w:val="00124DE9"/>
    <w:rsid w:val="00125F89"/>
    <w:rsid w:val="00132E28"/>
    <w:rsid w:val="001352ED"/>
    <w:rsid w:val="00135C2B"/>
    <w:rsid w:val="001363BC"/>
    <w:rsid w:val="00136E9B"/>
    <w:rsid w:val="00137051"/>
    <w:rsid w:val="001378C2"/>
    <w:rsid w:val="00137B3F"/>
    <w:rsid w:val="00137F62"/>
    <w:rsid w:val="00140CA5"/>
    <w:rsid w:val="001434B8"/>
    <w:rsid w:val="00143EFF"/>
    <w:rsid w:val="00144376"/>
    <w:rsid w:val="001446FA"/>
    <w:rsid w:val="00144840"/>
    <w:rsid w:val="00146E51"/>
    <w:rsid w:val="0014785B"/>
    <w:rsid w:val="00150787"/>
    <w:rsid w:val="00151B16"/>
    <w:rsid w:val="00152002"/>
    <w:rsid w:val="00152E3C"/>
    <w:rsid w:val="00153524"/>
    <w:rsid w:val="001537A7"/>
    <w:rsid w:val="00154633"/>
    <w:rsid w:val="001562EE"/>
    <w:rsid w:val="001569FC"/>
    <w:rsid w:val="00156B70"/>
    <w:rsid w:val="0016003B"/>
    <w:rsid w:val="0016048C"/>
    <w:rsid w:val="001605C9"/>
    <w:rsid w:val="001605FC"/>
    <w:rsid w:val="001615E6"/>
    <w:rsid w:val="00162D81"/>
    <w:rsid w:val="00162F63"/>
    <w:rsid w:val="0016425D"/>
    <w:rsid w:val="00164ED4"/>
    <w:rsid w:val="00165CEA"/>
    <w:rsid w:val="00167BDF"/>
    <w:rsid w:val="00171E11"/>
    <w:rsid w:val="00172E6C"/>
    <w:rsid w:val="001738A8"/>
    <w:rsid w:val="00174119"/>
    <w:rsid w:val="00174959"/>
    <w:rsid w:val="00177F8A"/>
    <w:rsid w:val="00180014"/>
    <w:rsid w:val="00180A49"/>
    <w:rsid w:val="00182DB2"/>
    <w:rsid w:val="00186340"/>
    <w:rsid w:val="001900AE"/>
    <w:rsid w:val="001926E7"/>
    <w:rsid w:val="00194448"/>
    <w:rsid w:val="00194DAD"/>
    <w:rsid w:val="00195417"/>
    <w:rsid w:val="001A1DD2"/>
    <w:rsid w:val="001A23B2"/>
    <w:rsid w:val="001A2D05"/>
    <w:rsid w:val="001A3C37"/>
    <w:rsid w:val="001A3DC3"/>
    <w:rsid w:val="001B2024"/>
    <w:rsid w:val="001B2FDD"/>
    <w:rsid w:val="001B37EB"/>
    <w:rsid w:val="001B570D"/>
    <w:rsid w:val="001B6519"/>
    <w:rsid w:val="001C50E6"/>
    <w:rsid w:val="001C5DD6"/>
    <w:rsid w:val="001D0B51"/>
    <w:rsid w:val="001D0E2C"/>
    <w:rsid w:val="001D171F"/>
    <w:rsid w:val="001D1BA7"/>
    <w:rsid w:val="001D7E83"/>
    <w:rsid w:val="001E1409"/>
    <w:rsid w:val="001E18C1"/>
    <w:rsid w:val="001E196D"/>
    <w:rsid w:val="001E2912"/>
    <w:rsid w:val="001E424A"/>
    <w:rsid w:val="001F05AE"/>
    <w:rsid w:val="001F071A"/>
    <w:rsid w:val="001F0AEC"/>
    <w:rsid w:val="001F1971"/>
    <w:rsid w:val="001F3A4E"/>
    <w:rsid w:val="001F3BA1"/>
    <w:rsid w:val="001F3FAC"/>
    <w:rsid w:val="001F66BF"/>
    <w:rsid w:val="00201B1C"/>
    <w:rsid w:val="00201F56"/>
    <w:rsid w:val="00204092"/>
    <w:rsid w:val="00204E8E"/>
    <w:rsid w:val="002056FB"/>
    <w:rsid w:val="002072E0"/>
    <w:rsid w:val="00207875"/>
    <w:rsid w:val="00207F52"/>
    <w:rsid w:val="00210608"/>
    <w:rsid w:val="002124C8"/>
    <w:rsid w:val="002167DB"/>
    <w:rsid w:val="00217116"/>
    <w:rsid w:val="00225A2E"/>
    <w:rsid w:val="00226D90"/>
    <w:rsid w:val="00226E74"/>
    <w:rsid w:val="00227C3A"/>
    <w:rsid w:val="00227F5D"/>
    <w:rsid w:val="002300F8"/>
    <w:rsid w:val="00230F3F"/>
    <w:rsid w:val="002321F1"/>
    <w:rsid w:val="00233CBD"/>
    <w:rsid w:val="00233F5A"/>
    <w:rsid w:val="00234EA6"/>
    <w:rsid w:val="00235D75"/>
    <w:rsid w:val="0023775E"/>
    <w:rsid w:val="0024052B"/>
    <w:rsid w:val="002423D7"/>
    <w:rsid w:val="0024575A"/>
    <w:rsid w:val="00247FF9"/>
    <w:rsid w:val="002504AB"/>
    <w:rsid w:val="00250675"/>
    <w:rsid w:val="00250BB1"/>
    <w:rsid w:val="002532A6"/>
    <w:rsid w:val="00254917"/>
    <w:rsid w:val="00255B98"/>
    <w:rsid w:val="00257D70"/>
    <w:rsid w:val="00260AC8"/>
    <w:rsid w:val="00265373"/>
    <w:rsid w:val="002711C9"/>
    <w:rsid w:val="0027226A"/>
    <w:rsid w:val="00272575"/>
    <w:rsid w:val="00272714"/>
    <w:rsid w:val="00273EA2"/>
    <w:rsid w:val="00277FDB"/>
    <w:rsid w:val="00280292"/>
    <w:rsid w:val="00283FC3"/>
    <w:rsid w:val="002869B1"/>
    <w:rsid w:val="00287BD1"/>
    <w:rsid w:val="00291B07"/>
    <w:rsid w:val="00293BB8"/>
    <w:rsid w:val="0029483B"/>
    <w:rsid w:val="00295C47"/>
    <w:rsid w:val="002A14E9"/>
    <w:rsid w:val="002A48E8"/>
    <w:rsid w:val="002A4F26"/>
    <w:rsid w:val="002A7F17"/>
    <w:rsid w:val="002B12F3"/>
    <w:rsid w:val="002B1407"/>
    <w:rsid w:val="002B17B5"/>
    <w:rsid w:val="002B20CE"/>
    <w:rsid w:val="002B4159"/>
    <w:rsid w:val="002B4A15"/>
    <w:rsid w:val="002B6DB2"/>
    <w:rsid w:val="002B7197"/>
    <w:rsid w:val="002B723A"/>
    <w:rsid w:val="002C4025"/>
    <w:rsid w:val="002C4688"/>
    <w:rsid w:val="002C69AF"/>
    <w:rsid w:val="002C6F70"/>
    <w:rsid w:val="002D0A48"/>
    <w:rsid w:val="002D0FF0"/>
    <w:rsid w:val="002D34BB"/>
    <w:rsid w:val="002D3748"/>
    <w:rsid w:val="002D3841"/>
    <w:rsid w:val="002D3EFD"/>
    <w:rsid w:val="002D4FD7"/>
    <w:rsid w:val="002D4FF8"/>
    <w:rsid w:val="002D5DFA"/>
    <w:rsid w:val="002D72A4"/>
    <w:rsid w:val="002E0068"/>
    <w:rsid w:val="002E0E23"/>
    <w:rsid w:val="002E205A"/>
    <w:rsid w:val="002E2A8A"/>
    <w:rsid w:val="002E2B73"/>
    <w:rsid w:val="002E3CDA"/>
    <w:rsid w:val="002E45A7"/>
    <w:rsid w:val="002E4790"/>
    <w:rsid w:val="002F1AE2"/>
    <w:rsid w:val="002F2490"/>
    <w:rsid w:val="002F2B9B"/>
    <w:rsid w:val="002F3B68"/>
    <w:rsid w:val="002F43BB"/>
    <w:rsid w:val="002F534E"/>
    <w:rsid w:val="00300089"/>
    <w:rsid w:val="00302E4A"/>
    <w:rsid w:val="00303791"/>
    <w:rsid w:val="00303EEB"/>
    <w:rsid w:val="00304BCD"/>
    <w:rsid w:val="0030633F"/>
    <w:rsid w:val="00306C13"/>
    <w:rsid w:val="00311B45"/>
    <w:rsid w:val="00312304"/>
    <w:rsid w:val="00312BDF"/>
    <w:rsid w:val="00317980"/>
    <w:rsid w:val="00317BE7"/>
    <w:rsid w:val="003202BD"/>
    <w:rsid w:val="003203AD"/>
    <w:rsid w:val="003205F1"/>
    <w:rsid w:val="00320C46"/>
    <w:rsid w:val="00320CF2"/>
    <w:rsid w:val="003223F3"/>
    <w:rsid w:val="00322872"/>
    <w:rsid w:val="00322A9A"/>
    <w:rsid w:val="0032349F"/>
    <w:rsid w:val="00324183"/>
    <w:rsid w:val="0032422E"/>
    <w:rsid w:val="0032469F"/>
    <w:rsid w:val="00325C17"/>
    <w:rsid w:val="00327B2F"/>
    <w:rsid w:val="00331849"/>
    <w:rsid w:val="00332919"/>
    <w:rsid w:val="00332DB0"/>
    <w:rsid w:val="00333328"/>
    <w:rsid w:val="00334ABF"/>
    <w:rsid w:val="00334D7A"/>
    <w:rsid w:val="003352F8"/>
    <w:rsid w:val="003404F6"/>
    <w:rsid w:val="00340A4E"/>
    <w:rsid w:val="00341A10"/>
    <w:rsid w:val="00341F7D"/>
    <w:rsid w:val="00343A08"/>
    <w:rsid w:val="003463F0"/>
    <w:rsid w:val="00347677"/>
    <w:rsid w:val="00347BB6"/>
    <w:rsid w:val="00357988"/>
    <w:rsid w:val="00364FB1"/>
    <w:rsid w:val="00365324"/>
    <w:rsid w:val="003661FA"/>
    <w:rsid w:val="00366674"/>
    <w:rsid w:val="00366E0B"/>
    <w:rsid w:val="00367E77"/>
    <w:rsid w:val="003703F0"/>
    <w:rsid w:val="0037064F"/>
    <w:rsid w:val="003711CB"/>
    <w:rsid w:val="00371FAE"/>
    <w:rsid w:val="00372011"/>
    <w:rsid w:val="00372463"/>
    <w:rsid w:val="003729A0"/>
    <w:rsid w:val="00373ECC"/>
    <w:rsid w:val="00373FAB"/>
    <w:rsid w:val="00374A8D"/>
    <w:rsid w:val="00376CFE"/>
    <w:rsid w:val="00377FE1"/>
    <w:rsid w:val="003815E4"/>
    <w:rsid w:val="00381B33"/>
    <w:rsid w:val="00381C49"/>
    <w:rsid w:val="00381E3B"/>
    <w:rsid w:val="00382CE1"/>
    <w:rsid w:val="00382F91"/>
    <w:rsid w:val="003855DC"/>
    <w:rsid w:val="00385845"/>
    <w:rsid w:val="003861BE"/>
    <w:rsid w:val="003901D6"/>
    <w:rsid w:val="003908F4"/>
    <w:rsid w:val="00390F66"/>
    <w:rsid w:val="003915D1"/>
    <w:rsid w:val="00391AE8"/>
    <w:rsid w:val="00395541"/>
    <w:rsid w:val="00397EF4"/>
    <w:rsid w:val="003A23E7"/>
    <w:rsid w:val="003A5686"/>
    <w:rsid w:val="003A6E3B"/>
    <w:rsid w:val="003B0391"/>
    <w:rsid w:val="003B065D"/>
    <w:rsid w:val="003B37E7"/>
    <w:rsid w:val="003B4FF8"/>
    <w:rsid w:val="003B68CD"/>
    <w:rsid w:val="003B7F4C"/>
    <w:rsid w:val="003C0136"/>
    <w:rsid w:val="003C0BEB"/>
    <w:rsid w:val="003C2307"/>
    <w:rsid w:val="003C2A9A"/>
    <w:rsid w:val="003C3AD2"/>
    <w:rsid w:val="003C3DEA"/>
    <w:rsid w:val="003C5AC8"/>
    <w:rsid w:val="003C6365"/>
    <w:rsid w:val="003C788D"/>
    <w:rsid w:val="003C7DF4"/>
    <w:rsid w:val="003D0033"/>
    <w:rsid w:val="003D1226"/>
    <w:rsid w:val="003D479A"/>
    <w:rsid w:val="003D58F4"/>
    <w:rsid w:val="003D5CD4"/>
    <w:rsid w:val="003E1068"/>
    <w:rsid w:val="003E1515"/>
    <w:rsid w:val="003E4C1D"/>
    <w:rsid w:val="003E6DD5"/>
    <w:rsid w:val="003E7F45"/>
    <w:rsid w:val="003F0540"/>
    <w:rsid w:val="003F0E6A"/>
    <w:rsid w:val="003F119E"/>
    <w:rsid w:val="003F1A6F"/>
    <w:rsid w:val="003F1E7A"/>
    <w:rsid w:val="003F51C1"/>
    <w:rsid w:val="003F6839"/>
    <w:rsid w:val="00401A8B"/>
    <w:rsid w:val="00403883"/>
    <w:rsid w:val="00405196"/>
    <w:rsid w:val="00407062"/>
    <w:rsid w:val="00410256"/>
    <w:rsid w:val="0041068E"/>
    <w:rsid w:val="00410B9D"/>
    <w:rsid w:val="00412F8B"/>
    <w:rsid w:val="004144B1"/>
    <w:rsid w:val="00421C4D"/>
    <w:rsid w:val="00426ACA"/>
    <w:rsid w:val="00430ADC"/>
    <w:rsid w:val="00433418"/>
    <w:rsid w:val="004372D6"/>
    <w:rsid w:val="00440256"/>
    <w:rsid w:val="004403F3"/>
    <w:rsid w:val="004411AE"/>
    <w:rsid w:val="00442D63"/>
    <w:rsid w:val="004456FB"/>
    <w:rsid w:val="00445C7E"/>
    <w:rsid w:val="00452DB9"/>
    <w:rsid w:val="00454354"/>
    <w:rsid w:val="00454522"/>
    <w:rsid w:val="0045685D"/>
    <w:rsid w:val="00460AB5"/>
    <w:rsid w:val="0046233F"/>
    <w:rsid w:val="004662FF"/>
    <w:rsid w:val="00466D29"/>
    <w:rsid w:val="004672C2"/>
    <w:rsid w:val="004679E5"/>
    <w:rsid w:val="00470AAF"/>
    <w:rsid w:val="004721F5"/>
    <w:rsid w:val="00473C05"/>
    <w:rsid w:val="004749A3"/>
    <w:rsid w:val="00480BC7"/>
    <w:rsid w:val="00481561"/>
    <w:rsid w:val="004826F3"/>
    <w:rsid w:val="004836F2"/>
    <w:rsid w:val="00483AF4"/>
    <w:rsid w:val="00483E25"/>
    <w:rsid w:val="00484D60"/>
    <w:rsid w:val="004906D2"/>
    <w:rsid w:val="004925CD"/>
    <w:rsid w:val="00493906"/>
    <w:rsid w:val="00495978"/>
    <w:rsid w:val="0049631F"/>
    <w:rsid w:val="004965BB"/>
    <w:rsid w:val="004A38CF"/>
    <w:rsid w:val="004A3B75"/>
    <w:rsid w:val="004A5EA2"/>
    <w:rsid w:val="004A6AC9"/>
    <w:rsid w:val="004A723D"/>
    <w:rsid w:val="004B3926"/>
    <w:rsid w:val="004B6F37"/>
    <w:rsid w:val="004C36D0"/>
    <w:rsid w:val="004C5D7B"/>
    <w:rsid w:val="004D0ABE"/>
    <w:rsid w:val="004D1C14"/>
    <w:rsid w:val="004D48A5"/>
    <w:rsid w:val="004D6DFB"/>
    <w:rsid w:val="004D7B44"/>
    <w:rsid w:val="004E0F1C"/>
    <w:rsid w:val="004E2CF5"/>
    <w:rsid w:val="004E40DD"/>
    <w:rsid w:val="004E45E3"/>
    <w:rsid w:val="004E6FB4"/>
    <w:rsid w:val="004E729E"/>
    <w:rsid w:val="004E7551"/>
    <w:rsid w:val="004F0E25"/>
    <w:rsid w:val="004F269C"/>
    <w:rsid w:val="004F2FE0"/>
    <w:rsid w:val="004F315E"/>
    <w:rsid w:val="004F3265"/>
    <w:rsid w:val="004F72B2"/>
    <w:rsid w:val="0050110E"/>
    <w:rsid w:val="0050452F"/>
    <w:rsid w:val="00505AEC"/>
    <w:rsid w:val="0050636F"/>
    <w:rsid w:val="005079BA"/>
    <w:rsid w:val="00512D09"/>
    <w:rsid w:val="00514313"/>
    <w:rsid w:val="00520760"/>
    <w:rsid w:val="00522282"/>
    <w:rsid w:val="005226E5"/>
    <w:rsid w:val="005248FD"/>
    <w:rsid w:val="005252FB"/>
    <w:rsid w:val="00525BCC"/>
    <w:rsid w:val="00526596"/>
    <w:rsid w:val="0052714F"/>
    <w:rsid w:val="0053318E"/>
    <w:rsid w:val="00533C62"/>
    <w:rsid w:val="005345B2"/>
    <w:rsid w:val="005350E7"/>
    <w:rsid w:val="0054174A"/>
    <w:rsid w:val="005431EF"/>
    <w:rsid w:val="00543E46"/>
    <w:rsid w:val="00546281"/>
    <w:rsid w:val="00546851"/>
    <w:rsid w:val="00546E4A"/>
    <w:rsid w:val="005478E0"/>
    <w:rsid w:val="00551882"/>
    <w:rsid w:val="005524C9"/>
    <w:rsid w:val="005529BE"/>
    <w:rsid w:val="0055424C"/>
    <w:rsid w:val="005549BB"/>
    <w:rsid w:val="0055646B"/>
    <w:rsid w:val="00556737"/>
    <w:rsid w:val="00556992"/>
    <w:rsid w:val="0055729F"/>
    <w:rsid w:val="00562DF1"/>
    <w:rsid w:val="0056382D"/>
    <w:rsid w:val="00563B06"/>
    <w:rsid w:val="00570889"/>
    <w:rsid w:val="00570A3D"/>
    <w:rsid w:val="00570B47"/>
    <w:rsid w:val="0057282F"/>
    <w:rsid w:val="0057458E"/>
    <w:rsid w:val="0057627D"/>
    <w:rsid w:val="0057696F"/>
    <w:rsid w:val="0057742F"/>
    <w:rsid w:val="00580D70"/>
    <w:rsid w:val="0058459F"/>
    <w:rsid w:val="0058642B"/>
    <w:rsid w:val="0059143E"/>
    <w:rsid w:val="00591504"/>
    <w:rsid w:val="005937CD"/>
    <w:rsid w:val="00594AA5"/>
    <w:rsid w:val="00594D5D"/>
    <w:rsid w:val="00595626"/>
    <w:rsid w:val="005958A0"/>
    <w:rsid w:val="00596F56"/>
    <w:rsid w:val="00597F51"/>
    <w:rsid w:val="005A004A"/>
    <w:rsid w:val="005A0416"/>
    <w:rsid w:val="005A06A3"/>
    <w:rsid w:val="005A1AB6"/>
    <w:rsid w:val="005A2653"/>
    <w:rsid w:val="005A26BB"/>
    <w:rsid w:val="005A6624"/>
    <w:rsid w:val="005B2B3C"/>
    <w:rsid w:val="005B32FB"/>
    <w:rsid w:val="005B6A2A"/>
    <w:rsid w:val="005B74DA"/>
    <w:rsid w:val="005C0EFF"/>
    <w:rsid w:val="005C46C2"/>
    <w:rsid w:val="005C680D"/>
    <w:rsid w:val="005C77A3"/>
    <w:rsid w:val="005D255C"/>
    <w:rsid w:val="005D27DC"/>
    <w:rsid w:val="005D3AFB"/>
    <w:rsid w:val="005D3ED4"/>
    <w:rsid w:val="005D4B0A"/>
    <w:rsid w:val="005E01D5"/>
    <w:rsid w:val="005E0376"/>
    <w:rsid w:val="005E2D2E"/>
    <w:rsid w:val="005E5D1B"/>
    <w:rsid w:val="005E7223"/>
    <w:rsid w:val="005F1756"/>
    <w:rsid w:val="005F36A3"/>
    <w:rsid w:val="005F3AB5"/>
    <w:rsid w:val="005F4A03"/>
    <w:rsid w:val="005F4E5B"/>
    <w:rsid w:val="006010D9"/>
    <w:rsid w:val="006024D3"/>
    <w:rsid w:val="00602BE7"/>
    <w:rsid w:val="00604275"/>
    <w:rsid w:val="0060444A"/>
    <w:rsid w:val="00606C91"/>
    <w:rsid w:val="00610E48"/>
    <w:rsid w:val="00610F3E"/>
    <w:rsid w:val="00612909"/>
    <w:rsid w:val="00614F7C"/>
    <w:rsid w:val="006154D6"/>
    <w:rsid w:val="006174E7"/>
    <w:rsid w:val="00620AC0"/>
    <w:rsid w:val="00623B41"/>
    <w:rsid w:val="00626B72"/>
    <w:rsid w:val="00635056"/>
    <w:rsid w:val="0064057C"/>
    <w:rsid w:val="006421D1"/>
    <w:rsid w:val="006435D5"/>
    <w:rsid w:val="00647082"/>
    <w:rsid w:val="00652B07"/>
    <w:rsid w:val="00653C9A"/>
    <w:rsid w:val="00653D64"/>
    <w:rsid w:val="00654CAB"/>
    <w:rsid w:val="006552A2"/>
    <w:rsid w:val="006555F2"/>
    <w:rsid w:val="006556C8"/>
    <w:rsid w:val="00655BE2"/>
    <w:rsid w:val="00656761"/>
    <w:rsid w:val="0066085C"/>
    <w:rsid w:val="00664087"/>
    <w:rsid w:val="00664290"/>
    <w:rsid w:val="00664752"/>
    <w:rsid w:val="00665143"/>
    <w:rsid w:val="006677A1"/>
    <w:rsid w:val="00671A64"/>
    <w:rsid w:val="00674ED4"/>
    <w:rsid w:val="00676F8E"/>
    <w:rsid w:val="00681429"/>
    <w:rsid w:val="006817D6"/>
    <w:rsid w:val="00682A7A"/>
    <w:rsid w:val="00683DB8"/>
    <w:rsid w:val="00684987"/>
    <w:rsid w:val="0068654A"/>
    <w:rsid w:val="00686BDC"/>
    <w:rsid w:val="0069214C"/>
    <w:rsid w:val="0069267B"/>
    <w:rsid w:val="0069343A"/>
    <w:rsid w:val="006937BC"/>
    <w:rsid w:val="00695301"/>
    <w:rsid w:val="00695390"/>
    <w:rsid w:val="00696341"/>
    <w:rsid w:val="00696400"/>
    <w:rsid w:val="00697871"/>
    <w:rsid w:val="006A16F9"/>
    <w:rsid w:val="006A192D"/>
    <w:rsid w:val="006A5DF4"/>
    <w:rsid w:val="006A684B"/>
    <w:rsid w:val="006A7989"/>
    <w:rsid w:val="006B2584"/>
    <w:rsid w:val="006B3B3D"/>
    <w:rsid w:val="006B4556"/>
    <w:rsid w:val="006B5925"/>
    <w:rsid w:val="006C08DB"/>
    <w:rsid w:val="006C0AFC"/>
    <w:rsid w:val="006C2030"/>
    <w:rsid w:val="006C608B"/>
    <w:rsid w:val="006C756E"/>
    <w:rsid w:val="006C7EFF"/>
    <w:rsid w:val="006D046F"/>
    <w:rsid w:val="006D212B"/>
    <w:rsid w:val="006D76DD"/>
    <w:rsid w:val="006E0EB0"/>
    <w:rsid w:val="006E158B"/>
    <w:rsid w:val="006E3017"/>
    <w:rsid w:val="006E50F6"/>
    <w:rsid w:val="006E56DE"/>
    <w:rsid w:val="006E62CB"/>
    <w:rsid w:val="006F051C"/>
    <w:rsid w:val="006F11A0"/>
    <w:rsid w:val="006F2757"/>
    <w:rsid w:val="006F4825"/>
    <w:rsid w:val="00700CF1"/>
    <w:rsid w:val="0070219E"/>
    <w:rsid w:val="00702B2D"/>
    <w:rsid w:val="00703086"/>
    <w:rsid w:val="007035B2"/>
    <w:rsid w:val="007048FC"/>
    <w:rsid w:val="00706DEA"/>
    <w:rsid w:val="00716CAD"/>
    <w:rsid w:val="00722C6A"/>
    <w:rsid w:val="00724EEE"/>
    <w:rsid w:val="0073185E"/>
    <w:rsid w:val="0073327B"/>
    <w:rsid w:val="00734318"/>
    <w:rsid w:val="0073434C"/>
    <w:rsid w:val="0073473C"/>
    <w:rsid w:val="00735500"/>
    <w:rsid w:val="00735535"/>
    <w:rsid w:val="00737BA6"/>
    <w:rsid w:val="00745DDF"/>
    <w:rsid w:val="00750ED4"/>
    <w:rsid w:val="0075172E"/>
    <w:rsid w:val="00753CF5"/>
    <w:rsid w:val="00753FF5"/>
    <w:rsid w:val="0075462A"/>
    <w:rsid w:val="00756996"/>
    <w:rsid w:val="0076524B"/>
    <w:rsid w:val="007677E8"/>
    <w:rsid w:val="0077306D"/>
    <w:rsid w:val="00773B08"/>
    <w:rsid w:val="00774064"/>
    <w:rsid w:val="0077575C"/>
    <w:rsid w:val="00783475"/>
    <w:rsid w:val="00784261"/>
    <w:rsid w:val="00786B06"/>
    <w:rsid w:val="00786D2F"/>
    <w:rsid w:val="00787350"/>
    <w:rsid w:val="007942B7"/>
    <w:rsid w:val="00795D8B"/>
    <w:rsid w:val="007974C5"/>
    <w:rsid w:val="007976F7"/>
    <w:rsid w:val="007979BA"/>
    <w:rsid w:val="007A3E13"/>
    <w:rsid w:val="007A4246"/>
    <w:rsid w:val="007A4E91"/>
    <w:rsid w:val="007A6525"/>
    <w:rsid w:val="007A76D4"/>
    <w:rsid w:val="007A7B7D"/>
    <w:rsid w:val="007B3323"/>
    <w:rsid w:val="007B55E8"/>
    <w:rsid w:val="007B7122"/>
    <w:rsid w:val="007B7862"/>
    <w:rsid w:val="007C03DC"/>
    <w:rsid w:val="007C062D"/>
    <w:rsid w:val="007C1E6F"/>
    <w:rsid w:val="007D0829"/>
    <w:rsid w:val="007D1320"/>
    <w:rsid w:val="007D1E77"/>
    <w:rsid w:val="007D44F7"/>
    <w:rsid w:val="007D48DA"/>
    <w:rsid w:val="007D4A3C"/>
    <w:rsid w:val="007D4ECC"/>
    <w:rsid w:val="007D5ADD"/>
    <w:rsid w:val="007D6027"/>
    <w:rsid w:val="007D62B9"/>
    <w:rsid w:val="007E1B74"/>
    <w:rsid w:val="007E5D99"/>
    <w:rsid w:val="007F0003"/>
    <w:rsid w:val="007F400F"/>
    <w:rsid w:val="007F4463"/>
    <w:rsid w:val="007F5567"/>
    <w:rsid w:val="007F599D"/>
    <w:rsid w:val="007F76A0"/>
    <w:rsid w:val="007F7B2E"/>
    <w:rsid w:val="00800BC5"/>
    <w:rsid w:val="008019AE"/>
    <w:rsid w:val="00801BDB"/>
    <w:rsid w:val="00802888"/>
    <w:rsid w:val="00803307"/>
    <w:rsid w:val="008070D1"/>
    <w:rsid w:val="0080746E"/>
    <w:rsid w:val="00810E81"/>
    <w:rsid w:val="00814CDF"/>
    <w:rsid w:val="008214E5"/>
    <w:rsid w:val="0082541C"/>
    <w:rsid w:val="00830550"/>
    <w:rsid w:val="00831278"/>
    <w:rsid w:val="00831CBF"/>
    <w:rsid w:val="0083333F"/>
    <w:rsid w:val="008339ED"/>
    <w:rsid w:val="00833F3A"/>
    <w:rsid w:val="008356DA"/>
    <w:rsid w:val="00836C10"/>
    <w:rsid w:val="008376A0"/>
    <w:rsid w:val="00840672"/>
    <w:rsid w:val="00841517"/>
    <w:rsid w:val="008441C6"/>
    <w:rsid w:val="00844253"/>
    <w:rsid w:val="00845A93"/>
    <w:rsid w:val="00850892"/>
    <w:rsid w:val="00853679"/>
    <w:rsid w:val="008539D7"/>
    <w:rsid w:val="00856772"/>
    <w:rsid w:val="00861BE3"/>
    <w:rsid w:val="008628F5"/>
    <w:rsid w:val="00862B2D"/>
    <w:rsid w:val="00863DC9"/>
    <w:rsid w:val="00864326"/>
    <w:rsid w:val="008643BE"/>
    <w:rsid w:val="008644AF"/>
    <w:rsid w:val="00864839"/>
    <w:rsid w:val="008650A7"/>
    <w:rsid w:val="00865C6F"/>
    <w:rsid w:val="00865DF9"/>
    <w:rsid w:val="00865E4B"/>
    <w:rsid w:val="008660A7"/>
    <w:rsid w:val="00866BBB"/>
    <w:rsid w:val="00866F43"/>
    <w:rsid w:val="00867C43"/>
    <w:rsid w:val="0087008A"/>
    <w:rsid w:val="00871FA9"/>
    <w:rsid w:val="00875CCF"/>
    <w:rsid w:val="00882765"/>
    <w:rsid w:val="00882E9C"/>
    <w:rsid w:val="00885E8D"/>
    <w:rsid w:val="0089197B"/>
    <w:rsid w:val="00891CA2"/>
    <w:rsid w:val="00893AF5"/>
    <w:rsid w:val="008975AF"/>
    <w:rsid w:val="008A01C2"/>
    <w:rsid w:val="008A091F"/>
    <w:rsid w:val="008A09CB"/>
    <w:rsid w:val="008A16ED"/>
    <w:rsid w:val="008A5706"/>
    <w:rsid w:val="008B10B5"/>
    <w:rsid w:val="008B2705"/>
    <w:rsid w:val="008B4197"/>
    <w:rsid w:val="008B4964"/>
    <w:rsid w:val="008B4DC8"/>
    <w:rsid w:val="008B6C69"/>
    <w:rsid w:val="008C0247"/>
    <w:rsid w:val="008C19E6"/>
    <w:rsid w:val="008C3F05"/>
    <w:rsid w:val="008C417B"/>
    <w:rsid w:val="008C4C05"/>
    <w:rsid w:val="008C5386"/>
    <w:rsid w:val="008C6B7C"/>
    <w:rsid w:val="008C7431"/>
    <w:rsid w:val="008C74E7"/>
    <w:rsid w:val="008C78E2"/>
    <w:rsid w:val="008D5CBE"/>
    <w:rsid w:val="008E0D51"/>
    <w:rsid w:val="008E10FA"/>
    <w:rsid w:val="008E110C"/>
    <w:rsid w:val="008E174B"/>
    <w:rsid w:val="008E1A4B"/>
    <w:rsid w:val="008E6B4C"/>
    <w:rsid w:val="008E6BF7"/>
    <w:rsid w:val="008E7EFA"/>
    <w:rsid w:val="008F0F06"/>
    <w:rsid w:val="008F1328"/>
    <w:rsid w:val="008F2959"/>
    <w:rsid w:val="008F32FE"/>
    <w:rsid w:val="008F3F3A"/>
    <w:rsid w:val="008F5225"/>
    <w:rsid w:val="008F52B9"/>
    <w:rsid w:val="00901BCE"/>
    <w:rsid w:val="00911A38"/>
    <w:rsid w:val="00912010"/>
    <w:rsid w:val="0091345B"/>
    <w:rsid w:val="00913ED6"/>
    <w:rsid w:val="0091721E"/>
    <w:rsid w:val="0092027A"/>
    <w:rsid w:val="00924273"/>
    <w:rsid w:val="009247D0"/>
    <w:rsid w:val="00926130"/>
    <w:rsid w:val="00926F31"/>
    <w:rsid w:val="0092704A"/>
    <w:rsid w:val="00927295"/>
    <w:rsid w:val="00927C40"/>
    <w:rsid w:val="00931998"/>
    <w:rsid w:val="00933D4F"/>
    <w:rsid w:val="00934AF3"/>
    <w:rsid w:val="00936026"/>
    <w:rsid w:val="00941D89"/>
    <w:rsid w:val="00942E0B"/>
    <w:rsid w:val="00943588"/>
    <w:rsid w:val="00943667"/>
    <w:rsid w:val="00945360"/>
    <w:rsid w:val="009471F4"/>
    <w:rsid w:val="009472A3"/>
    <w:rsid w:val="00950109"/>
    <w:rsid w:val="00951CC9"/>
    <w:rsid w:val="00953FBD"/>
    <w:rsid w:val="00955A82"/>
    <w:rsid w:val="00956B80"/>
    <w:rsid w:val="00956BAD"/>
    <w:rsid w:val="0095721B"/>
    <w:rsid w:val="00957825"/>
    <w:rsid w:val="0096035C"/>
    <w:rsid w:val="00961152"/>
    <w:rsid w:val="00964F1D"/>
    <w:rsid w:val="00965188"/>
    <w:rsid w:val="00965B7D"/>
    <w:rsid w:val="009719CA"/>
    <w:rsid w:val="00972059"/>
    <w:rsid w:val="009752C6"/>
    <w:rsid w:val="00977D76"/>
    <w:rsid w:val="0098158C"/>
    <w:rsid w:val="00981752"/>
    <w:rsid w:val="00983FF5"/>
    <w:rsid w:val="009845C9"/>
    <w:rsid w:val="009852E6"/>
    <w:rsid w:val="0098782E"/>
    <w:rsid w:val="00991167"/>
    <w:rsid w:val="00993AD1"/>
    <w:rsid w:val="00994406"/>
    <w:rsid w:val="009962F0"/>
    <w:rsid w:val="009A464D"/>
    <w:rsid w:val="009A5537"/>
    <w:rsid w:val="009A65C2"/>
    <w:rsid w:val="009B0101"/>
    <w:rsid w:val="009B01D3"/>
    <w:rsid w:val="009B0389"/>
    <w:rsid w:val="009B1F0D"/>
    <w:rsid w:val="009B328E"/>
    <w:rsid w:val="009B4B2E"/>
    <w:rsid w:val="009B5C0A"/>
    <w:rsid w:val="009B5CE6"/>
    <w:rsid w:val="009C5243"/>
    <w:rsid w:val="009C5954"/>
    <w:rsid w:val="009C6161"/>
    <w:rsid w:val="009C6D86"/>
    <w:rsid w:val="009C7E08"/>
    <w:rsid w:val="009D1524"/>
    <w:rsid w:val="009D1983"/>
    <w:rsid w:val="009D3512"/>
    <w:rsid w:val="009D3D48"/>
    <w:rsid w:val="009D420F"/>
    <w:rsid w:val="009D6646"/>
    <w:rsid w:val="009D6FD8"/>
    <w:rsid w:val="009E127D"/>
    <w:rsid w:val="009E2C33"/>
    <w:rsid w:val="009E32BC"/>
    <w:rsid w:val="009E69B8"/>
    <w:rsid w:val="009F0AAA"/>
    <w:rsid w:val="009F1FF8"/>
    <w:rsid w:val="009F27D2"/>
    <w:rsid w:val="009F2ADB"/>
    <w:rsid w:val="009F3EA2"/>
    <w:rsid w:val="009F67AE"/>
    <w:rsid w:val="009F6E0A"/>
    <w:rsid w:val="00A02CD8"/>
    <w:rsid w:val="00A0474E"/>
    <w:rsid w:val="00A05C3A"/>
    <w:rsid w:val="00A07C4B"/>
    <w:rsid w:val="00A11C09"/>
    <w:rsid w:val="00A1412E"/>
    <w:rsid w:val="00A23F6C"/>
    <w:rsid w:val="00A25C93"/>
    <w:rsid w:val="00A25C95"/>
    <w:rsid w:val="00A25DF3"/>
    <w:rsid w:val="00A25F2E"/>
    <w:rsid w:val="00A27062"/>
    <w:rsid w:val="00A3120C"/>
    <w:rsid w:val="00A316E2"/>
    <w:rsid w:val="00A320E6"/>
    <w:rsid w:val="00A32203"/>
    <w:rsid w:val="00A325E1"/>
    <w:rsid w:val="00A34B70"/>
    <w:rsid w:val="00A34C93"/>
    <w:rsid w:val="00A35717"/>
    <w:rsid w:val="00A37A62"/>
    <w:rsid w:val="00A451FF"/>
    <w:rsid w:val="00A455C5"/>
    <w:rsid w:val="00A46CDF"/>
    <w:rsid w:val="00A47192"/>
    <w:rsid w:val="00A476B6"/>
    <w:rsid w:val="00A500EE"/>
    <w:rsid w:val="00A55079"/>
    <w:rsid w:val="00A551A2"/>
    <w:rsid w:val="00A574EA"/>
    <w:rsid w:val="00A6114C"/>
    <w:rsid w:val="00A612AE"/>
    <w:rsid w:val="00A62310"/>
    <w:rsid w:val="00A626CE"/>
    <w:rsid w:val="00A6460E"/>
    <w:rsid w:val="00A65113"/>
    <w:rsid w:val="00A6533D"/>
    <w:rsid w:val="00A6653D"/>
    <w:rsid w:val="00A67392"/>
    <w:rsid w:val="00A67D7D"/>
    <w:rsid w:val="00A70980"/>
    <w:rsid w:val="00A725A3"/>
    <w:rsid w:val="00A7295C"/>
    <w:rsid w:val="00A776A6"/>
    <w:rsid w:val="00A83976"/>
    <w:rsid w:val="00A85175"/>
    <w:rsid w:val="00A86C4A"/>
    <w:rsid w:val="00A86E1B"/>
    <w:rsid w:val="00A86E96"/>
    <w:rsid w:val="00A87DD7"/>
    <w:rsid w:val="00A9326E"/>
    <w:rsid w:val="00A96C25"/>
    <w:rsid w:val="00A975DE"/>
    <w:rsid w:val="00AA14EB"/>
    <w:rsid w:val="00AA23FB"/>
    <w:rsid w:val="00AA39DB"/>
    <w:rsid w:val="00AA55C1"/>
    <w:rsid w:val="00AB20F1"/>
    <w:rsid w:val="00AB25E3"/>
    <w:rsid w:val="00AB2606"/>
    <w:rsid w:val="00AB42B4"/>
    <w:rsid w:val="00AB6692"/>
    <w:rsid w:val="00AC0E2A"/>
    <w:rsid w:val="00AC2227"/>
    <w:rsid w:val="00AC34CA"/>
    <w:rsid w:val="00AC388C"/>
    <w:rsid w:val="00AC498B"/>
    <w:rsid w:val="00AD2A97"/>
    <w:rsid w:val="00AD2D6D"/>
    <w:rsid w:val="00AD303A"/>
    <w:rsid w:val="00AD5999"/>
    <w:rsid w:val="00AD5C4A"/>
    <w:rsid w:val="00AD7076"/>
    <w:rsid w:val="00AD7AD3"/>
    <w:rsid w:val="00AD7C33"/>
    <w:rsid w:val="00AE3BEF"/>
    <w:rsid w:val="00AE4728"/>
    <w:rsid w:val="00AE58D4"/>
    <w:rsid w:val="00AE6AF1"/>
    <w:rsid w:val="00AF3E73"/>
    <w:rsid w:val="00AF4B9C"/>
    <w:rsid w:val="00AF4D39"/>
    <w:rsid w:val="00AF4FFA"/>
    <w:rsid w:val="00AF62F0"/>
    <w:rsid w:val="00B018B8"/>
    <w:rsid w:val="00B02D0E"/>
    <w:rsid w:val="00B042B0"/>
    <w:rsid w:val="00B070E0"/>
    <w:rsid w:val="00B1204F"/>
    <w:rsid w:val="00B141B9"/>
    <w:rsid w:val="00B20B72"/>
    <w:rsid w:val="00B2672E"/>
    <w:rsid w:val="00B26DCC"/>
    <w:rsid w:val="00B328E3"/>
    <w:rsid w:val="00B35303"/>
    <w:rsid w:val="00B35AC0"/>
    <w:rsid w:val="00B366CD"/>
    <w:rsid w:val="00B4036F"/>
    <w:rsid w:val="00B4195C"/>
    <w:rsid w:val="00B4634E"/>
    <w:rsid w:val="00B51731"/>
    <w:rsid w:val="00B51D50"/>
    <w:rsid w:val="00B52B75"/>
    <w:rsid w:val="00B5474F"/>
    <w:rsid w:val="00B55C59"/>
    <w:rsid w:val="00B55D5C"/>
    <w:rsid w:val="00B56920"/>
    <w:rsid w:val="00B569A8"/>
    <w:rsid w:val="00B569B7"/>
    <w:rsid w:val="00B606CB"/>
    <w:rsid w:val="00B6081B"/>
    <w:rsid w:val="00B62F11"/>
    <w:rsid w:val="00B63EDE"/>
    <w:rsid w:val="00B650CC"/>
    <w:rsid w:val="00B6527E"/>
    <w:rsid w:val="00B65749"/>
    <w:rsid w:val="00B731C8"/>
    <w:rsid w:val="00B76BB5"/>
    <w:rsid w:val="00B77268"/>
    <w:rsid w:val="00B817FA"/>
    <w:rsid w:val="00B82785"/>
    <w:rsid w:val="00B85C83"/>
    <w:rsid w:val="00B87010"/>
    <w:rsid w:val="00B9130E"/>
    <w:rsid w:val="00B91A41"/>
    <w:rsid w:val="00B951EB"/>
    <w:rsid w:val="00B95AD7"/>
    <w:rsid w:val="00B95E9A"/>
    <w:rsid w:val="00B97C8E"/>
    <w:rsid w:val="00B97D0C"/>
    <w:rsid w:val="00BA1877"/>
    <w:rsid w:val="00BA2161"/>
    <w:rsid w:val="00BA2CC0"/>
    <w:rsid w:val="00BA50F4"/>
    <w:rsid w:val="00BA5207"/>
    <w:rsid w:val="00BA528E"/>
    <w:rsid w:val="00BA5D61"/>
    <w:rsid w:val="00BA6605"/>
    <w:rsid w:val="00BA7E7A"/>
    <w:rsid w:val="00BB0AA8"/>
    <w:rsid w:val="00BB0CE1"/>
    <w:rsid w:val="00BB23C7"/>
    <w:rsid w:val="00BB2DA4"/>
    <w:rsid w:val="00BB4F77"/>
    <w:rsid w:val="00BB58A7"/>
    <w:rsid w:val="00BB7AEA"/>
    <w:rsid w:val="00BC0809"/>
    <w:rsid w:val="00BC1C98"/>
    <w:rsid w:val="00BC1E7B"/>
    <w:rsid w:val="00BC2B30"/>
    <w:rsid w:val="00BC4A16"/>
    <w:rsid w:val="00BC7394"/>
    <w:rsid w:val="00BC77E7"/>
    <w:rsid w:val="00BD1AFA"/>
    <w:rsid w:val="00BD3157"/>
    <w:rsid w:val="00BD4C6E"/>
    <w:rsid w:val="00BD4E00"/>
    <w:rsid w:val="00BD54FA"/>
    <w:rsid w:val="00BD6650"/>
    <w:rsid w:val="00BE03A4"/>
    <w:rsid w:val="00BE070D"/>
    <w:rsid w:val="00BE1B86"/>
    <w:rsid w:val="00BE63B8"/>
    <w:rsid w:val="00BE6C1F"/>
    <w:rsid w:val="00BE75B4"/>
    <w:rsid w:val="00BE7CB4"/>
    <w:rsid w:val="00BF1B0C"/>
    <w:rsid w:val="00BF1CE8"/>
    <w:rsid w:val="00BF2504"/>
    <w:rsid w:val="00BF2D94"/>
    <w:rsid w:val="00BF37B4"/>
    <w:rsid w:val="00BF3CC6"/>
    <w:rsid w:val="00BF55B9"/>
    <w:rsid w:val="00BF5905"/>
    <w:rsid w:val="00BF5DF0"/>
    <w:rsid w:val="00C00A86"/>
    <w:rsid w:val="00C00F7D"/>
    <w:rsid w:val="00C0187F"/>
    <w:rsid w:val="00C04D06"/>
    <w:rsid w:val="00C07BA6"/>
    <w:rsid w:val="00C10BE0"/>
    <w:rsid w:val="00C12D1F"/>
    <w:rsid w:val="00C144C4"/>
    <w:rsid w:val="00C15C07"/>
    <w:rsid w:val="00C15D5D"/>
    <w:rsid w:val="00C1735F"/>
    <w:rsid w:val="00C17FF2"/>
    <w:rsid w:val="00C20403"/>
    <w:rsid w:val="00C20849"/>
    <w:rsid w:val="00C25922"/>
    <w:rsid w:val="00C25E52"/>
    <w:rsid w:val="00C27A17"/>
    <w:rsid w:val="00C27A3F"/>
    <w:rsid w:val="00C3135C"/>
    <w:rsid w:val="00C31AF9"/>
    <w:rsid w:val="00C31B19"/>
    <w:rsid w:val="00C31DDF"/>
    <w:rsid w:val="00C3259A"/>
    <w:rsid w:val="00C34357"/>
    <w:rsid w:val="00C36350"/>
    <w:rsid w:val="00C405C6"/>
    <w:rsid w:val="00C44DB9"/>
    <w:rsid w:val="00C44F4A"/>
    <w:rsid w:val="00C47CA5"/>
    <w:rsid w:val="00C5138B"/>
    <w:rsid w:val="00C52BFF"/>
    <w:rsid w:val="00C52D2B"/>
    <w:rsid w:val="00C54F08"/>
    <w:rsid w:val="00C56956"/>
    <w:rsid w:val="00C57BA9"/>
    <w:rsid w:val="00C60F7B"/>
    <w:rsid w:val="00C61A94"/>
    <w:rsid w:val="00C6434C"/>
    <w:rsid w:val="00C6447D"/>
    <w:rsid w:val="00C65AD7"/>
    <w:rsid w:val="00C660A6"/>
    <w:rsid w:val="00C73D0B"/>
    <w:rsid w:val="00C76152"/>
    <w:rsid w:val="00C76426"/>
    <w:rsid w:val="00C766A3"/>
    <w:rsid w:val="00C7697D"/>
    <w:rsid w:val="00C80B44"/>
    <w:rsid w:val="00C80E4A"/>
    <w:rsid w:val="00C824B4"/>
    <w:rsid w:val="00C82662"/>
    <w:rsid w:val="00C829AC"/>
    <w:rsid w:val="00C8316C"/>
    <w:rsid w:val="00C83400"/>
    <w:rsid w:val="00C83A23"/>
    <w:rsid w:val="00C90A1B"/>
    <w:rsid w:val="00C91C6C"/>
    <w:rsid w:val="00C91F17"/>
    <w:rsid w:val="00C92A53"/>
    <w:rsid w:val="00C9387D"/>
    <w:rsid w:val="00C959A1"/>
    <w:rsid w:val="00C95FEB"/>
    <w:rsid w:val="00C96C5F"/>
    <w:rsid w:val="00C96D6C"/>
    <w:rsid w:val="00CA1149"/>
    <w:rsid w:val="00CA33F0"/>
    <w:rsid w:val="00CA4F1C"/>
    <w:rsid w:val="00CA715D"/>
    <w:rsid w:val="00CB2645"/>
    <w:rsid w:val="00CB27E0"/>
    <w:rsid w:val="00CB3697"/>
    <w:rsid w:val="00CB3C2F"/>
    <w:rsid w:val="00CB479F"/>
    <w:rsid w:val="00CB4EDC"/>
    <w:rsid w:val="00CC4F41"/>
    <w:rsid w:val="00CC5059"/>
    <w:rsid w:val="00CC52DB"/>
    <w:rsid w:val="00CC5B1C"/>
    <w:rsid w:val="00CD0BA2"/>
    <w:rsid w:val="00CD173D"/>
    <w:rsid w:val="00CD2568"/>
    <w:rsid w:val="00CD2CCB"/>
    <w:rsid w:val="00CD31D5"/>
    <w:rsid w:val="00CD334C"/>
    <w:rsid w:val="00CD5BF6"/>
    <w:rsid w:val="00CD5DCC"/>
    <w:rsid w:val="00CD73E7"/>
    <w:rsid w:val="00CE1A31"/>
    <w:rsid w:val="00CE1D49"/>
    <w:rsid w:val="00CE2A4C"/>
    <w:rsid w:val="00CE35F1"/>
    <w:rsid w:val="00CE38B1"/>
    <w:rsid w:val="00CE494B"/>
    <w:rsid w:val="00CE5A0A"/>
    <w:rsid w:val="00CF000C"/>
    <w:rsid w:val="00CF162B"/>
    <w:rsid w:val="00CF6B6F"/>
    <w:rsid w:val="00D01C9F"/>
    <w:rsid w:val="00D02B7B"/>
    <w:rsid w:val="00D03C8D"/>
    <w:rsid w:val="00D04116"/>
    <w:rsid w:val="00D06A63"/>
    <w:rsid w:val="00D072BF"/>
    <w:rsid w:val="00D07FAF"/>
    <w:rsid w:val="00D107CE"/>
    <w:rsid w:val="00D11322"/>
    <w:rsid w:val="00D13005"/>
    <w:rsid w:val="00D14ECD"/>
    <w:rsid w:val="00D15B71"/>
    <w:rsid w:val="00D17363"/>
    <w:rsid w:val="00D1765B"/>
    <w:rsid w:val="00D21EA0"/>
    <w:rsid w:val="00D22277"/>
    <w:rsid w:val="00D22CD7"/>
    <w:rsid w:val="00D24491"/>
    <w:rsid w:val="00D2467F"/>
    <w:rsid w:val="00D25283"/>
    <w:rsid w:val="00D25795"/>
    <w:rsid w:val="00D30969"/>
    <w:rsid w:val="00D31B90"/>
    <w:rsid w:val="00D3641B"/>
    <w:rsid w:val="00D36EA2"/>
    <w:rsid w:val="00D41AFE"/>
    <w:rsid w:val="00D4463C"/>
    <w:rsid w:val="00D4574F"/>
    <w:rsid w:val="00D475D0"/>
    <w:rsid w:val="00D47E25"/>
    <w:rsid w:val="00D50081"/>
    <w:rsid w:val="00D50803"/>
    <w:rsid w:val="00D51F10"/>
    <w:rsid w:val="00D53F00"/>
    <w:rsid w:val="00D574DF"/>
    <w:rsid w:val="00D57C7F"/>
    <w:rsid w:val="00D61B08"/>
    <w:rsid w:val="00D62013"/>
    <w:rsid w:val="00D62373"/>
    <w:rsid w:val="00D62FD1"/>
    <w:rsid w:val="00D6543D"/>
    <w:rsid w:val="00D7112E"/>
    <w:rsid w:val="00D74EAD"/>
    <w:rsid w:val="00D7517A"/>
    <w:rsid w:val="00D753A0"/>
    <w:rsid w:val="00D75421"/>
    <w:rsid w:val="00D75F1B"/>
    <w:rsid w:val="00D75F48"/>
    <w:rsid w:val="00D76DD0"/>
    <w:rsid w:val="00D844D0"/>
    <w:rsid w:val="00D84C75"/>
    <w:rsid w:val="00D84EDE"/>
    <w:rsid w:val="00D85162"/>
    <w:rsid w:val="00D851A8"/>
    <w:rsid w:val="00D85402"/>
    <w:rsid w:val="00D85C96"/>
    <w:rsid w:val="00D901F9"/>
    <w:rsid w:val="00D90303"/>
    <w:rsid w:val="00D910AD"/>
    <w:rsid w:val="00D94E83"/>
    <w:rsid w:val="00D96951"/>
    <w:rsid w:val="00D970AC"/>
    <w:rsid w:val="00DA0265"/>
    <w:rsid w:val="00DA1D59"/>
    <w:rsid w:val="00DA1FF1"/>
    <w:rsid w:val="00DA7437"/>
    <w:rsid w:val="00DB2326"/>
    <w:rsid w:val="00DB414E"/>
    <w:rsid w:val="00DB7B4C"/>
    <w:rsid w:val="00DC02EE"/>
    <w:rsid w:val="00DC1A6E"/>
    <w:rsid w:val="00DC2853"/>
    <w:rsid w:val="00DC3983"/>
    <w:rsid w:val="00DC5015"/>
    <w:rsid w:val="00DC65BD"/>
    <w:rsid w:val="00DD065D"/>
    <w:rsid w:val="00DD107B"/>
    <w:rsid w:val="00DD2073"/>
    <w:rsid w:val="00DD2D91"/>
    <w:rsid w:val="00DD54DD"/>
    <w:rsid w:val="00DD6111"/>
    <w:rsid w:val="00DE0962"/>
    <w:rsid w:val="00DF2004"/>
    <w:rsid w:val="00DF27BD"/>
    <w:rsid w:val="00DF2C1D"/>
    <w:rsid w:val="00DF2EC5"/>
    <w:rsid w:val="00DF410F"/>
    <w:rsid w:val="00DF451E"/>
    <w:rsid w:val="00DF4ABC"/>
    <w:rsid w:val="00DF5E54"/>
    <w:rsid w:val="00E00226"/>
    <w:rsid w:val="00E0066A"/>
    <w:rsid w:val="00E00B4C"/>
    <w:rsid w:val="00E00DD1"/>
    <w:rsid w:val="00E01CBD"/>
    <w:rsid w:val="00E055D1"/>
    <w:rsid w:val="00E07012"/>
    <w:rsid w:val="00E07298"/>
    <w:rsid w:val="00E1017D"/>
    <w:rsid w:val="00E11779"/>
    <w:rsid w:val="00E120F8"/>
    <w:rsid w:val="00E143C5"/>
    <w:rsid w:val="00E162E0"/>
    <w:rsid w:val="00E17270"/>
    <w:rsid w:val="00E17692"/>
    <w:rsid w:val="00E238B4"/>
    <w:rsid w:val="00E24929"/>
    <w:rsid w:val="00E26C72"/>
    <w:rsid w:val="00E27349"/>
    <w:rsid w:val="00E27EA9"/>
    <w:rsid w:val="00E3075F"/>
    <w:rsid w:val="00E30C0B"/>
    <w:rsid w:val="00E329CE"/>
    <w:rsid w:val="00E3526D"/>
    <w:rsid w:val="00E360FD"/>
    <w:rsid w:val="00E36A42"/>
    <w:rsid w:val="00E374F3"/>
    <w:rsid w:val="00E414C7"/>
    <w:rsid w:val="00E42FDD"/>
    <w:rsid w:val="00E43944"/>
    <w:rsid w:val="00E450B6"/>
    <w:rsid w:val="00E45BE4"/>
    <w:rsid w:val="00E509A0"/>
    <w:rsid w:val="00E518CB"/>
    <w:rsid w:val="00E52ACC"/>
    <w:rsid w:val="00E54AF1"/>
    <w:rsid w:val="00E5559D"/>
    <w:rsid w:val="00E556B2"/>
    <w:rsid w:val="00E60141"/>
    <w:rsid w:val="00E61763"/>
    <w:rsid w:val="00E61E35"/>
    <w:rsid w:val="00E61FAF"/>
    <w:rsid w:val="00E62572"/>
    <w:rsid w:val="00E63899"/>
    <w:rsid w:val="00E64AEC"/>
    <w:rsid w:val="00E65F4C"/>
    <w:rsid w:val="00E704FC"/>
    <w:rsid w:val="00E71593"/>
    <w:rsid w:val="00E71EDB"/>
    <w:rsid w:val="00E7222D"/>
    <w:rsid w:val="00E73475"/>
    <w:rsid w:val="00E73B73"/>
    <w:rsid w:val="00E73E38"/>
    <w:rsid w:val="00E749BA"/>
    <w:rsid w:val="00E752D2"/>
    <w:rsid w:val="00E76DD1"/>
    <w:rsid w:val="00E816BF"/>
    <w:rsid w:val="00E81846"/>
    <w:rsid w:val="00E82AAA"/>
    <w:rsid w:val="00E85686"/>
    <w:rsid w:val="00E85BD8"/>
    <w:rsid w:val="00E86872"/>
    <w:rsid w:val="00E86E7A"/>
    <w:rsid w:val="00E87372"/>
    <w:rsid w:val="00E87937"/>
    <w:rsid w:val="00E91DA0"/>
    <w:rsid w:val="00E927E5"/>
    <w:rsid w:val="00E932CD"/>
    <w:rsid w:val="00E93A80"/>
    <w:rsid w:val="00E95CC8"/>
    <w:rsid w:val="00E97DB4"/>
    <w:rsid w:val="00EA0186"/>
    <w:rsid w:val="00EA1BD0"/>
    <w:rsid w:val="00EA2EF5"/>
    <w:rsid w:val="00EA35EA"/>
    <w:rsid w:val="00EA38C1"/>
    <w:rsid w:val="00EA3ABA"/>
    <w:rsid w:val="00EA428D"/>
    <w:rsid w:val="00EA455F"/>
    <w:rsid w:val="00EA5079"/>
    <w:rsid w:val="00EA5360"/>
    <w:rsid w:val="00EA56B2"/>
    <w:rsid w:val="00EA6070"/>
    <w:rsid w:val="00EA64D7"/>
    <w:rsid w:val="00EB0025"/>
    <w:rsid w:val="00EB16FC"/>
    <w:rsid w:val="00EB1DC7"/>
    <w:rsid w:val="00EB26E0"/>
    <w:rsid w:val="00EB32FC"/>
    <w:rsid w:val="00EB3F5E"/>
    <w:rsid w:val="00EB619B"/>
    <w:rsid w:val="00EB7512"/>
    <w:rsid w:val="00EC0239"/>
    <w:rsid w:val="00EC074C"/>
    <w:rsid w:val="00EC1DA6"/>
    <w:rsid w:val="00EC5041"/>
    <w:rsid w:val="00ED0651"/>
    <w:rsid w:val="00ED2D6C"/>
    <w:rsid w:val="00EE02CF"/>
    <w:rsid w:val="00EE6603"/>
    <w:rsid w:val="00EE7DCC"/>
    <w:rsid w:val="00EF0131"/>
    <w:rsid w:val="00EF53A8"/>
    <w:rsid w:val="00EF7002"/>
    <w:rsid w:val="00F00730"/>
    <w:rsid w:val="00F0115B"/>
    <w:rsid w:val="00F04E2C"/>
    <w:rsid w:val="00F0666F"/>
    <w:rsid w:val="00F06B5D"/>
    <w:rsid w:val="00F10F65"/>
    <w:rsid w:val="00F11183"/>
    <w:rsid w:val="00F14FC6"/>
    <w:rsid w:val="00F156BC"/>
    <w:rsid w:val="00F1582B"/>
    <w:rsid w:val="00F210AE"/>
    <w:rsid w:val="00F21E07"/>
    <w:rsid w:val="00F220D0"/>
    <w:rsid w:val="00F22190"/>
    <w:rsid w:val="00F241BD"/>
    <w:rsid w:val="00F2473C"/>
    <w:rsid w:val="00F27473"/>
    <w:rsid w:val="00F31BC5"/>
    <w:rsid w:val="00F329CD"/>
    <w:rsid w:val="00F33221"/>
    <w:rsid w:val="00F355DB"/>
    <w:rsid w:val="00F36C1A"/>
    <w:rsid w:val="00F36D4A"/>
    <w:rsid w:val="00F37C89"/>
    <w:rsid w:val="00F41947"/>
    <w:rsid w:val="00F44234"/>
    <w:rsid w:val="00F5131B"/>
    <w:rsid w:val="00F5179B"/>
    <w:rsid w:val="00F51E69"/>
    <w:rsid w:val="00F52025"/>
    <w:rsid w:val="00F633B2"/>
    <w:rsid w:val="00F64C3C"/>
    <w:rsid w:val="00F668A1"/>
    <w:rsid w:val="00F670D1"/>
    <w:rsid w:val="00F71466"/>
    <w:rsid w:val="00F734D5"/>
    <w:rsid w:val="00F7730B"/>
    <w:rsid w:val="00F80CAD"/>
    <w:rsid w:val="00F8280C"/>
    <w:rsid w:val="00F84146"/>
    <w:rsid w:val="00F8438C"/>
    <w:rsid w:val="00F84DDC"/>
    <w:rsid w:val="00F87987"/>
    <w:rsid w:val="00F90E22"/>
    <w:rsid w:val="00F91418"/>
    <w:rsid w:val="00F93632"/>
    <w:rsid w:val="00F96125"/>
    <w:rsid w:val="00F961CF"/>
    <w:rsid w:val="00F964DF"/>
    <w:rsid w:val="00F96814"/>
    <w:rsid w:val="00F97B29"/>
    <w:rsid w:val="00F97CBE"/>
    <w:rsid w:val="00FA00CC"/>
    <w:rsid w:val="00FA2C38"/>
    <w:rsid w:val="00FA359D"/>
    <w:rsid w:val="00FA4BEA"/>
    <w:rsid w:val="00FB09EF"/>
    <w:rsid w:val="00FB39B7"/>
    <w:rsid w:val="00FC2815"/>
    <w:rsid w:val="00FC3DB2"/>
    <w:rsid w:val="00FC3F8D"/>
    <w:rsid w:val="00FC7054"/>
    <w:rsid w:val="00FD49E4"/>
    <w:rsid w:val="00FD6B5B"/>
    <w:rsid w:val="00FD74FF"/>
    <w:rsid w:val="00FD798B"/>
    <w:rsid w:val="00FD7D1C"/>
    <w:rsid w:val="00FF2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1"/>
        <o:r id="V:Rule2" type="connector" idref="#AutoShape 48"/>
        <o:r id="V:Rule3" type="connector" idref="#AutoShape 42"/>
        <o:r id="V:Rule4" type="connector" idref="#AutoShape 44"/>
        <o:r id="V:Rule5" type="connector" idref="#AutoShape 31"/>
        <o:r id="V:Rule6" type="connector" idref="#AutoShape 45"/>
        <o:r id="V:Rule7" type="connector" idref="#AutoShape 30"/>
        <o:r id="V:Rule8" type="connector" idref="#AutoShape 47"/>
        <o:r id="V:Rule9" type="connector" idref="#AutoShape 46"/>
        <o:r id="V:Rule10" type="connector" idref="#AutoShape 39"/>
        <o:r id="V:Rule11" type="connector" idref="#AutoShape 28"/>
        <o:r id="V:Rule12" type="connector" idref="#AutoShape 29"/>
        <o:r id="V:Rule13" type="connector" idref="#AutoShape 38"/>
        <o:r id="V:Rule14" type="connector" idref="#AutoShape 27"/>
        <o:r id="V:Rule15" type="connector" idref="#AutoShape 36"/>
        <o:r id="V:Rule16" type="connector" idref="#AutoShape 37"/>
        <o:r id="V:Rule17" type="connector" idref="#AutoShape 32"/>
        <o:r id="V:Rule18" type="connector" idref="#AutoShape 43"/>
        <o:r id="V:Rule19" type="connector" idref="#AutoShape 33"/>
        <o:r id="V:Rule20" type="connector" idref="#AutoShape 40"/>
        <o:r id="V:Rule21" type="connector" idref="#AutoShape 35"/>
        <o:r id="V:Rule22" type="connector" idref="#AutoShape 34"/>
      </o:rules>
    </o:shapelayout>
  </w:shapeDefaults>
  <w:decimalSymbol w:val="."/>
  <w:listSeparator w:val=","/>
  <w14:docId w14:val="1DAB78FF"/>
  <w15:docId w15:val="{CA8E1126-F30F-4FF4-B3DD-67FDED75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3748"/>
  </w:style>
  <w:style w:type="paragraph" w:styleId="Heading1">
    <w:name w:val="heading 1"/>
    <w:basedOn w:val="Normal"/>
    <w:next w:val="Normal"/>
    <w:link w:val="Heading1Char"/>
    <w:uiPriority w:val="9"/>
    <w:qFormat/>
    <w:rsid w:val="00AC0E2A"/>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0E2A"/>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5D1B"/>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5D1B"/>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E5D1B"/>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E5D1B"/>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E5D1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5D1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E5D1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E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0E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5D1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E5D1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E5D1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E5D1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E5D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5D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E5D1B"/>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2C69AF"/>
    <w:rPr>
      <w:color w:val="808080"/>
    </w:rPr>
  </w:style>
  <w:style w:type="paragraph" w:styleId="BalloonText">
    <w:name w:val="Balloon Text"/>
    <w:basedOn w:val="Normal"/>
    <w:link w:val="BalloonTextChar"/>
    <w:uiPriority w:val="99"/>
    <w:semiHidden/>
    <w:unhideWhenUsed/>
    <w:rsid w:val="002C6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9AF"/>
    <w:rPr>
      <w:rFonts w:ascii="Tahoma" w:hAnsi="Tahoma" w:cs="Tahoma"/>
      <w:sz w:val="16"/>
      <w:szCs w:val="16"/>
    </w:rPr>
  </w:style>
  <w:style w:type="table" w:styleId="TableGrid">
    <w:name w:val="Table Grid"/>
    <w:basedOn w:val="TableNormal"/>
    <w:uiPriority w:val="59"/>
    <w:rsid w:val="00AA2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6BB5"/>
    <w:rPr>
      <w:color w:val="0000FF" w:themeColor="hyperlink"/>
      <w:u w:val="single"/>
    </w:rPr>
  </w:style>
  <w:style w:type="paragraph" w:styleId="Header">
    <w:name w:val="header"/>
    <w:basedOn w:val="Normal"/>
    <w:link w:val="HeaderChar"/>
    <w:uiPriority w:val="99"/>
    <w:unhideWhenUsed/>
    <w:rsid w:val="00AC0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E2A"/>
  </w:style>
  <w:style w:type="paragraph" w:styleId="Footer">
    <w:name w:val="footer"/>
    <w:basedOn w:val="Normal"/>
    <w:link w:val="FooterChar"/>
    <w:uiPriority w:val="99"/>
    <w:unhideWhenUsed/>
    <w:rsid w:val="00AC0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E2A"/>
  </w:style>
  <w:style w:type="character" w:customStyle="1" w:styleId="CommentTextChar">
    <w:name w:val="Comment Text Char"/>
    <w:basedOn w:val="DefaultParagraphFont"/>
    <w:link w:val="CommentText"/>
    <w:uiPriority w:val="99"/>
    <w:semiHidden/>
    <w:rsid w:val="00AC0E2A"/>
    <w:rPr>
      <w:sz w:val="20"/>
      <w:szCs w:val="20"/>
    </w:rPr>
  </w:style>
  <w:style w:type="paragraph" w:styleId="CommentText">
    <w:name w:val="annotation text"/>
    <w:basedOn w:val="Normal"/>
    <w:link w:val="CommentTextChar"/>
    <w:uiPriority w:val="99"/>
    <w:semiHidden/>
    <w:unhideWhenUsed/>
    <w:rsid w:val="00AC0E2A"/>
    <w:pPr>
      <w:spacing w:line="240" w:lineRule="auto"/>
    </w:pPr>
    <w:rPr>
      <w:sz w:val="20"/>
      <w:szCs w:val="20"/>
    </w:rPr>
  </w:style>
  <w:style w:type="character" w:customStyle="1" w:styleId="CommentSubjectChar">
    <w:name w:val="Comment Subject Char"/>
    <w:basedOn w:val="CommentTextChar"/>
    <w:link w:val="CommentSubject"/>
    <w:uiPriority w:val="99"/>
    <w:semiHidden/>
    <w:rsid w:val="00AC0E2A"/>
    <w:rPr>
      <w:b/>
      <w:bCs/>
      <w:sz w:val="20"/>
      <w:szCs w:val="20"/>
    </w:rPr>
  </w:style>
  <w:style w:type="paragraph" w:styleId="CommentSubject">
    <w:name w:val="annotation subject"/>
    <w:basedOn w:val="CommentText"/>
    <w:next w:val="CommentText"/>
    <w:link w:val="CommentSubjectChar"/>
    <w:uiPriority w:val="99"/>
    <w:semiHidden/>
    <w:unhideWhenUsed/>
    <w:rsid w:val="00AC0E2A"/>
    <w:rPr>
      <w:b/>
      <w:bCs/>
    </w:rPr>
  </w:style>
  <w:style w:type="paragraph" w:styleId="EndnoteText">
    <w:name w:val="endnote text"/>
    <w:basedOn w:val="Normal"/>
    <w:link w:val="EndnoteTextChar"/>
    <w:uiPriority w:val="99"/>
    <w:unhideWhenUsed/>
    <w:rsid w:val="00AC0E2A"/>
    <w:pPr>
      <w:spacing w:after="0" w:line="240" w:lineRule="auto"/>
    </w:pPr>
    <w:rPr>
      <w:rFonts w:eastAsiaTheme="minorEastAsia"/>
      <w:sz w:val="20"/>
      <w:szCs w:val="20"/>
      <w:lang w:eastAsia="zh-CN"/>
    </w:rPr>
  </w:style>
  <w:style w:type="character" w:customStyle="1" w:styleId="EndnoteTextChar">
    <w:name w:val="Endnote Text Char"/>
    <w:basedOn w:val="DefaultParagraphFont"/>
    <w:link w:val="EndnoteText"/>
    <w:uiPriority w:val="99"/>
    <w:rsid w:val="00AC0E2A"/>
    <w:rPr>
      <w:rFonts w:eastAsiaTheme="minorEastAsia"/>
      <w:sz w:val="20"/>
      <w:szCs w:val="20"/>
      <w:lang w:eastAsia="zh-CN"/>
    </w:rPr>
  </w:style>
  <w:style w:type="paragraph" w:styleId="Caption">
    <w:name w:val="caption"/>
    <w:basedOn w:val="Normal"/>
    <w:next w:val="Normal"/>
    <w:uiPriority w:val="35"/>
    <w:unhideWhenUsed/>
    <w:qFormat/>
    <w:rsid w:val="00AC0E2A"/>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AC0E2A"/>
    <w:pPr>
      <w:outlineLvl w:val="9"/>
    </w:pPr>
    <w:rPr>
      <w:lang w:val="en-US" w:eastAsia="ja-JP"/>
    </w:rPr>
  </w:style>
  <w:style w:type="paragraph" w:styleId="TOC1">
    <w:name w:val="toc 1"/>
    <w:basedOn w:val="Normal"/>
    <w:next w:val="Normal"/>
    <w:autoRedefine/>
    <w:uiPriority w:val="39"/>
    <w:unhideWhenUsed/>
    <w:qFormat/>
    <w:rsid w:val="003661FA"/>
    <w:pPr>
      <w:tabs>
        <w:tab w:val="right" w:leader="dot" w:pos="8188"/>
      </w:tabs>
      <w:spacing w:after="100"/>
    </w:pPr>
  </w:style>
  <w:style w:type="paragraph" w:styleId="TOC2">
    <w:name w:val="toc 2"/>
    <w:basedOn w:val="Normal"/>
    <w:next w:val="Normal"/>
    <w:autoRedefine/>
    <w:uiPriority w:val="39"/>
    <w:unhideWhenUsed/>
    <w:qFormat/>
    <w:rsid w:val="00AC0E2A"/>
    <w:pPr>
      <w:spacing w:after="100"/>
      <w:ind w:left="220"/>
    </w:pPr>
    <w:rPr>
      <w:rFonts w:eastAsiaTheme="minorEastAsia"/>
      <w:lang w:val="en-US" w:eastAsia="ja-JP"/>
    </w:rPr>
  </w:style>
  <w:style w:type="paragraph" w:styleId="ListParagraph">
    <w:name w:val="List Paragraph"/>
    <w:basedOn w:val="Normal"/>
    <w:uiPriority w:val="34"/>
    <w:qFormat/>
    <w:rsid w:val="00AC0E2A"/>
    <w:pPr>
      <w:ind w:left="720"/>
      <w:contextualSpacing/>
    </w:pPr>
  </w:style>
  <w:style w:type="character" w:customStyle="1" w:styleId="apple-converted-space">
    <w:name w:val="apple-converted-space"/>
    <w:basedOn w:val="DefaultParagraphFont"/>
    <w:rsid w:val="00DF410F"/>
  </w:style>
  <w:style w:type="character" w:styleId="CommentReference">
    <w:name w:val="annotation reference"/>
    <w:basedOn w:val="DefaultParagraphFont"/>
    <w:uiPriority w:val="99"/>
    <w:semiHidden/>
    <w:unhideWhenUsed/>
    <w:rsid w:val="006B3B3D"/>
    <w:rPr>
      <w:sz w:val="16"/>
      <w:szCs w:val="16"/>
    </w:rPr>
  </w:style>
  <w:style w:type="table" w:customStyle="1" w:styleId="Style1">
    <w:name w:val="Style1"/>
    <w:basedOn w:val="TableNormal"/>
    <w:uiPriority w:val="99"/>
    <w:qFormat/>
    <w:rsid w:val="007D6027"/>
    <w:pPr>
      <w:spacing w:after="0" w:line="240" w:lineRule="auto"/>
    </w:pPr>
    <w:tblPr/>
  </w:style>
  <w:style w:type="paragraph" w:styleId="TableofFigures">
    <w:name w:val="table of figures"/>
    <w:basedOn w:val="Normal"/>
    <w:next w:val="Normal"/>
    <w:uiPriority w:val="99"/>
    <w:unhideWhenUsed/>
    <w:rsid w:val="00027E7A"/>
    <w:pPr>
      <w:numPr>
        <w:numId w:val="4"/>
      </w:numPr>
      <w:spacing w:after="0"/>
    </w:pPr>
  </w:style>
  <w:style w:type="paragraph" w:styleId="TOC3">
    <w:name w:val="toc 3"/>
    <w:basedOn w:val="Normal"/>
    <w:next w:val="Normal"/>
    <w:autoRedefine/>
    <w:uiPriority w:val="39"/>
    <w:unhideWhenUsed/>
    <w:qFormat/>
    <w:rsid w:val="001615E6"/>
    <w:pPr>
      <w:spacing w:after="100"/>
      <w:ind w:left="440"/>
    </w:pPr>
  </w:style>
  <w:style w:type="paragraph" w:styleId="NoSpacing">
    <w:name w:val="No Spacing"/>
    <w:link w:val="NoSpacingChar"/>
    <w:uiPriority w:val="1"/>
    <w:qFormat/>
    <w:rsid w:val="00E73475"/>
    <w:pPr>
      <w:spacing w:after="0" w:line="240" w:lineRule="auto"/>
    </w:pPr>
  </w:style>
  <w:style w:type="character" w:styleId="Emphasis">
    <w:name w:val="Emphasis"/>
    <w:basedOn w:val="DefaultParagraphFont"/>
    <w:uiPriority w:val="20"/>
    <w:qFormat/>
    <w:rsid w:val="003703F0"/>
    <w:rPr>
      <w:i/>
      <w:iCs/>
    </w:rPr>
  </w:style>
  <w:style w:type="character" w:customStyle="1" w:styleId="il">
    <w:name w:val="il"/>
    <w:basedOn w:val="DefaultParagraphFont"/>
    <w:rsid w:val="008E6BF7"/>
  </w:style>
  <w:style w:type="character" w:styleId="EndnoteReference">
    <w:name w:val="endnote reference"/>
    <w:basedOn w:val="DefaultParagraphFont"/>
    <w:uiPriority w:val="99"/>
    <w:semiHidden/>
    <w:unhideWhenUsed/>
    <w:rsid w:val="00C6434C"/>
    <w:rPr>
      <w:vertAlign w:val="superscript"/>
    </w:rPr>
  </w:style>
  <w:style w:type="paragraph" w:styleId="TOC4">
    <w:name w:val="toc 4"/>
    <w:basedOn w:val="Normal"/>
    <w:next w:val="Normal"/>
    <w:autoRedefine/>
    <w:uiPriority w:val="39"/>
    <w:unhideWhenUsed/>
    <w:rsid w:val="00C31AF9"/>
    <w:pPr>
      <w:spacing w:after="100"/>
      <w:ind w:left="660"/>
    </w:pPr>
    <w:rPr>
      <w:rFonts w:eastAsiaTheme="minorEastAsia"/>
      <w:lang w:eastAsia="en-GB"/>
    </w:rPr>
  </w:style>
  <w:style w:type="paragraph" w:styleId="TOC5">
    <w:name w:val="toc 5"/>
    <w:basedOn w:val="Normal"/>
    <w:next w:val="Normal"/>
    <w:autoRedefine/>
    <w:uiPriority w:val="39"/>
    <w:unhideWhenUsed/>
    <w:rsid w:val="00C31AF9"/>
    <w:pPr>
      <w:spacing w:after="100"/>
      <w:ind w:left="880"/>
    </w:pPr>
    <w:rPr>
      <w:rFonts w:eastAsiaTheme="minorEastAsia"/>
      <w:lang w:eastAsia="en-GB"/>
    </w:rPr>
  </w:style>
  <w:style w:type="paragraph" w:styleId="TOC6">
    <w:name w:val="toc 6"/>
    <w:basedOn w:val="Normal"/>
    <w:next w:val="Normal"/>
    <w:autoRedefine/>
    <w:uiPriority w:val="39"/>
    <w:unhideWhenUsed/>
    <w:rsid w:val="00C31AF9"/>
    <w:pPr>
      <w:spacing w:after="100"/>
      <w:ind w:left="1100"/>
    </w:pPr>
    <w:rPr>
      <w:rFonts w:eastAsiaTheme="minorEastAsia"/>
      <w:lang w:eastAsia="en-GB"/>
    </w:rPr>
  </w:style>
  <w:style w:type="paragraph" w:styleId="TOC7">
    <w:name w:val="toc 7"/>
    <w:basedOn w:val="Normal"/>
    <w:next w:val="Normal"/>
    <w:autoRedefine/>
    <w:uiPriority w:val="39"/>
    <w:unhideWhenUsed/>
    <w:rsid w:val="00C31AF9"/>
    <w:pPr>
      <w:spacing w:after="100"/>
      <w:ind w:left="1320"/>
    </w:pPr>
    <w:rPr>
      <w:rFonts w:eastAsiaTheme="minorEastAsia"/>
      <w:lang w:eastAsia="en-GB"/>
    </w:rPr>
  </w:style>
  <w:style w:type="paragraph" w:styleId="TOC8">
    <w:name w:val="toc 8"/>
    <w:basedOn w:val="Normal"/>
    <w:next w:val="Normal"/>
    <w:autoRedefine/>
    <w:uiPriority w:val="39"/>
    <w:unhideWhenUsed/>
    <w:rsid w:val="00C31AF9"/>
    <w:pPr>
      <w:spacing w:after="100"/>
      <w:ind w:left="1540"/>
    </w:pPr>
    <w:rPr>
      <w:rFonts w:eastAsiaTheme="minorEastAsia"/>
      <w:lang w:eastAsia="en-GB"/>
    </w:rPr>
  </w:style>
  <w:style w:type="paragraph" w:styleId="TOC9">
    <w:name w:val="toc 9"/>
    <w:basedOn w:val="Normal"/>
    <w:next w:val="Normal"/>
    <w:autoRedefine/>
    <w:uiPriority w:val="39"/>
    <w:unhideWhenUsed/>
    <w:rsid w:val="00C31AF9"/>
    <w:pPr>
      <w:spacing w:after="100"/>
      <w:ind w:left="1760"/>
    </w:pPr>
    <w:rPr>
      <w:rFonts w:eastAsiaTheme="minorEastAsia"/>
      <w:lang w:eastAsia="en-GB"/>
    </w:rPr>
  </w:style>
  <w:style w:type="paragraph" w:styleId="DocumentMap">
    <w:name w:val="Document Map"/>
    <w:basedOn w:val="Normal"/>
    <w:link w:val="DocumentMapChar"/>
    <w:uiPriority w:val="99"/>
    <w:semiHidden/>
    <w:unhideWhenUsed/>
    <w:rsid w:val="00C80B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80B44"/>
    <w:rPr>
      <w:rFonts w:ascii="Tahoma" w:hAnsi="Tahoma" w:cs="Tahoma"/>
      <w:sz w:val="16"/>
      <w:szCs w:val="16"/>
    </w:rPr>
  </w:style>
  <w:style w:type="character" w:styleId="LineNumber">
    <w:name w:val="line number"/>
    <w:basedOn w:val="DefaultParagraphFont"/>
    <w:uiPriority w:val="99"/>
    <w:semiHidden/>
    <w:unhideWhenUsed/>
    <w:rsid w:val="00E1017D"/>
  </w:style>
  <w:style w:type="paragraph" w:styleId="FootnoteText">
    <w:name w:val="footnote text"/>
    <w:basedOn w:val="Normal"/>
    <w:link w:val="FootnoteTextChar"/>
    <w:uiPriority w:val="99"/>
    <w:semiHidden/>
    <w:unhideWhenUsed/>
    <w:rsid w:val="00C07B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7BA6"/>
    <w:rPr>
      <w:sz w:val="20"/>
      <w:szCs w:val="20"/>
    </w:rPr>
  </w:style>
  <w:style w:type="character" w:styleId="FootnoteReference">
    <w:name w:val="footnote reference"/>
    <w:basedOn w:val="DefaultParagraphFont"/>
    <w:uiPriority w:val="99"/>
    <w:semiHidden/>
    <w:unhideWhenUsed/>
    <w:rsid w:val="00C07BA6"/>
    <w:rPr>
      <w:vertAlign w:val="superscript"/>
    </w:rPr>
  </w:style>
  <w:style w:type="character" w:customStyle="1" w:styleId="NoSpacingChar">
    <w:name w:val="No Spacing Char"/>
    <w:basedOn w:val="DefaultParagraphFont"/>
    <w:link w:val="NoSpacing"/>
    <w:uiPriority w:val="1"/>
    <w:rsid w:val="00BA5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26198">
      <w:bodyDiv w:val="1"/>
      <w:marLeft w:val="0"/>
      <w:marRight w:val="0"/>
      <w:marTop w:val="0"/>
      <w:marBottom w:val="0"/>
      <w:divBdr>
        <w:top w:val="none" w:sz="0" w:space="0" w:color="auto"/>
        <w:left w:val="none" w:sz="0" w:space="0" w:color="auto"/>
        <w:bottom w:val="none" w:sz="0" w:space="0" w:color="auto"/>
        <w:right w:val="none" w:sz="0" w:space="0" w:color="auto"/>
      </w:divBdr>
    </w:div>
    <w:div w:id="688456744">
      <w:bodyDiv w:val="1"/>
      <w:marLeft w:val="0"/>
      <w:marRight w:val="0"/>
      <w:marTop w:val="0"/>
      <w:marBottom w:val="0"/>
      <w:divBdr>
        <w:top w:val="none" w:sz="0" w:space="0" w:color="auto"/>
        <w:left w:val="none" w:sz="0" w:space="0" w:color="auto"/>
        <w:bottom w:val="none" w:sz="0" w:space="0" w:color="auto"/>
        <w:right w:val="none" w:sz="0" w:space="0" w:color="auto"/>
      </w:divBdr>
    </w:div>
    <w:div w:id="704526319">
      <w:bodyDiv w:val="1"/>
      <w:marLeft w:val="0"/>
      <w:marRight w:val="0"/>
      <w:marTop w:val="0"/>
      <w:marBottom w:val="0"/>
      <w:divBdr>
        <w:top w:val="none" w:sz="0" w:space="0" w:color="auto"/>
        <w:left w:val="none" w:sz="0" w:space="0" w:color="auto"/>
        <w:bottom w:val="none" w:sz="0" w:space="0" w:color="auto"/>
        <w:right w:val="none" w:sz="0" w:space="0" w:color="auto"/>
      </w:divBdr>
    </w:div>
    <w:div w:id="725565534">
      <w:bodyDiv w:val="1"/>
      <w:marLeft w:val="0"/>
      <w:marRight w:val="0"/>
      <w:marTop w:val="0"/>
      <w:marBottom w:val="0"/>
      <w:divBdr>
        <w:top w:val="none" w:sz="0" w:space="0" w:color="auto"/>
        <w:left w:val="none" w:sz="0" w:space="0" w:color="auto"/>
        <w:bottom w:val="none" w:sz="0" w:space="0" w:color="auto"/>
        <w:right w:val="none" w:sz="0" w:space="0" w:color="auto"/>
      </w:divBdr>
    </w:div>
    <w:div w:id="857623801">
      <w:bodyDiv w:val="1"/>
      <w:marLeft w:val="0"/>
      <w:marRight w:val="0"/>
      <w:marTop w:val="0"/>
      <w:marBottom w:val="0"/>
      <w:divBdr>
        <w:top w:val="none" w:sz="0" w:space="0" w:color="auto"/>
        <w:left w:val="none" w:sz="0" w:space="0" w:color="auto"/>
        <w:bottom w:val="none" w:sz="0" w:space="0" w:color="auto"/>
        <w:right w:val="none" w:sz="0" w:space="0" w:color="auto"/>
      </w:divBdr>
    </w:div>
    <w:div w:id="1257254463">
      <w:bodyDiv w:val="1"/>
      <w:marLeft w:val="0"/>
      <w:marRight w:val="0"/>
      <w:marTop w:val="0"/>
      <w:marBottom w:val="0"/>
      <w:divBdr>
        <w:top w:val="none" w:sz="0" w:space="0" w:color="auto"/>
        <w:left w:val="none" w:sz="0" w:space="0" w:color="auto"/>
        <w:bottom w:val="none" w:sz="0" w:space="0" w:color="auto"/>
        <w:right w:val="none" w:sz="0" w:space="0" w:color="auto"/>
      </w:divBdr>
    </w:div>
    <w:div w:id="1375354045">
      <w:bodyDiv w:val="1"/>
      <w:marLeft w:val="0"/>
      <w:marRight w:val="0"/>
      <w:marTop w:val="0"/>
      <w:marBottom w:val="0"/>
      <w:divBdr>
        <w:top w:val="none" w:sz="0" w:space="0" w:color="auto"/>
        <w:left w:val="none" w:sz="0" w:space="0" w:color="auto"/>
        <w:bottom w:val="none" w:sz="0" w:space="0" w:color="auto"/>
        <w:right w:val="none" w:sz="0" w:space="0" w:color="auto"/>
      </w:divBdr>
    </w:div>
    <w:div w:id="1424180870">
      <w:bodyDiv w:val="1"/>
      <w:marLeft w:val="0"/>
      <w:marRight w:val="0"/>
      <w:marTop w:val="0"/>
      <w:marBottom w:val="0"/>
      <w:divBdr>
        <w:top w:val="none" w:sz="0" w:space="0" w:color="auto"/>
        <w:left w:val="none" w:sz="0" w:space="0" w:color="auto"/>
        <w:bottom w:val="none" w:sz="0" w:space="0" w:color="auto"/>
        <w:right w:val="none" w:sz="0" w:space="0" w:color="auto"/>
      </w:divBdr>
    </w:div>
    <w:div w:id="1466006259">
      <w:bodyDiv w:val="1"/>
      <w:marLeft w:val="0"/>
      <w:marRight w:val="0"/>
      <w:marTop w:val="0"/>
      <w:marBottom w:val="0"/>
      <w:divBdr>
        <w:top w:val="none" w:sz="0" w:space="0" w:color="auto"/>
        <w:left w:val="none" w:sz="0" w:space="0" w:color="auto"/>
        <w:bottom w:val="none" w:sz="0" w:space="0" w:color="auto"/>
        <w:right w:val="none" w:sz="0" w:space="0" w:color="auto"/>
      </w:divBdr>
    </w:div>
    <w:div w:id="1698693951">
      <w:bodyDiv w:val="1"/>
      <w:marLeft w:val="0"/>
      <w:marRight w:val="0"/>
      <w:marTop w:val="0"/>
      <w:marBottom w:val="0"/>
      <w:divBdr>
        <w:top w:val="none" w:sz="0" w:space="0" w:color="auto"/>
        <w:left w:val="none" w:sz="0" w:space="0" w:color="auto"/>
        <w:bottom w:val="none" w:sz="0" w:space="0" w:color="auto"/>
        <w:right w:val="none" w:sz="0" w:space="0" w:color="auto"/>
      </w:divBdr>
    </w:div>
    <w:div w:id="192047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3.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0.png"/><Relationship Id="rId90" Type="http://schemas.openxmlformats.org/officeDocument/2006/relationships/image" Target="media/image7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chart" Target="charts/chart3.xml"/><Relationship Id="rId77" Type="http://schemas.openxmlformats.org/officeDocument/2006/relationships/image" Target="media/image65.pn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2.xml"/><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microsoft.com/office/2007/relationships/hdphoto" Target="media/hdphoto2.wdp"/><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1.xm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microsoft.com/office/2007/relationships/hdphoto" Target="media/hdphoto1.wdp"/><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rappy%20Lump%20Sucker\Dropbox\CD%20DATA\CD%20POLYPROLINE%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rappy%20Lump%20Sucker\Dropbox\CD%20DATA\BSA%20CD%20data.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0977687693449543"/>
          <c:y val="4.4437736948791204E-2"/>
          <c:w val="0.81625512396301492"/>
          <c:h val="0.78938984051483563"/>
        </c:manualLayout>
      </c:layout>
      <c:scatterChart>
        <c:scatterStyle val="smoothMarker"/>
        <c:varyColors val="0"/>
        <c:ser>
          <c:idx val="0"/>
          <c:order val="0"/>
          <c:marker>
            <c:symbol val="none"/>
          </c:marker>
          <c:xVal>
            <c:numRef>
              <c:f>'2'!$CF$20:$CF$100</c:f>
              <c:numCache>
                <c:formatCode>General</c:formatCode>
                <c:ptCount val="81"/>
                <c:pt idx="0">
                  <c:v>260</c:v>
                </c:pt>
                <c:pt idx="1">
                  <c:v>259</c:v>
                </c:pt>
                <c:pt idx="2">
                  <c:v>258</c:v>
                </c:pt>
                <c:pt idx="3">
                  <c:v>257</c:v>
                </c:pt>
                <c:pt idx="4">
                  <c:v>256</c:v>
                </c:pt>
                <c:pt idx="5">
                  <c:v>255</c:v>
                </c:pt>
                <c:pt idx="6">
                  <c:v>254</c:v>
                </c:pt>
                <c:pt idx="7">
                  <c:v>253</c:v>
                </c:pt>
                <c:pt idx="8">
                  <c:v>252</c:v>
                </c:pt>
                <c:pt idx="9">
                  <c:v>251</c:v>
                </c:pt>
                <c:pt idx="10">
                  <c:v>250</c:v>
                </c:pt>
                <c:pt idx="11">
                  <c:v>249</c:v>
                </c:pt>
                <c:pt idx="12">
                  <c:v>248</c:v>
                </c:pt>
                <c:pt idx="13">
                  <c:v>247</c:v>
                </c:pt>
                <c:pt idx="14">
                  <c:v>246</c:v>
                </c:pt>
                <c:pt idx="15">
                  <c:v>245</c:v>
                </c:pt>
                <c:pt idx="16">
                  <c:v>244</c:v>
                </c:pt>
                <c:pt idx="17">
                  <c:v>243</c:v>
                </c:pt>
                <c:pt idx="18">
                  <c:v>242</c:v>
                </c:pt>
                <c:pt idx="19">
                  <c:v>241</c:v>
                </c:pt>
                <c:pt idx="20">
                  <c:v>240</c:v>
                </c:pt>
                <c:pt idx="21">
                  <c:v>239</c:v>
                </c:pt>
                <c:pt idx="22">
                  <c:v>238</c:v>
                </c:pt>
                <c:pt idx="23">
                  <c:v>237</c:v>
                </c:pt>
                <c:pt idx="24">
                  <c:v>236</c:v>
                </c:pt>
                <c:pt idx="25">
                  <c:v>235</c:v>
                </c:pt>
                <c:pt idx="26">
                  <c:v>234</c:v>
                </c:pt>
                <c:pt idx="27">
                  <c:v>233</c:v>
                </c:pt>
                <c:pt idx="28">
                  <c:v>232</c:v>
                </c:pt>
                <c:pt idx="29">
                  <c:v>231</c:v>
                </c:pt>
                <c:pt idx="30">
                  <c:v>230</c:v>
                </c:pt>
                <c:pt idx="31">
                  <c:v>229</c:v>
                </c:pt>
                <c:pt idx="32">
                  <c:v>228</c:v>
                </c:pt>
                <c:pt idx="33">
                  <c:v>227</c:v>
                </c:pt>
                <c:pt idx="34">
                  <c:v>226</c:v>
                </c:pt>
                <c:pt idx="35">
                  <c:v>225</c:v>
                </c:pt>
                <c:pt idx="36">
                  <c:v>224</c:v>
                </c:pt>
                <c:pt idx="37">
                  <c:v>223</c:v>
                </c:pt>
                <c:pt idx="38">
                  <c:v>222</c:v>
                </c:pt>
                <c:pt idx="39">
                  <c:v>221</c:v>
                </c:pt>
                <c:pt idx="40">
                  <c:v>220</c:v>
                </c:pt>
                <c:pt idx="41">
                  <c:v>219</c:v>
                </c:pt>
                <c:pt idx="42">
                  <c:v>218</c:v>
                </c:pt>
                <c:pt idx="43">
                  <c:v>217</c:v>
                </c:pt>
                <c:pt idx="44">
                  <c:v>216</c:v>
                </c:pt>
                <c:pt idx="45">
                  <c:v>215</c:v>
                </c:pt>
                <c:pt idx="46">
                  <c:v>214</c:v>
                </c:pt>
                <c:pt idx="47">
                  <c:v>213</c:v>
                </c:pt>
                <c:pt idx="48">
                  <c:v>212</c:v>
                </c:pt>
                <c:pt idx="49">
                  <c:v>211</c:v>
                </c:pt>
                <c:pt idx="50">
                  <c:v>210</c:v>
                </c:pt>
                <c:pt idx="51">
                  <c:v>209</c:v>
                </c:pt>
                <c:pt idx="52">
                  <c:v>208</c:v>
                </c:pt>
                <c:pt idx="53">
                  <c:v>207</c:v>
                </c:pt>
                <c:pt idx="54">
                  <c:v>206</c:v>
                </c:pt>
                <c:pt idx="55">
                  <c:v>205</c:v>
                </c:pt>
                <c:pt idx="56">
                  <c:v>204</c:v>
                </c:pt>
                <c:pt idx="57">
                  <c:v>203</c:v>
                </c:pt>
                <c:pt idx="58">
                  <c:v>202</c:v>
                </c:pt>
                <c:pt idx="59">
                  <c:v>201</c:v>
                </c:pt>
                <c:pt idx="60">
                  <c:v>200</c:v>
                </c:pt>
                <c:pt idx="61">
                  <c:v>199</c:v>
                </c:pt>
                <c:pt idx="62">
                  <c:v>198</c:v>
                </c:pt>
                <c:pt idx="63">
                  <c:v>197</c:v>
                </c:pt>
                <c:pt idx="64">
                  <c:v>196</c:v>
                </c:pt>
                <c:pt idx="65">
                  <c:v>195</c:v>
                </c:pt>
                <c:pt idx="66">
                  <c:v>194</c:v>
                </c:pt>
                <c:pt idx="67">
                  <c:v>193</c:v>
                </c:pt>
                <c:pt idx="68">
                  <c:v>192</c:v>
                </c:pt>
                <c:pt idx="69">
                  <c:v>191</c:v>
                </c:pt>
                <c:pt idx="70">
                  <c:v>190</c:v>
                </c:pt>
                <c:pt idx="71">
                  <c:v>189</c:v>
                </c:pt>
                <c:pt idx="72">
                  <c:v>188</c:v>
                </c:pt>
                <c:pt idx="73">
                  <c:v>187</c:v>
                </c:pt>
                <c:pt idx="74">
                  <c:v>186</c:v>
                </c:pt>
                <c:pt idx="75">
                  <c:v>185</c:v>
                </c:pt>
                <c:pt idx="76">
                  <c:v>184</c:v>
                </c:pt>
                <c:pt idx="77">
                  <c:v>183</c:v>
                </c:pt>
                <c:pt idx="78">
                  <c:v>182</c:v>
                </c:pt>
                <c:pt idx="79">
                  <c:v>181</c:v>
                </c:pt>
                <c:pt idx="80">
                  <c:v>180</c:v>
                </c:pt>
              </c:numCache>
            </c:numRef>
          </c:xVal>
          <c:yVal>
            <c:numRef>
              <c:f>'2'!$CQ$20:$CQ$100</c:f>
              <c:numCache>
                <c:formatCode>General</c:formatCode>
                <c:ptCount val="81"/>
                <c:pt idx="0">
                  <c:v>-8.5922000000000068E-2</c:v>
                </c:pt>
                <c:pt idx="1">
                  <c:v>-9.0730000000000241E-2</c:v>
                </c:pt>
                <c:pt idx="2">
                  <c:v>-8.0960400000000238E-2</c:v>
                </c:pt>
                <c:pt idx="3">
                  <c:v>-9.6448400000000017E-2</c:v>
                </c:pt>
                <c:pt idx="4">
                  <c:v>-8.7724000000000746E-2</c:v>
                </c:pt>
                <c:pt idx="5">
                  <c:v>-7.9974400000000403E-2</c:v>
                </c:pt>
                <c:pt idx="6">
                  <c:v>-6.1180220000000091E-2</c:v>
                </c:pt>
                <c:pt idx="7">
                  <c:v>-4.8055940000000005E-2</c:v>
                </c:pt>
                <c:pt idx="8">
                  <c:v>-7.5222620000000504E-2</c:v>
                </c:pt>
                <c:pt idx="9">
                  <c:v>-9.9215400000000328E-2</c:v>
                </c:pt>
                <c:pt idx="10">
                  <c:v>-9.8184200000000027E-2</c:v>
                </c:pt>
                <c:pt idx="11">
                  <c:v>-8.3508600000000668E-2</c:v>
                </c:pt>
                <c:pt idx="12">
                  <c:v>-8.4884480000000068E-2</c:v>
                </c:pt>
                <c:pt idx="13">
                  <c:v>-8.6486540000000015E-2</c:v>
                </c:pt>
                <c:pt idx="14">
                  <c:v>-8.6313599999999976E-2</c:v>
                </c:pt>
                <c:pt idx="15">
                  <c:v>-7.8036880000000433E-2</c:v>
                </c:pt>
                <c:pt idx="16">
                  <c:v>-7.5143959999999996E-2</c:v>
                </c:pt>
                <c:pt idx="17">
                  <c:v>-6.7537880000000133E-2</c:v>
                </c:pt>
                <c:pt idx="18">
                  <c:v>-7.0585660000000092E-2</c:v>
                </c:pt>
                <c:pt idx="19">
                  <c:v>-4.5715380000000139E-2</c:v>
                </c:pt>
                <c:pt idx="20">
                  <c:v>-1.8946060000000063E-2</c:v>
                </c:pt>
                <c:pt idx="21">
                  <c:v>1.2035315999999996E-2</c:v>
                </c:pt>
                <c:pt idx="22">
                  <c:v>2.8900220000000001E-2</c:v>
                </c:pt>
                <c:pt idx="23">
                  <c:v>7.1058400000000105E-2</c:v>
                </c:pt>
                <c:pt idx="24">
                  <c:v>0.11114940000000001</c:v>
                </c:pt>
                <c:pt idx="25">
                  <c:v>0.15230179999999999</c:v>
                </c:pt>
                <c:pt idx="26">
                  <c:v>0.20936740000000226</c:v>
                </c:pt>
                <c:pt idx="27">
                  <c:v>0.25339820000000002</c:v>
                </c:pt>
                <c:pt idx="28">
                  <c:v>0.30265380000000008</c:v>
                </c:pt>
                <c:pt idx="29">
                  <c:v>0.33151540000000451</c:v>
                </c:pt>
                <c:pt idx="30">
                  <c:v>0.35781960000000451</c:v>
                </c:pt>
                <c:pt idx="31">
                  <c:v>0.36358440000000564</c:v>
                </c:pt>
                <c:pt idx="32">
                  <c:v>0.35584620000000378</c:v>
                </c:pt>
                <c:pt idx="33">
                  <c:v>0.28198240000000485</c:v>
                </c:pt>
                <c:pt idx="34">
                  <c:v>0.16215620000000011</c:v>
                </c:pt>
                <c:pt idx="35">
                  <c:v>1.963839999999999E-2</c:v>
                </c:pt>
                <c:pt idx="36">
                  <c:v>-0.18055420000000041</c:v>
                </c:pt>
                <c:pt idx="37">
                  <c:v>-0.4713896000000049</c:v>
                </c:pt>
                <c:pt idx="38">
                  <c:v>-0.83674580000001331</c:v>
                </c:pt>
                <c:pt idx="39">
                  <c:v>-1.2784803999999999</c:v>
                </c:pt>
                <c:pt idx="40">
                  <c:v>-1.7565826000000011</c:v>
                </c:pt>
                <c:pt idx="41">
                  <c:v>-2.3069932000000004</c:v>
                </c:pt>
                <c:pt idx="42">
                  <c:v>-2.9000193999999997</c:v>
                </c:pt>
                <c:pt idx="43">
                  <c:v>-3.5528142000000003</c:v>
                </c:pt>
                <c:pt idx="44">
                  <c:v>-4.2104939999999997</c:v>
                </c:pt>
                <c:pt idx="45">
                  <c:v>-4.9041765999999845</c:v>
                </c:pt>
                <c:pt idx="46">
                  <c:v>-5.6141081999999765</c:v>
                </c:pt>
                <c:pt idx="47">
                  <c:v>-6.3224037999999965</c:v>
                </c:pt>
                <c:pt idx="48">
                  <c:v>-6.9848020000000011</c:v>
                </c:pt>
                <c:pt idx="49">
                  <c:v>-7.5600667999999995</c:v>
                </c:pt>
                <c:pt idx="50">
                  <c:v>-8.0984111999999993</c:v>
                </c:pt>
                <c:pt idx="51">
                  <c:v>-8.5500266000000007</c:v>
                </c:pt>
                <c:pt idx="52">
                  <c:v>-8.9223713999999994</c:v>
                </c:pt>
                <c:pt idx="53">
                  <c:v>-9.124721399999995</c:v>
                </c:pt>
                <c:pt idx="54">
                  <c:v>-9.1682106000000019</c:v>
                </c:pt>
                <c:pt idx="55">
                  <c:v>-9.1309994000000003</c:v>
                </c:pt>
                <c:pt idx="56">
                  <c:v>-9.0052966000000048</c:v>
                </c:pt>
                <c:pt idx="57">
                  <c:v>-8.7409067999999994</c:v>
                </c:pt>
                <c:pt idx="58">
                  <c:v>-8.3895254000000001</c:v>
                </c:pt>
                <c:pt idx="59">
                  <c:v>-7.9319504000000034</c:v>
                </c:pt>
                <c:pt idx="60">
                  <c:v>-7.4361976000000034</c:v>
                </c:pt>
                <c:pt idx="61">
                  <c:v>-6.8979023999999765</c:v>
                </c:pt>
                <c:pt idx="62">
                  <c:v>-6.3618972000000005</c:v>
                </c:pt>
                <c:pt idx="63">
                  <c:v>-5.7338378000000008</c:v>
                </c:pt>
                <c:pt idx="64">
                  <c:v>-5.1346524000000011</c:v>
                </c:pt>
                <c:pt idx="65">
                  <c:v>-4.5729259999999945</c:v>
                </c:pt>
                <c:pt idx="66">
                  <c:v>-4.0619299999999985</c:v>
                </c:pt>
                <c:pt idx="67">
                  <c:v>-3.6519600000000008</c:v>
                </c:pt>
                <c:pt idx="68">
                  <c:v>-3.2109780000000008</c:v>
                </c:pt>
                <c:pt idx="69">
                  <c:v>-2.92008</c:v>
                </c:pt>
                <c:pt idx="70">
                  <c:v>-2.5999559999999655</c:v>
                </c:pt>
                <c:pt idx="71">
                  <c:v>-2.3171728000000007</c:v>
                </c:pt>
                <c:pt idx="72">
                  <c:v>-2.0552419999999967</c:v>
                </c:pt>
                <c:pt idx="73">
                  <c:v>-1.317218</c:v>
                </c:pt>
                <c:pt idx="74">
                  <c:v>2.7227600000000202E-2</c:v>
                </c:pt>
                <c:pt idx="75">
                  <c:v>-0.31200000000000383</c:v>
                </c:pt>
                <c:pt idx="76">
                  <c:v>0.47130400000000372</c:v>
                </c:pt>
                <c:pt idx="77">
                  <c:v>1.0628815999999999</c:v>
                </c:pt>
                <c:pt idx="78">
                  <c:v>-0.46084800000000031</c:v>
                </c:pt>
                <c:pt idx="79">
                  <c:v>-0.66229580000001376</c:v>
                </c:pt>
                <c:pt idx="80">
                  <c:v>-0.35617380000000032</c:v>
                </c:pt>
              </c:numCache>
            </c:numRef>
          </c:yVal>
          <c:smooth val="1"/>
          <c:extLst>
            <c:ext xmlns:c16="http://schemas.microsoft.com/office/drawing/2014/chart" uri="{C3380CC4-5D6E-409C-BE32-E72D297353CC}">
              <c16:uniqueId val="{00000000-BBE6-4209-9896-89602705F6C6}"/>
            </c:ext>
          </c:extLst>
        </c:ser>
        <c:ser>
          <c:idx val="1"/>
          <c:order val="1"/>
          <c:spPr>
            <a:ln w="25400" cap="flat" cmpd="sng" algn="ctr">
              <a:solidFill>
                <a:schemeClr val="accent3"/>
              </a:solidFill>
              <a:prstDash val="solid"/>
            </a:ln>
            <a:effectLst/>
          </c:spPr>
          <c:marker>
            <c:symbol val="none"/>
          </c:marker>
          <c:xVal>
            <c:numRef>
              <c:f>'2'!$CX$20:$CX$100</c:f>
              <c:numCache>
                <c:formatCode>General</c:formatCode>
                <c:ptCount val="81"/>
                <c:pt idx="0">
                  <c:v>260</c:v>
                </c:pt>
                <c:pt idx="1">
                  <c:v>259</c:v>
                </c:pt>
                <c:pt idx="2">
                  <c:v>258</c:v>
                </c:pt>
                <c:pt idx="3">
                  <c:v>257</c:v>
                </c:pt>
                <c:pt idx="4">
                  <c:v>256</c:v>
                </c:pt>
                <c:pt idx="5">
                  <c:v>255</c:v>
                </c:pt>
                <c:pt idx="6">
                  <c:v>254</c:v>
                </c:pt>
                <c:pt idx="7">
                  <c:v>253</c:v>
                </c:pt>
                <c:pt idx="8">
                  <c:v>252</c:v>
                </c:pt>
                <c:pt idx="9">
                  <c:v>251</c:v>
                </c:pt>
                <c:pt idx="10">
                  <c:v>250</c:v>
                </c:pt>
                <c:pt idx="11">
                  <c:v>249</c:v>
                </c:pt>
                <c:pt idx="12">
                  <c:v>248</c:v>
                </c:pt>
                <c:pt idx="13">
                  <c:v>247</c:v>
                </c:pt>
                <c:pt idx="14">
                  <c:v>246</c:v>
                </c:pt>
                <c:pt idx="15">
                  <c:v>245</c:v>
                </c:pt>
                <c:pt idx="16">
                  <c:v>244</c:v>
                </c:pt>
                <c:pt idx="17">
                  <c:v>243</c:v>
                </c:pt>
                <c:pt idx="18">
                  <c:v>242</c:v>
                </c:pt>
                <c:pt idx="19">
                  <c:v>241</c:v>
                </c:pt>
                <c:pt idx="20">
                  <c:v>240</c:v>
                </c:pt>
                <c:pt idx="21">
                  <c:v>239</c:v>
                </c:pt>
                <c:pt idx="22">
                  <c:v>238</c:v>
                </c:pt>
                <c:pt idx="23">
                  <c:v>237</c:v>
                </c:pt>
                <c:pt idx="24">
                  <c:v>236</c:v>
                </c:pt>
                <c:pt idx="25">
                  <c:v>235</c:v>
                </c:pt>
                <c:pt idx="26">
                  <c:v>234</c:v>
                </c:pt>
                <c:pt idx="27">
                  <c:v>233</c:v>
                </c:pt>
                <c:pt idx="28">
                  <c:v>232</c:v>
                </c:pt>
                <c:pt idx="29">
                  <c:v>231</c:v>
                </c:pt>
                <c:pt idx="30">
                  <c:v>230</c:v>
                </c:pt>
                <c:pt idx="31">
                  <c:v>229</c:v>
                </c:pt>
                <c:pt idx="32">
                  <c:v>228</c:v>
                </c:pt>
                <c:pt idx="33">
                  <c:v>227</c:v>
                </c:pt>
                <c:pt idx="34">
                  <c:v>226</c:v>
                </c:pt>
                <c:pt idx="35">
                  <c:v>225</c:v>
                </c:pt>
                <c:pt idx="36">
                  <c:v>224</c:v>
                </c:pt>
                <c:pt idx="37">
                  <c:v>223</c:v>
                </c:pt>
                <c:pt idx="38">
                  <c:v>222</c:v>
                </c:pt>
                <c:pt idx="39">
                  <c:v>221</c:v>
                </c:pt>
                <c:pt idx="40">
                  <c:v>220</c:v>
                </c:pt>
                <c:pt idx="41">
                  <c:v>219</c:v>
                </c:pt>
                <c:pt idx="42">
                  <c:v>218</c:v>
                </c:pt>
                <c:pt idx="43">
                  <c:v>217</c:v>
                </c:pt>
                <c:pt idx="44">
                  <c:v>216</c:v>
                </c:pt>
                <c:pt idx="45">
                  <c:v>215</c:v>
                </c:pt>
                <c:pt idx="46">
                  <c:v>214</c:v>
                </c:pt>
                <c:pt idx="47">
                  <c:v>213</c:v>
                </c:pt>
                <c:pt idx="48">
                  <c:v>212</c:v>
                </c:pt>
                <c:pt idx="49">
                  <c:v>211</c:v>
                </c:pt>
                <c:pt idx="50">
                  <c:v>210</c:v>
                </c:pt>
                <c:pt idx="51">
                  <c:v>209</c:v>
                </c:pt>
                <c:pt idx="52">
                  <c:v>208</c:v>
                </c:pt>
                <c:pt idx="53">
                  <c:v>207</c:v>
                </c:pt>
                <c:pt idx="54">
                  <c:v>206</c:v>
                </c:pt>
                <c:pt idx="55">
                  <c:v>205</c:v>
                </c:pt>
                <c:pt idx="56">
                  <c:v>204</c:v>
                </c:pt>
                <c:pt idx="57">
                  <c:v>203</c:v>
                </c:pt>
                <c:pt idx="58">
                  <c:v>202</c:v>
                </c:pt>
                <c:pt idx="59">
                  <c:v>201</c:v>
                </c:pt>
                <c:pt idx="60">
                  <c:v>200</c:v>
                </c:pt>
                <c:pt idx="61">
                  <c:v>199</c:v>
                </c:pt>
                <c:pt idx="62">
                  <c:v>198</c:v>
                </c:pt>
                <c:pt idx="63">
                  <c:v>197</c:v>
                </c:pt>
                <c:pt idx="64">
                  <c:v>196</c:v>
                </c:pt>
                <c:pt idx="65">
                  <c:v>195</c:v>
                </c:pt>
                <c:pt idx="66">
                  <c:v>194</c:v>
                </c:pt>
                <c:pt idx="67">
                  <c:v>193</c:v>
                </c:pt>
                <c:pt idx="68">
                  <c:v>192</c:v>
                </c:pt>
                <c:pt idx="69">
                  <c:v>191</c:v>
                </c:pt>
                <c:pt idx="70">
                  <c:v>190</c:v>
                </c:pt>
                <c:pt idx="71">
                  <c:v>189</c:v>
                </c:pt>
                <c:pt idx="72">
                  <c:v>188</c:v>
                </c:pt>
                <c:pt idx="73">
                  <c:v>187</c:v>
                </c:pt>
                <c:pt idx="74">
                  <c:v>186</c:v>
                </c:pt>
                <c:pt idx="75">
                  <c:v>185</c:v>
                </c:pt>
                <c:pt idx="76">
                  <c:v>184</c:v>
                </c:pt>
                <c:pt idx="77">
                  <c:v>183</c:v>
                </c:pt>
                <c:pt idx="78">
                  <c:v>182</c:v>
                </c:pt>
                <c:pt idx="79">
                  <c:v>181</c:v>
                </c:pt>
                <c:pt idx="80">
                  <c:v>180</c:v>
                </c:pt>
              </c:numCache>
            </c:numRef>
          </c:xVal>
          <c:yVal>
            <c:numRef>
              <c:f>'2'!$DJ$20:$DJ$100</c:f>
              <c:numCache>
                <c:formatCode>General</c:formatCode>
                <c:ptCount val="81"/>
                <c:pt idx="0">
                  <c:v>-9.9691240000000708E-2</c:v>
                </c:pt>
                <c:pt idx="1">
                  <c:v>-0.11045674000000022</c:v>
                </c:pt>
                <c:pt idx="2">
                  <c:v>-9.2264600000000044E-2</c:v>
                </c:pt>
                <c:pt idx="3">
                  <c:v>-8.6425320000000708E-2</c:v>
                </c:pt>
                <c:pt idx="4">
                  <c:v>-0.10306156600000002</c:v>
                </c:pt>
                <c:pt idx="5">
                  <c:v>-0.1057555200000012</c:v>
                </c:pt>
                <c:pt idx="6">
                  <c:v>-9.6035450000000258E-2</c:v>
                </c:pt>
                <c:pt idx="7">
                  <c:v>-0.11112224000000161</c:v>
                </c:pt>
                <c:pt idx="8">
                  <c:v>-0.13200770000000003</c:v>
                </c:pt>
                <c:pt idx="9">
                  <c:v>-0.1350015</c:v>
                </c:pt>
                <c:pt idx="10">
                  <c:v>-0.10890318800000012</c:v>
                </c:pt>
                <c:pt idx="11">
                  <c:v>-8.7727380000000257E-2</c:v>
                </c:pt>
                <c:pt idx="12">
                  <c:v>-7.4565000000000173E-2</c:v>
                </c:pt>
                <c:pt idx="13">
                  <c:v>-0.10430410000000002</c:v>
                </c:pt>
                <c:pt idx="14">
                  <c:v>-0.12521089999999999</c:v>
                </c:pt>
                <c:pt idx="15">
                  <c:v>-0.12954980000000021</c:v>
                </c:pt>
                <c:pt idx="16">
                  <c:v>-0.11977588000000072</c:v>
                </c:pt>
                <c:pt idx="17">
                  <c:v>-0.11026914000000029</c:v>
                </c:pt>
                <c:pt idx="18">
                  <c:v>-7.5234780000000112E-2</c:v>
                </c:pt>
                <c:pt idx="19">
                  <c:v>-3.8268200000000016E-2</c:v>
                </c:pt>
                <c:pt idx="20">
                  <c:v>-1.9995800000000254E-2</c:v>
                </c:pt>
                <c:pt idx="21">
                  <c:v>-1.1523200000000041E-2</c:v>
                </c:pt>
                <c:pt idx="22">
                  <c:v>3.1210000000000252E-3</c:v>
                </c:pt>
                <c:pt idx="23">
                  <c:v>4.9148060000000007E-2</c:v>
                </c:pt>
                <c:pt idx="24">
                  <c:v>0.11769960000000072</c:v>
                </c:pt>
                <c:pt idx="25">
                  <c:v>0.15943480000000262</c:v>
                </c:pt>
                <c:pt idx="26">
                  <c:v>0.20193780000000044</c:v>
                </c:pt>
                <c:pt idx="27">
                  <c:v>0.24541300000000307</c:v>
                </c:pt>
                <c:pt idx="28">
                  <c:v>0.28960860000000038</c:v>
                </c:pt>
                <c:pt idx="29">
                  <c:v>0.35965780000000008</c:v>
                </c:pt>
                <c:pt idx="30">
                  <c:v>0.41126380000000007</c:v>
                </c:pt>
                <c:pt idx="31">
                  <c:v>0.43360200000000032</c:v>
                </c:pt>
                <c:pt idx="32">
                  <c:v>0.38614540000000008</c:v>
                </c:pt>
                <c:pt idx="33">
                  <c:v>0.34596020000000188</c:v>
                </c:pt>
                <c:pt idx="34">
                  <c:v>0.25425359999999997</c:v>
                </c:pt>
                <c:pt idx="35">
                  <c:v>0.11045300000000001</c:v>
                </c:pt>
                <c:pt idx="36">
                  <c:v>-0.11751840000000001</c:v>
                </c:pt>
                <c:pt idx="37">
                  <c:v>-0.41286700000000032</c:v>
                </c:pt>
                <c:pt idx="38">
                  <c:v>-0.78720200000000018</c:v>
                </c:pt>
                <c:pt idx="39">
                  <c:v>-1.207749599999981</c:v>
                </c:pt>
                <c:pt idx="40">
                  <c:v>-1.7337579999999999</c:v>
                </c:pt>
                <c:pt idx="41">
                  <c:v>-2.3219079999999988</c:v>
                </c:pt>
                <c:pt idx="42">
                  <c:v>-2.9852314000000009</c:v>
                </c:pt>
                <c:pt idx="43">
                  <c:v>-3.6742403999999977</c:v>
                </c:pt>
                <c:pt idx="44">
                  <c:v>-4.3950960000000006</c:v>
                </c:pt>
                <c:pt idx="45">
                  <c:v>-5.1268519999999755</c:v>
                </c:pt>
                <c:pt idx="46">
                  <c:v>-5.8551319999999745</c:v>
                </c:pt>
                <c:pt idx="47">
                  <c:v>-6.5978039999999956</c:v>
                </c:pt>
                <c:pt idx="48">
                  <c:v>-7.2875220000000009</c:v>
                </c:pt>
                <c:pt idx="49">
                  <c:v>-7.9137619999999993</c:v>
                </c:pt>
                <c:pt idx="50">
                  <c:v>-8.4921200000000017</c:v>
                </c:pt>
                <c:pt idx="51">
                  <c:v>-9.013948000000001</c:v>
                </c:pt>
                <c:pt idx="52">
                  <c:v>-9.4202203999999998</c:v>
                </c:pt>
                <c:pt idx="53">
                  <c:v>-9.6699044000000001</c:v>
                </c:pt>
                <c:pt idx="54">
                  <c:v>-9.7606002000000007</c:v>
                </c:pt>
                <c:pt idx="55">
                  <c:v>-9.7172611999999479</c:v>
                </c:pt>
                <c:pt idx="56">
                  <c:v>-9.591239400000001</c:v>
                </c:pt>
                <c:pt idx="57">
                  <c:v>-9.3631428000000767</c:v>
                </c:pt>
                <c:pt idx="58">
                  <c:v>-8.9487366000000002</c:v>
                </c:pt>
                <c:pt idx="59">
                  <c:v>-8.4784022000000068</c:v>
                </c:pt>
                <c:pt idx="60">
                  <c:v>-7.8966178000000005</c:v>
                </c:pt>
                <c:pt idx="61">
                  <c:v>-7.3703615800000124</c:v>
                </c:pt>
                <c:pt idx="62">
                  <c:v>-6.7692174000000014</c:v>
                </c:pt>
                <c:pt idx="63">
                  <c:v>-6.1478724000000016</c:v>
                </c:pt>
                <c:pt idx="64">
                  <c:v>-5.4923061999999998</c:v>
                </c:pt>
                <c:pt idx="65">
                  <c:v>-4.8480088000000006</c:v>
                </c:pt>
                <c:pt idx="66">
                  <c:v>-4.2725382000000005</c:v>
                </c:pt>
                <c:pt idx="67">
                  <c:v>-3.7554465999999977</c:v>
                </c:pt>
                <c:pt idx="68">
                  <c:v>-3.3280679999999987</c:v>
                </c:pt>
                <c:pt idx="69">
                  <c:v>-2.907438</c:v>
                </c:pt>
                <c:pt idx="70">
                  <c:v>-2.5808019999999994</c:v>
                </c:pt>
                <c:pt idx="71">
                  <c:v>-2.3176779999999977</c:v>
                </c:pt>
                <c:pt idx="72">
                  <c:v>-2.2373300000000396</c:v>
                </c:pt>
                <c:pt idx="73">
                  <c:v>-2.0305579999999988</c:v>
                </c:pt>
                <c:pt idx="74">
                  <c:v>-1.4296085999999832</c:v>
                </c:pt>
                <c:pt idx="75">
                  <c:v>-0.97077399999999969</c:v>
                </c:pt>
                <c:pt idx="76">
                  <c:v>-0.57636760000000009</c:v>
                </c:pt>
                <c:pt idx="77">
                  <c:v>0.69142980000000265</c:v>
                </c:pt>
                <c:pt idx="78">
                  <c:v>2.3567959999999588</c:v>
                </c:pt>
                <c:pt idx="79">
                  <c:v>3.0885280000000002</c:v>
                </c:pt>
                <c:pt idx="80">
                  <c:v>3.0749619999999998</c:v>
                </c:pt>
              </c:numCache>
            </c:numRef>
          </c:yVal>
          <c:smooth val="1"/>
          <c:extLst>
            <c:ext xmlns:c16="http://schemas.microsoft.com/office/drawing/2014/chart" uri="{C3380CC4-5D6E-409C-BE32-E72D297353CC}">
              <c16:uniqueId val="{00000001-BBE6-4209-9896-89602705F6C6}"/>
            </c:ext>
          </c:extLst>
        </c:ser>
        <c:ser>
          <c:idx val="2"/>
          <c:order val="2"/>
          <c:spPr>
            <a:ln w="25400" cap="flat" cmpd="sng" algn="ctr">
              <a:solidFill>
                <a:schemeClr val="accent1"/>
              </a:solidFill>
              <a:prstDash val="solid"/>
            </a:ln>
            <a:effectLst/>
          </c:spPr>
          <c:marker>
            <c:symbol val="none"/>
          </c:marker>
          <c:xVal>
            <c:numRef>
              <c:f>'2'!$DR$20:$DR$100</c:f>
              <c:numCache>
                <c:formatCode>General</c:formatCode>
                <c:ptCount val="81"/>
                <c:pt idx="0">
                  <c:v>260</c:v>
                </c:pt>
                <c:pt idx="1">
                  <c:v>259</c:v>
                </c:pt>
                <c:pt idx="2">
                  <c:v>258</c:v>
                </c:pt>
                <c:pt idx="3">
                  <c:v>257</c:v>
                </c:pt>
                <c:pt idx="4">
                  <c:v>256</c:v>
                </c:pt>
                <c:pt idx="5">
                  <c:v>255</c:v>
                </c:pt>
                <c:pt idx="6">
                  <c:v>254</c:v>
                </c:pt>
                <c:pt idx="7">
                  <c:v>253</c:v>
                </c:pt>
                <c:pt idx="8">
                  <c:v>252</c:v>
                </c:pt>
                <c:pt idx="9">
                  <c:v>251</c:v>
                </c:pt>
                <c:pt idx="10">
                  <c:v>250</c:v>
                </c:pt>
                <c:pt idx="11">
                  <c:v>249</c:v>
                </c:pt>
                <c:pt idx="12">
                  <c:v>248</c:v>
                </c:pt>
                <c:pt idx="13">
                  <c:v>247</c:v>
                </c:pt>
                <c:pt idx="14">
                  <c:v>246</c:v>
                </c:pt>
                <c:pt idx="15">
                  <c:v>245</c:v>
                </c:pt>
                <c:pt idx="16">
                  <c:v>244</c:v>
                </c:pt>
                <c:pt idx="17">
                  <c:v>243</c:v>
                </c:pt>
                <c:pt idx="18">
                  <c:v>242</c:v>
                </c:pt>
                <c:pt idx="19">
                  <c:v>241</c:v>
                </c:pt>
                <c:pt idx="20">
                  <c:v>240</c:v>
                </c:pt>
                <c:pt idx="21">
                  <c:v>239</c:v>
                </c:pt>
                <c:pt idx="22">
                  <c:v>238</c:v>
                </c:pt>
                <c:pt idx="23">
                  <c:v>237</c:v>
                </c:pt>
                <c:pt idx="24">
                  <c:v>236</c:v>
                </c:pt>
                <c:pt idx="25">
                  <c:v>235</c:v>
                </c:pt>
                <c:pt idx="26">
                  <c:v>234</c:v>
                </c:pt>
                <c:pt idx="27">
                  <c:v>233</c:v>
                </c:pt>
                <c:pt idx="28">
                  <c:v>232</c:v>
                </c:pt>
                <c:pt idx="29">
                  <c:v>231</c:v>
                </c:pt>
                <c:pt idx="30">
                  <c:v>230</c:v>
                </c:pt>
                <c:pt idx="31">
                  <c:v>229</c:v>
                </c:pt>
                <c:pt idx="32">
                  <c:v>228</c:v>
                </c:pt>
                <c:pt idx="33">
                  <c:v>227</c:v>
                </c:pt>
                <c:pt idx="34">
                  <c:v>226</c:v>
                </c:pt>
                <c:pt idx="35">
                  <c:v>225</c:v>
                </c:pt>
                <c:pt idx="36">
                  <c:v>224</c:v>
                </c:pt>
                <c:pt idx="37">
                  <c:v>223</c:v>
                </c:pt>
                <c:pt idx="38">
                  <c:v>222</c:v>
                </c:pt>
                <c:pt idx="39">
                  <c:v>221</c:v>
                </c:pt>
                <c:pt idx="40">
                  <c:v>220</c:v>
                </c:pt>
                <c:pt idx="41">
                  <c:v>219</c:v>
                </c:pt>
                <c:pt idx="42">
                  <c:v>218</c:v>
                </c:pt>
                <c:pt idx="43">
                  <c:v>217</c:v>
                </c:pt>
                <c:pt idx="44">
                  <c:v>216</c:v>
                </c:pt>
                <c:pt idx="45">
                  <c:v>215</c:v>
                </c:pt>
                <c:pt idx="46">
                  <c:v>214</c:v>
                </c:pt>
                <c:pt idx="47">
                  <c:v>213</c:v>
                </c:pt>
                <c:pt idx="48">
                  <c:v>212</c:v>
                </c:pt>
                <c:pt idx="49">
                  <c:v>211</c:v>
                </c:pt>
                <c:pt idx="50">
                  <c:v>210</c:v>
                </c:pt>
                <c:pt idx="51">
                  <c:v>209</c:v>
                </c:pt>
                <c:pt idx="52">
                  <c:v>208</c:v>
                </c:pt>
                <c:pt idx="53">
                  <c:v>207</c:v>
                </c:pt>
                <c:pt idx="54">
                  <c:v>206</c:v>
                </c:pt>
                <c:pt idx="55">
                  <c:v>205</c:v>
                </c:pt>
                <c:pt idx="56">
                  <c:v>204</c:v>
                </c:pt>
                <c:pt idx="57">
                  <c:v>203</c:v>
                </c:pt>
                <c:pt idx="58">
                  <c:v>202</c:v>
                </c:pt>
                <c:pt idx="59">
                  <c:v>201</c:v>
                </c:pt>
                <c:pt idx="60">
                  <c:v>200</c:v>
                </c:pt>
                <c:pt idx="61">
                  <c:v>199</c:v>
                </c:pt>
                <c:pt idx="62">
                  <c:v>198</c:v>
                </c:pt>
                <c:pt idx="63">
                  <c:v>197</c:v>
                </c:pt>
                <c:pt idx="64">
                  <c:v>196</c:v>
                </c:pt>
                <c:pt idx="65">
                  <c:v>195</c:v>
                </c:pt>
                <c:pt idx="66">
                  <c:v>194</c:v>
                </c:pt>
                <c:pt idx="67">
                  <c:v>193</c:v>
                </c:pt>
                <c:pt idx="68">
                  <c:v>192</c:v>
                </c:pt>
                <c:pt idx="69">
                  <c:v>191</c:v>
                </c:pt>
                <c:pt idx="70">
                  <c:v>190</c:v>
                </c:pt>
                <c:pt idx="71">
                  <c:v>189</c:v>
                </c:pt>
                <c:pt idx="72">
                  <c:v>188</c:v>
                </c:pt>
                <c:pt idx="73">
                  <c:v>187</c:v>
                </c:pt>
                <c:pt idx="74">
                  <c:v>186</c:v>
                </c:pt>
                <c:pt idx="75">
                  <c:v>185</c:v>
                </c:pt>
                <c:pt idx="76">
                  <c:v>184</c:v>
                </c:pt>
                <c:pt idx="77">
                  <c:v>183</c:v>
                </c:pt>
                <c:pt idx="78">
                  <c:v>182</c:v>
                </c:pt>
                <c:pt idx="79">
                  <c:v>181</c:v>
                </c:pt>
                <c:pt idx="80">
                  <c:v>180</c:v>
                </c:pt>
              </c:numCache>
            </c:numRef>
          </c:xVal>
          <c:yVal>
            <c:numRef>
              <c:f>'2'!$ED$20:$ED$100</c:f>
              <c:numCache>
                <c:formatCode>General</c:formatCode>
                <c:ptCount val="81"/>
                <c:pt idx="0">
                  <c:v>-7.8766000000001397E-3</c:v>
                </c:pt>
                <c:pt idx="1">
                  <c:v>-9.6968000000000228E-3</c:v>
                </c:pt>
                <c:pt idx="2">
                  <c:v>-2.5073200000000528E-2</c:v>
                </c:pt>
                <c:pt idx="3">
                  <c:v>-4.4238000000000124E-3</c:v>
                </c:pt>
                <c:pt idx="4">
                  <c:v>-4.0042000000000124E-3</c:v>
                </c:pt>
                <c:pt idx="5">
                  <c:v>1.5011000000000021E-2</c:v>
                </c:pt>
                <c:pt idx="6">
                  <c:v>9.3524000000002935E-3</c:v>
                </c:pt>
                <c:pt idx="7">
                  <c:v>4.1800000000000084E-3</c:v>
                </c:pt>
                <c:pt idx="8">
                  <c:v>4.7376000000000831E-3</c:v>
                </c:pt>
                <c:pt idx="9">
                  <c:v>-2.1450000000000019E-3</c:v>
                </c:pt>
                <c:pt idx="10">
                  <c:v>1.3741000000000142E-2</c:v>
                </c:pt>
                <c:pt idx="11">
                  <c:v>2.3480399999999998E-2</c:v>
                </c:pt>
                <c:pt idx="12">
                  <c:v>2.9618200000000015E-2</c:v>
                </c:pt>
                <c:pt idx="13">
                  <c:v>7.7360000000001241E-4</c:v>
                </c:pt>
                <c:pt idx="14">
                  <c:v>-4.3400000000000513E-4</c:v>
                </c:pt>
                <c:pt idx="15">
                  <c:v>-4.1600000000008512E-5</c:v>
                </c:pt>
                <c:pt idx="16">
                  <c:v>-1.6969000000000161E-2</c:v>
                </c:pt>
                <c:pt idx="17">
                  <c:v>-9.6428000000000208E-3</c:v>
                </c:pt>
                <c:pt idx="18">
                  <c:v>7.3722000000000934E-3</c:v>
                </c:pt>
                <c:pt idx="19">
                  <c:v>3.5886800000000212E-2</c:v>
                </c:pt>
                <c:pt idx="20">
                  <c:v>5.071860000000103E-2</c:v>
                </c:pt>
                <c:pt idx="21">
                  <c:v>5.6404200000000092E-2</c:v>
                </c:pt>
                <c:pt idx="22">
                  <c:v>9.0103800000000026E-2</c:v>
                </c:pt>
                <c:pt idx="23">
                  <c:v>0.14367238000000004</c:v>
                </c:pt>
                <c:pt idx="24">
                  <c:v>0.19854900000000208</c:v>
                </c:pt>
                <c:pt idx="25">
                  <c:v>0.25408180000000002</c:v>
                </c:pt>
                <c:pt idx="26">
                  <c:v>0.29701000000000038</c:v>
                </c:pt>
                <c:pt idx="27">
                  <c:v>0.37545000000000422</c:v>
                </c:pt>
                <c:pt idx="28">
                  <c:v>0.43619400000000008</c:v>
                </c:pt>
                <c:pt idx="29">
                  <c:v>0.49942800000000603</c:v>
                </c:pt>
                <c:pt idx="30">
                  <c:v>0.53089799999999998</c:v>
                </c:pt>
                <c:pt idx="31">
                  <c:v>0.53150199999999959</c:v>
                </c:pt>
                <c:pt idx="32">
                  <c:v>0.49996600000000485</c:v>
                </c:pt>
                <c:pt idx="33">
                  <c:v>0.45044880000000032</c:v>
                </c:pt>
                <c:pt idx="34">
                  <c:v>0.40411040000000031</c:v>
                </c:pt>
                <c:pt idx="35">
                  <c:v>0.27248700000000031</c:v>
                </c:pt>
                <c:pt idx="36">
                  <c:v>5.4898000000000891E-2</c:v>
                </c:pt>
                <c:pt idx="37">
                  <c:v>-0.23891200000000268</c:v>
                </c:pt>
                <c:pt idx="38">
                  <c:v>-0.58287000000000055</c:v>
                </c:pt>
                <c:pt idx="39">
                  <c:v>-1.0275479999999999</c:v>
                </c:pt>
                <c:pt idx="40">
                  <c:v>-1.557763999999985</c:v>
                </c:pt>
                <c:pt idx="41">
                  <c:v>-2.1243460000000005</c:v>
                </c:pt>
                <c:pt idx="42">
                  <c:v>-2.7494179999999999</c:v>
                </c:pt>
                <c:pt idx="43">
                  <c:v>-3.4655</c:v>
                </c:pt>
                <c:pt idx="44">
                  <c:v>-4.1681819999999146</c:v>
                </c:pt>
                <c:pt idx="45">
                  <c:v>-4.9148539999999965</c:v>
                </c:pt>
                <c:pt idx="46">
                  <c:v>-5.6453640000000007</c:v>
                </c:pt>
                <c:pt idx="47">
                  <c:v>-6.4181859999999755</c:v>
                </c:pt>
                <c:pt idx="48">
                  <c:v>-7.1811980000000002</c:v>
                </c:pt>
                <c:pt idx="49">
                  <c:v>-7.8473980000000001</c:v>
                </c:pt>
                <c:pt idx="50">
                  <c:v>-8.427912000000001</c:v>
                </c:pt>
                <c:pt idx="51">
                  <c:v>-8.9509460000000267</c:v>
                </c:pt>
                <c:pt idx="52">
                  <c:v>-9.3797420000000766</c:v>
                </c:pt>
                <c:pt idx="53">
                  <c:v>-9.6311899999999984</c:v>
                </c:pt>
                <c:pt idx="54">
                  <c:v>-9.7894420000000046</c:v>
                </c:pt>
                <c:pt idx="55">
                  <c:v>-9.7834980000000016</c:v>
                </c:pt>
                <c:pt idx="56">
                  <c:v>-9.7044960000000007</c:v>
                </c:pt>
                <c:pt idx="57">
                  <c:v>-9.4352100000000014</c:v>
                </c:pt>
                <c:pt idx="58">
                  <c:v>-9.0391179999999984</c:v>
                </c:pt>
                <c:pt idx="59">
                  <c:v>-8.5647520000000004</c:v>
                </c:pt>
                <c:pt idx="60">
                  <c:v>-8.0614350000000048</c:v>
                </c:pt>
                <c:pt idx="61">
                  <c:v>-7.4304409999999992</c:v>
                </c:pt>
                <c:pt idx="62">
                  <c:v>-6.7747747999999985</c:v>
                </c:pt>
                <c:pt idx="63">
                  <c:v>-6.1362899999999998</c:v>
                </c:pt>
                <c:pt idx="64">
                  <c:v>-5.4769188000000009</c:v>
                </c:pt>
                <c:pt idx="65">
                  <c:v>-4.7726990000000793</c:v>
                </c:pt>
                <c:pt idx="66">
                  <c:v>-4.1341459999999755</c:v>
                </c:pt>
                <c:pt idx="67">
                  <c:v>-3.5217990000000001</c:v>
                </c:pt>
                <c:pt idx="68">
                  <c:v>-3.0734669799999987</c:v>
                </c:pt>
                <c:pt idx="69">
                  <c:v>-2.6129887380000003</c:v>
                </c:pt>
                <c:pt idx="70">
                  <c:v>-2.2445621199999994</c:v>
                </c:pt>
                <c:pt idx="71">
                  <c:v>-1.9313370199999988</c:v>
                </c:pt>
                <c:pt idx="72">
                  <c:v>-1.7221064200000011</c:v>
                </c:pt>
                <c:pt idx="73">
                  <c:v>-1.5202672600000002</c:v>
                </c:pt>
                <c:pt idx="74">
                  <c:v>-1.5516319999999835</c:v>
                </c:pt>
                <c:pt idx="75">
                  <c:v>0.30595400000000383</c:v>
                </c:pt>
                <c:pt idx="76">
                  <c:v>-0.36002480000000564</c:v>
                </c:pt>
                <c:pt idx="77">
                  <c:v>-0.32150600000000434</c:v>
                </c:pt>
                <c:pt idx="78">
                  <c:v>-2.1407380000000011</c:v>
                </c:pt>
                <c:pt idx="79">
                  <c:v>-0.71515940000000755</c:v>
                </c:pt>
                <c:pt idx="80">
                  <c:v>0.83235799999999949</c:v>
                </c:pt>
              </c:numCache>
            </c:numRef>
          </c:yVal>
          <c:smooth val="1"/>
          <c:extLst>
            <c:ext xmlns:c16="http://schemas.microsoft.com/office/drawing/2014/chart" uri="{C3380CC4-5D6E-409C-BE32-E72D297353CC}">
              <c16:uniqueId val="{00000002-BBE6-4209-9896-89602705F6C6}"/>
            </c:ext>
          </c:extLst>
        </c:ser>
        <c:dLbls>
          <c:showLegendKey val="0"/>
          <c:showVal val="0"/>
          <c:showCatName val="0"/>
          <c:showSerName val="0"/>
          <c:showPercent val="0"/>
          <c:showBubbleSize val="0"/>
        </c:dLbls>
        <c:axId val="105178624"/>
        <c:axId val="107565440"/>
      </c:scatterChart>
      <c:valAx>
        <c:axId val="105178624"/>
        <c:scaling>
          <c:orientation val="minMax"/>
          <c:max val="300"/>
          <c:min val="150"/>
        </c:scaling>
        <c:delete val="0"/>
        <c:axPos val="b"/>
        <c:title>
          <c:tx>
            <c:rich>
              <a:bodyPr/>
              <a:lstStyle/>
              <a:p>
                <a:pPr>
                  <a:defRPr/>
                </a:pPr>
                <a:r>
                  <a:rPr lang="en-GB"/>
                  <a:t>Wavelength (nm)</a:t>
                </a:r>
              </a:p>
            </c:rich>
          </c:tx>
          <c:overlay val="0"/>
        </c:title>
        <c:numFmt formatCode="General" sourceLinked="1"/>
        <c:majorTickMark val="cross"/>
        <c:minorTickMark val="none"/>
        <c:tickLblPos val="nextTo"/>
        <c:txPr>
          <a:bodyPr/>
          <a:lstStyle/>
          <a:p>
            <a:pPr>
              <a:defRPr b="1" i="0" baseline="0"/>
            </a:pPr>
            <a:endParaRPr lang="en-US"/>
          </a:p>
        </c:txPr>
        <c:crossAx val="107565440"/>
        <c:crossesAt val="-20"/>
        <c:crossBetween val="midCat"/>
        <c:majorUnit val="50"/>
        <c:minorUnit val="10"/>
      </c:valAx>
      <c:valAx>
        <c:axId val="107565440"/>
        <c:scaling>
          <c:orientation val="minMax"/>
        </c:scaling>
        <c:delete val="0"/>
        <c:axPos val="l"/>
        <c:title>
          <c:tx>
            <c:rich>
              <a:bodyPr rot="-5400000" vert="horz"/>
              <a:lstStyle/>
              <a:p>
                <a:pPr>
                  <a:defRPr/>
                </a:pPr>
                <a:r>
                  <a:rPr lang="el-GR"/>
                  <a:t>θ</a:t>
                </a:r>
                <a:r>
                  <a:rPr lang="en-GB"/>
                  <a:t> (deg.cm</a:t>
                </a:r>
                <a:r>
                  <a:rPr lang="en-GB" baseline="30000"/>
                  <a:t>2</a:t>
                </a:r>
                <a:r>
                  <a:rPr lang="en-GB"/>
                  <a:t>.dmol</a:t>
                </a:r>
                <a:r>
                  <a:rPr lang="en-GB" baseline="30000"/>
                  <a:t>-1</a:t>
                </a:r>
                <a:r>
                  <a:rPr lang="en-GB"/>
                  <a:t>) ×10</a:t>
                </a:r>
                <a:r>
                  <a:rPr lang="en-GB" baseline="30000"/>
                  <a:t>4</a:t>
                </a:r>
              </a:p>
              <a:p>
                <a:pPr>
                  <a:defRPr/>
                </a:pPr>
                <a:endParaRPr lang="en-GB"/>
              </a:p>
            </c:rich>
          </c:tx>
          <c:layout>
            <c:manualLayout>
              <c:xMode val="edge"/>
              <c:yMode val="edge"/>
              <c:x val="2.2459152104482592E-2"/>
              <c:y val="0.2748960121336283"/>
            </c:manualLayout>
          </c:layout>
          <c:overlay val="0"/>
        </c:title>
        <c:numFmt formatCode="General" sourceLinked="1"/>
        <c:majorTickMark val="cross"/>
        <c:minorTickMark val="none"/>
        <c:tickLblPos val="nextTo"/>
        <c:txPr>
          <a:bodyPr/>
          <a:lstStyle/>
          <a:p>
            <a:pPr>
              <a:defRPr b="1" i="0" baseline="0"/>
            </a:pPr>
            <a:endParaRPr lang="en-US"/>
          </a:p>
        </c:txPr>
        <c:crossAx val="105178624"/>
        <c:crosses val="autoZero"/>
        <c:crossBetween val="midCat"/>
      </c:valAx>
      <c:spPr>
        <a:ln>
          <a:solidFill>
            <a:schemeClr val="tx1">
              <a:lumMod val="50000"/>
              <a:lumOff val="50000"/>
            </a:schemeClr>
          </a:solid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24704289628528E-2"/>
          <c:y val="3.9832183985671815E-2"/>
          <c:w val="0.8666216815863248"/>
          <c:h val="0.81783468592573616"/>
        </c:manualLayout>
      </c:layout>
      <c:scatterChart>
        <c:scatterStyle val="smoothMarker"/>
        <c:varyColors val="0"/>
        <c:ser>
          <c:idx val="0"/>
          <c:order val="0"/>
          <c:spPr>
            <a:ln>
              <a:solidFill>
                <a:srgbClr val="0070C0"/>
              </a:solidFill>
            </a:ln>
          </c:spPr>
          <c:marker>
            <c:symbol val="none"/>
          </c:marker>
          <c:xVal>
            <c:numRef>
              <c:f>'corrected data'!$K$2:$K$142</c:f>
              <c:numCache>
                <c:formatCode>General</c:formatCode>
                <c:ptCount val="141"/>
                <c:pt idx="0">
                  <c:v>260</c:v>
                </c:pt>
                <c:pt idx="1">
                  <c:v>259.5</c:v>
                </c:pt>
                <c:pt idx="2">
                  <c:v>259</c:v>
                </c:pt>
                <c:pt idx="3">
                  <c:v>258.5</c:v>
                </c:pt>
                <c:pt idx="4">
                  <c:v>258</c:v>
                </c:pt>
                <c:pt idx="5">
                  <c:v>257.5</c:v>
                </c:pt>
                <c:pt idx="6">
                  <c:v>257</c:v>
                </c:pt>
                <c:pt idx="7">
                  <c:v>256.5</c:v>
                </c:pt>
                <c:pt idx="8">
                  <c:v>256</c:v>
                </c:pt>
                <c:pt idx="9">
                  <c:v>255.5</c:v>
                </c:pt>
                <c:pt idx="10">
                  <c:v>255</c:v>
                </c:pt>
                <c:pt idx="11">
                  <c:v>254.5</c:v>
                </c:pt>
                <c:pt idx="12">
                  <c:v>254</c:v>
                </c:pt>
                <c:pt idx="13">
                  <c:v>253.5</c:v>
                </c:pt>
                <c:pt idx="14">
                  <c:v>253</c:v>
                </c:pt>
                <c:pt idx="15">
                  <c:v>252.5</c:v>
                </c:pt>
                <c:pt idx="16">
                  <c:v>252</c:v>
                </c:pt>
                <c:pt idx="17">
                  <c:v>251.5</c:v>
                </c:pt>
                <c:pt idx="18">
                  <c:v>251</c:v>
                </c:pt>
                <c:pt idx="19">
                  <c:v>250.5</c:v>
                </c:pt>
                <c:pt idx="20">
                  <c:v>250</c:v>
                </c:pt>
                <c:pt idx="21">
                  <c:v>249.5</c:v>
                </c:pt>
                <c:pt idx="22">
                  <c:v>249</c:v>
                </c:pt>
                <c:pt idx="23">
                  <c:v>248.5</c:v>
                </c:pt>
                <c:pt idx="24">
                  <c:v>248</c:v>
                </c:pt>
                <c:pt idx="25">
                  <c:v>247.5</c:v>
                </c:pt>
                <c:pt idx="26">
                  <c:v>247</c:v>
                </c:pt>
                <c:pt idx="27">
                  <c:v>246.5</c:v>
                </c:pt>
                <c:pt idx="28">
                  <c:v>246</c:v>
                </c:pt>
                <c:pt idx="29">
                  <c:v>245.5</c:v>
                </c:pt>
                <c:pt idx="30">
                  <c:v>245</c:v>
                </c:pt>
                <c:pt idx="31">
                  <c:v>244.5</c:v>
                </c:pt>
                <c:pt idx="32">
                  <c:v>244</c:v>
                </c:pt>
                <c:pt idx="33">
                  <c:v>243.5</c:v>
                </c:pt>
                <c:pt idx="34">
                  <c:v>243</c:v>
                </c:pt>
                <c:pt idx="35">
                  <c:v>242.5</c:v>
                </c:pt>
                <c:pt idx="36">
                  <c:v>242</c:v>
                </c:pt>
                <c:pt idx="37">
                  <c:v>241.5</c:v>
                </c:pt>
                <c:pt idx="38">
                  <c:v>241</c:v>
                </c:pt>
                <c:pt idx="39">
                  <c:v>240.5</c:v>
                </c:pt>
                <c:pt idx="40">
                  <c:v>240</c:v>
                </c:pt>
                <c:pt idx="41">
                  <c:v>239.5</c:v>
                </c:pt>
                <c:pt idx="42">
                  <c:v>239</c:v>
                </c:pt>
                <c:pt idx="43">
                  <c:v>238.5</c:v>
                </c:pt>
                <c:pt idx="44">
                  <c:v>238</c:v>
                </c:pt>
                <c:pt idx="45">
                  <c:v>237.5</c:v>
                </c:pt>
                <c:pt idx="46">
                  <c:v>237</c:v>
                </c:pt>
                <c:pt idx="47">
                  <c:v>236.5</c:v>
                </c:pt>
                <c:pt idx="48">
                  <c:v>236</c:v>
                </c:pt>
                <c:pt idx="49">
                  <c:v>235.5</c:v>
                </c:pt>
                <c:pt idx="50">
                  <c:v>235</c:v>
                </c:pt>
                <c:pt idx="51">
                  <c:v>234.5</c:v>
                </c:pt>
                <c:pt idx="52">
                  <c:v>234</c:v>
                </c:pt>
                <c:pt idx="53">
                  <c:v>233.5</c:v>
                </c:pt>
                <c:pt idx="54">
                  <c:v>233</c:v>
                </c:pt>
                <c:pt idx="55">
                  <c:v>232.5</c:v>
                </c:pt>
                <c:pt idx="56">
                  <c:v>232</c:v>
                </c:pt>
                <c:pt idx="57">
                  <c:v>231.5</c:v>
                </c:pt>
                <c:pt idx="58">
                  <c:v>231</c:v>
                </c:pt>
                <c:pt idx="59">
                  <c:v>230.5</c:v>
                </c:pt>
                <c:pt idx="60">
                  <c:v>230</c:v>
                </c:pt>
                <c:pt idx="61">
                  <c:v>229.5</c:v>
                </c:pt>
                <c:pt idx="62">
                  <c:v>229</c:v>
                </c:pt>
                <c:pt idx="63">
                  <c:v>228.5</c:v>
                </c:pt>
                <c:pt idx="64">
                  <c:v>228</c:v>
                </c:pt>
                <c:pt idx="65">
                  <c:v>227.5</c:v>
                </c:pt>
                <c:pt idx="66">
                  <c:v>227</c:v>
                </c:pt>
                <c:pt idx="67">
                  <c:v>226.5</c:v>
                </c:pt>
                <c:pt idx="68">
                  <c:v>226</c:v>
                </c:pt>
                <c:pt idx="69">
                  <c:v>225.5</c:v>
                </c:pt>
                <c:pt idx="70">
                  <c:v>225</c:v>
                </c:pt>
                <c:pt idx="71">
                  <c:v>224.5</c:v>
                </c:pt>
                <c:pt idx="72">
                  <c:v>224</c:v>
                </c:pt>
                <c:pt idx="73">
                  <c:v>223.5</c:v>
                </c:pt>
                <c:pt idx="74">
                  <c:v>223</c:v>
                </c:pt>
                <c:pt idx="75">
                  <c:v>222.5</c:v>
                </c:pt>
                <c:pt idx="76">
                  <c:v>222</c:v>
                </c:pt>
                <c:pt idx="77">
                  <c:v>221.5</c:v>
                </c:pt>
                <c:pt idx="78">
                  <c:v>221</c:v>
                </c:pt>
                <c:pt idx="79">
                  <c:v>220.5</c:v>
                </c:pt>
                <c:pt idx="80">
                  <c:v>220</c:v>
                </c:pt>
                <c:pt idx="81">
                  <c:v>219.5</c:v>
                </c:pt>
                <c:pt idx="82">
                  <c:v>219</c:v>
                </c:pt>
                <c:pt idx="83">
                  <c:v>218.5</c:v>
                </c:pt>
                <c:pt idx="84">
                  <c:v>218</c:v>
                </c:pt>
                <c:pt idx="85">
                  <c:v>217.5</c:v>
                </c:pt>
                <c:pt idx="86">
                  <c:v>217</c:v>
                </c:pt>
                <c:pt idx="87">
                  <c:v>216.5</c:v>
                </c:pt>
                <c:pt idx="88">
                  <c:v>216</c:v>
                </c:pt>
                <c:pt idx="89">
                  <c:v>215.5</c:v>
                </c:pt>
                <c:pt idx="90">
                  <c:v>215</c:v>
                </c:pt>
                <c:pt idx="91">
                  <c:v>214.5</c:v>
                </c:pt>
                <c:pt idx="92">
                  <c:v>214</c:v>
                </c:pt>
                <c:pt idx="93">
                  <c:v>213.5</c:v>
                </c:pt>
                <c:pt idx="94">
                  <c:v>213</c:v>
                </c:pt>
                <c:pt idx="95">
                  <c:v>212.5</c:v>
                </c:pt>
                <c:pt idx="96">
                  <c:v>212</c:v>
                </c:pt>
                <c:pt idx="97">
                  <c:v>211.5</c:v>
                </c:pt>
                <c:pt idx="98">
                  <c:v>211</c:v>
                </c:pt>
                <c:pt idx="99">
                  <c:v>210.5</c:v>
                </c:pt>
                <c:pt idx="100">
                  <c:v>210</c:v>
                </c:pt>
                <c:pt idx="101">
                  <c:v>209.5</c:v>
                </c:pt>
                <c:pt idx="102">
                  <c:v>209</c:v>
                </c:pt>
                <c:pt idx="103">
                  <c:v>208.5</c:v>
                </c:pt>
                <c:pt idx="104">
                  <c:v>208</c:v>
                </c:pt>
                <c:pt idx="105">
                  <c:v>207.5</c:v>
                </c:pt>
                <c:pt idx="106">
                  <c:v>207</c:v>
                </c:pt>
                <c:pt idx="107">
                  <c:v>206.5</c:v>
                </c:pt>
                <c:pt idx="108">
                  <c:v>206</c:v>
                </c:pt>
                <c:pt idx="109">
                  <c:v>205.5</c:v>
                </c:pt>
                <c:pt idx="110">
                  <c:v>205</c:v>
                </c:pt>
                <c:pt idx="111">
                  <c:v>204.5</c:v>
                </c:pt>
                <c:pt idx="112">
                  <c:v>204</c:v>
                </c:pt>
                <c:pt idx="113">
                  <c:v>203.5</c:v>
                </c:pt>
                <c:pt idx="114">
                  <c:v>203</c:v>
                </c:pt>
                <c:pt idx="115">
                  <c:v>202.5</c:v>
                </c:pt>
                <c:pt idx="116">
                  <c:v>202</c:v>
                </c:pt>
                <c:pt idx="117">
                  <c:v>201.5</c:v>
                </c:pt>
                <c:pt idx="118">
                  <c:v>201</c:v>
                </c:pt>
                <c:pt idx="119">
                  <c:v>200.5</c:v>
                </c:pt>
                <c:pt idx="120">
                  <c:v>200</c:v>
                </c:pt>
                <c:pt idx="121">
                  <c:v>199.5</c:v>
                </c:pt>
                <c:pt idx="122">
                  <c:v>199</c:v>
                </c:pt>
                <c:pt idx="123">
                  <c:v>198.5</c:v>
                </c:pt>
                <c:pt idx="124">
                  <c:v>198</c:v>
                </c:pt>
                <c:pt idx="125">
                  <c:v>197.5</c:v>
                </c:pt>
                <c:pt idx="126">
                  <c:v>197</c:v>
                </c:pt>
                <c:pt idx="127">
                  <c:v>196.5</c:v>
                </c:pt>
                <c:pt idx="128">
                  <c:v>196</c:v>
                </c:pt>
                <c:pt idx="129">
                  <c:v>195.5</c:v>
                </c:pt>
                <c:pt idx="130">
                  <c:v>195</c:v>
                </c:pt>
                <c:pt idx="131">
                  <c:v>194.5</c:v>
                </c:pt>
                <c:pt idx="132">
                  <c:v>194</c:v>
                </c:pt>
                <c:pt idx="133">
                  <c:v>193.5</c:v>
                </c:pt>
                <c:pt idx="134">
                  <c:v>193</c:v>
                </c:pt>
                <c:pt idx="135">
                  <c:v>192.5</c:v>
                </c:pt>
                <c:pt idx="136">
                  <c:v>192</c:v>
                </c:pt>
                <c:pt idx="137">
                  <c:v>191.5</c:v>
                </c:pt>
                <c:pt idx="138">
                  <c:v>191</c:v>
                </c:pt>
                <c:pt idx="139">
                  <c:v>190.5</c:v>
                </c:pt>
                <c:pt idx="140">
                  <c:v>190</c:v>
                </c:pt>
              </c:numCache>
            </c:numRef>
          </c:xVal>
          <c:yVal>
            <c:numRef>
              <c:f>'corrected data'!$P$1:$P$142</c:f>
              <c:numCache>
                <c:formatCode>General</c:formatCode>
                <c:ptCount val="142"/>
                <c:pt idx="1">
                  <c:v>-0.1085299028016021</c:v>
                </c:pt>
                <c:pt idx="2">
                  <c:v>-0.10465134362492855</c:v>
                </c:pt>
                <c:pt idx="3">
                  <c:v>-0.11396569468267582</c:v>
                </c:pt>
                <c:pt idx="4">
                  <c:v>-0.10958010291595328</c:v>
                </c:pt>
                <c:pt idx="5">
                  <c:v>-0.10786941109205248</c:v>
                </c:pt>
                <c:pt idx="6">
                  <c:v>-0.10550600343053358</c:v>
                </c:pt>
                <c:pt idx="7">
                  <c:v>-0.10762698684962869</c:v>
                </c:pt>
                <c:pt idx="8">
                  <c:v>-0.12000480274442539</c:v>
                </c:pt>
                <c:pt idx="9">
                  <c:v>-0.13429411092052601</c:v>
                </c:pt>
                <c:pt idx="10">
                  <c:v>-0.14078444825614644</c:v>
                </c:pt>
                <c:pt idx="11">
                  <c:v>-0.13519702687250001</c:v>
                </c:pt>
                <c:pt idx="12">
                  <c:v>-0.13683133218982577</c:v>
                </c:pt>
                <c:pt idx="13">
                  <c:v>-0.13828999428244934</c:v>
                </c:pt>
                <c:pt idx="14">
                  <c:v>-0.13110966266437965</c:v>
                </c:pt>
                <c:pt idx="15">
                  <c:v>-0.13461703830760441</c:v>
                </c:pt>
                <c:pt idx="16">
                  <c:v>-0.1264775300171527</c:v>
                </c:pt>
                <c:pt idx="17">
                  <c:v>-0.12902618639222718</c:v>
                </c:pt>
                <c:pt idx="18">
                  <c:v>-0.14233481989708421</c:v>
                </c:pt>
                <c:pt idx="19">
                  <c:v>-0.14519977129788453</c:v>
                </c:pt>
                <c:pt idx="20">
                  <c:v>-0.15798604917095788</c:v>
                </c:pt>
                <c:pt idx="21">
                  <c:v>-0.16681921097770191</c:v>
                </c:pt>
                <c:pt idx="22">
                  <c:v>-0.1567716409376787</c:v>
                </c:pt>
                <c:pt idx="23">
                  <c:v>-0.15562721555174391</c:v>
                </c:pt>
                <c:pt idx="24">
                  <c:v>-0.16285854774156661</c:v>
                </c:pt>
                <c:pt idx="25">
                  <c:v>-0.18284093767867354</c:v>
                </c:pt>
                <c:pt idx="26">
                  <c:v>-0.21059988564894241</c:v>
                </c:pt>
                <c:pt idx="27">
                  <c:v>-0.24484894225271644</c:v>
                </c:pt>
                <c:pt idx="28">
                  <c:v>-0.28291343624928905</c:v>
                </c:pt>
                <c:pt idx="29">
                  <c:v>-0.33775025728988806</c:v>
                </c:pt>
                <c:pt idx="30">
                  <c:v>-0.37280480274443373</c:v>
                </c:pt>
                <c:pt idx="31">
                  <c:v>-0.42653539165237281</c:v>
                </c:pt>
                <c:pt idx="32">
                  <c:v>-0.47827489994283295</c:v>
                </c:pt>
                <c:pt idx="33">
                  <c:v>-0.55014339622641562</c:v>
                </c:pt>
                <c:pt idx="34">
                  <c:v>-0.62092990280160165</c:v>
                </c:pt>
                <c:pt idx="35">
                  <c:v>-0.71113024585477402</c:v>
                </c:pt>
                <c:pt idx="36">
                  <c:v>-0.81906575185820452</c:v>
                </c:pt>
                <c:pt idx="37">
                  <c:v>-0.94111492281303599</c:v>
                </c:pt>
                <c:pt idx="38">
                  <c:v>-1.0745468267581624</c:v>
                </c:pt>
                <c:pt idx="39">
                  <c:v>-1.2146803887935962</c:v>
                </c:pt>
                <c:pt idx="40">
                  <c:v>-1.3651114922813037</c:v>
                </c:pt>
                <c:pt idx="41">
                  <c:v>-1.5209740423098728</c:v>
                </c:pt>
                <c:pt idx="42">
                  <c:v>-1.6787126357918976</c:v>
                </c:pt>
                <c:pt idx="43">
                  <c:v>-1.8627229273870785</c:v>
                </c:pt>
                <c:pt idx="44">
                  <c:v>-2.0688345340194396</c:v>
                </c:pt>
                <c:pt idx="45">
                  <c:v>-2.2980779874213852</c:v>
                </c:pt>
                <c:pt idx="46">
                  <c:v>-2.5409358490566052</c:v>
                </c:pt>
                <c:pt idx="47">
                  <c:v>-2.7863983990851917</c:v>
                </c:pt>
                <c:pt idx="48">
                  <c:v>-3.0519041738135977</c:v>
                </c:pt>
                <c:pt idx="49">
                  <c:v>-3.3408235563178956</c:v>
                </c:pt>
                <c:pt idx="50">
                  <c:v>-3.6401882218410857</c:v>
                </c:pt>
                <c:pt idx="51">
                  <c:v>-3.953734705546069</c:v>
                </c:pt>
                <c:pt idx="52">
                  <c:v>-4.2731062321326494</c:v>
                </c:pt>
                <c:pt idx="53">
                  <c:v>-4.6039078330473782</c:v>
                </c:pt>
                <c:pt idx="54">
                  <c:v>-4.9487032590051463</c:v>
                </c:pt>
                <c:pt idx="55">
                  <c:v>-5.3128022870211549</c:v>
                </c:pt>
                <c:pt idx="56">
                  <c:v>-5.6800052601486355</c:v>
                </c:pt>
                <c:pt idx="57">
                  <c:v>-6.0388574042309893</c:v>
                </c:pt>
                <c:pt idx="58">
                  <c:v>-6.4062716981132919</c:v>
                </c:pt>
                <c:pt idx="59">
                  <c:v>-6.7736750142939561</c:v>
                </c:pt>
                <c:pt idx="60">
                  <c:v>-7.1360411663807897</c:v>
                </c:pt>
                <c:pt idx="61">
                  <c:v>-7.5090200114351084</c:v>
                </c:pt>
                <c:pt idx="62">
                  <c:v>-7.8711451114922832</c:v>
                </c:pt>
                <c:pt idx="63">
                  <c:v>-8.2357138936535179</c:v>
                </c:pt>
                <c:pt idx="64">
                  <c:v>-8.5752340766153896</c:v>
                </c:pt>
                <c:pt idx="65">
                  <c:v>-8.8907878787881245</c:v>
                </c:pt>
                <c:pt idx="66">
                  <c:v>-9.1938307604344889</c:v>
                </c:pt>
                <c:pt idx="67">
                  <c:v>-9.4852837049742718</c:v>
                </c:pt>
                <c:pt idx="68">
                  <c:v>-9.7653772441395059</c:v>
                </c:pt>
                <c:pt idx="69">
                  <c:v>-10.030311492281298</c:v>
                </c:pt>
                <c:pt idx="70">
                  <c:v>-10.280985706117781</c:v>
                </c:pt>
                <c:pt idx="71">
                  <c:v>-10.490821497998848</c:v>
                </c:pt>
                <c:pt idx="72">
                  <c:v>-10.687567753001716</c:v>
                </c:pt>
                <c:pt idx="73">
                  <c:v>-10.861220354488324</c:v>
                </c:pt>
                <c:pt idx="74">
                  <c:v>-11.018645626072042</c:v>
                </c:pt>
                <c:pt idx="75">
                  <c:v>-11.144915494568318</c:v>
                </c:pt>
                <c:pt idx="76">
                  <c:v>-11.241676157804458</c:v>
                </c:pt>
                <c:pt idx="77">
                  <c:v>-11.297224699828471</c:v>
                </c:pt>
                <c:pt idx="78">
                  <c:v>-11.334076157804459</c:v>
                </c:pt>
                <c:pt idx="79">
                  <c:v>-11.396697312750154</c:v>
                </c:pt>
                <c:pt idx="80">
                  <c:v>-11.431893882218411</c:v>
                </c:pt>
                <c:pt idx="81">
                  <c:v>-11.452704402515726</c:v>
                </c:pt>
                <c:pt idx="82">
                  <c:v>-11.463240480274441</c:v>
                </c:pt>
                <c:pt idx="83">
                  <c:v>-11.462642424242476</c:v>
                </c:pt>
                <c:pt idx="84">
                  <c:v>-11.448444368210405</c:v>
                </c:pt>
                <c:pt idx="85">
                  <c:v>-11.414036592338524</c:v>
                </c:pt>
                <c:pt idx="86">
                  <c:v>-11.395122927387106</c:v>
                </c:pt>
                <c:pt idx="87">
                  <c:v>-11.385985820469028</c:v>
                </c:pt>
                <c:pt idx="88">
                  <c:v>-11.358246769582626</c:v>
                </c:pt>
                <c:pt idx="89">
                  <c:v>-11.363688050314472</c:v>
                </c:pt>
                <c:pt idx="90">
                  <c:v>-11.36705180102917</c:v>
                </c:pt>
                <c:pt idx="91">
                  <c:v>-11.402569239565723</c:v>
                </c:pt>
                <c:pt idx="92">
                  <c:v>-11.424620240137221</c:v>
                </c:pt>
                <c:pt idx="93">
                  <c:v>-11.471083590623326</c:v>
                </c:pt>
                <c:pt idx="94">
                  <c:v>-11.50590348770727</c:v>
                </c:pt>
                <c:pt idx="95">
                  <c:v>-11.569182161235</c:v>
                </c:pt>
                <c:pt idx="96">
                  <c:v>-11.639702229845676</c:v>
                </c:pt>
                <c:pt idx="97">
                  <c:v>-11.730088736420811</c:v>
                </c:pt>
                <c:pt idx="98">
                  <c:v>-11.7970405946255</c:v>
                </c:pt>
                <c:pt idx="99">
                  <c:v>-11.897906689536878</c:v>
                </c:pt>
                <c:pt idx="100">
                  <c:v>-11.96321372212693</c:v>
                </c:pt>
                <c:pt idx="101">
                  <c:v>-12.027759405374498</c:v>
                </c:pt>
                <c:pt idx="102">
                  <c:v>-12.073126129216694</c:v>
                </c:pt>
                <c:pt idx="103">
                  <c:v>-12.022746026300776</c:v>
                </c:pt>
                <c:pt idx="104">
                  <c:v>-11.941115837621497</c:v>
                </c:pt>
                <c:pt idx="105">
                  <c:v>-11.787096626643796</c:v>
                </c:pt>
                <c:pt idx="106">
                  <c:v>-11.539764665523155</c:v>
                </c:pt>
                <c:pt idx="107">
                  <c:v>-11.217001486563698</c:v>
                </c:pt>
                <c:pt idx="108">
                  <c:v>-10.826427444253858</c:v>
                </c:pt>
                <c:pt idx="109">
                  <c:v>-10.336671012006862</c:v>
                </c:pt>
                <c:pt idx="110">
                  <c:v>-9.7485886792452838</c:v>
                </c:pt>
                <c:pt idx="111">
                  <c:v>-9.0889564322470004</c:v>
                </c:pt>
                <c:pt idx="112">
                  <c:v>-8.2957813607775819</c:v>
                </c:pt>
                <c:pt idx="113">
                  <c:v>-7.3651627215551754</c:v>
                </c:pt>
                <c:pt idx="114">
                  <c:v>-6.331567066895369</c:v>
                </c:pt>
                <c:pt idx="115">
                  <c:v>-5.1380674671240714</c:v>
                </c:pt>
                <c:pt idx="116">
                  <c:v>-3.8642195540308748</c:v>
                </c:pt>
                <c:pt idx="117">
                  <c:v>-2.5292265294453982</c:v>
                </c:pt>
                <c:pt idx="118">
                  <c:v>-1.1233715265866373</c:v>
                </c:pt>
                <c:pt idx="119">
                  <c:v>0.32494316752430447</c:v>
                </c:pt>
                <c:pt idx="120">
                  <c:v>1.8124926243567945</c:v>
                </c:pt>
                <c:pt idx="121">
                  <c:v>3.4323794168095967</c:v>
                </c:pt>
                <c:pt idx="122">
                  <c:v>5.0731839908519154</c:v>
                </c:pt>
                <c:pt idx="123">
                  <c:v>6.7086751286449404</c:v>
                </c:pt>
                <c:pt idx="124">
                  <c:v>8.3609552887364202</c:v>
                </c:pt>
                <c:pt idx="125">
                  <c:v>10.061962721555098</c:v>
                </c:pt>
                <c:pt idx="126">
                  <c:v>11.650148427672955</c:v>
                </c:pt>
                <c:pt idx="127">
                  <c:v>13.079771755288736</c:v>
                </c:pt>
                <c:pt idx="128">
                  <c:v>14.201760091480843</c:v>
                </c:pt>
                <c:pt idx="129">
                  <c:v>15.344374614065181</c:v>
                </c:pt>
                <c:pt idx="130">
                  <c:v>16.528986163522013</c:v>
                </c:pt>
                <c:pt idx="131">
                  <c:v>17.54343213264691</c:v>
                </c:pt>
                <c:pt idx="132">
                  <c:v>18.295958833619206</c:v>
                </c:pt>
                <c:pt idx="133">
                  <c:v>18.921724185248713</c:v>
                </c:pt>
                <c:pt idx="134">
                  <c:v>19.29946232132647</c:v>
                </c:pt>
                <c:pt idx="135">
                  <c:v>19.420168782160989</c:v>
                </c:pt>
                <c:pt idx="136">
                  <c:v>19.610827901658396</c:v>
                </c:pt>
                <c:pt idx="137">
                  <c:v>19.550948999428247</c:v>
                </c:pt>
                <c:pt idx="138">
                  <c:v>19.340071995425959</c:v>
                </c:pt>
                <c:pt idx="139">
                  <c:v>18.800458319039535</c:v>
                </c:pt>
                <c:pt idx="140">
                  <c:v>18.231150600343057</c:v>
                </c:pt>
                <c:pt idx="141">
                  <c:v>17.209164322469984</c:v>
                </c:pt>
              </c:numCache>
            </c:numRef>
          </c:yVal>
          <c:smooth val="1"/>
          <c:extLst>
            <c:ext xmlns:c16="http://schemas.microsoft.com/office/drawing/2014/chart" uri="{C3380CC4-5D6E-409C-BE32-E72D297353CC}">
              <c16:uniqueId val="{00000000-08C4-4E9B-9980-63F9065A9098}"/>
            </c:ext>
          </c:extLst>
        </c:ser>
        <c:ser>
          <c:idx val="1"/>
          <c:order val="1"/>
          <c:spPr>
            <a:ln>
              <a:solidFill>
                <a:srgbClr val="FF0000"/>
              </a:solidFill>
            </a:ln>
          </c:spPr>
          <c:marker>
            <c:symbol val="none"/>
          </c:marker>
          <c:xVal>
            <c:numRef>
              <c:f>'corrected data'!$W$3:$W$143</c:f>
              <c:numCache>
                <c:formatCode>General</c:formatCode>
                <c:ptCount val="141"/>
                <c:pt idx="0">
                  <c:v>260</c:v>
                </c:pt>
                <c:pt idx="1">
                  <c:v>259.5</c:v>
                </c:pt>
                <c:pt idx="2">
                  <c:v>259</c:v>
                </c:pt>
                <c:pt idx="3">
                  <c:v>258.5</c:v>
                </c:pt>
                <c:pt idx="4">
                  <c:v>258</c:v>
                </c:pt>
                <c:pt idx="5">
                  <c:v>257.5</c:v>
                </c:pt>
                <c:pt idx="6">
                  <c:v>257</c:v>
                </c:pt>
                <c:pt idx="7">
                  <c:v>256.5</c:v>
                </c:pt>
                <c:pt idx="8">
                  <c:v>256</c:v>
                </c:pt>
                <c:pt idx="9">
                  <c:v>255.5</c:v>
                </c:pt>
                <c:pt idx="10">
                  <c:v>255</c:v>
                </c:pt>
                <c:pt idx="11">
                  <c:v>254.5</c:v>
                </c:pt>
                <c:pt idx="12">
                  <c:v>254</c:v>
                </c:pt>
                <c:pt idx="13">
                  <c:v>253.5</c:v>
                </c:pt>
                <c:pt idx="14">
                  <c:v>253</c:v>
                </c:pt>
                <c:pt idx="15">
                  <c:v>252.5</c:v>
                </c:pt>
                <c:pt idx="16">
                  <c:v>252</c:v>
                </c:pt>
                <c:pt idx="17">
                  <c:v>251.5</c:v>
                </c:pt>
                <c:pt idx="18">
                  <c:v>251</c:v>
                </c:pt>
                <c:pt idx="19">
                  <c:v>250.5</c:v>
                </c:pt>
                <c:pt idx="20">
                  <c:v>250</c:v>
                </c:pt>
                <c:pt idx="21">
                  <c:v>249.5</c:v>
                </c:pt>
                <c:pt idx="22">
                  <c:v>249</c:v>
                </c:pt>
                <c:pt idx="23">
                  <c:v>248.5</c:v>
                </c:pt>
                <c:pt idx="24">
                  <c:v>248</c:v>
                </c:pt>
                <c:pt idx="25">
                  <c:v>247.5</c:v>
                </c:pt>
                <c:pt idx="26">
                  <c:v>247</c:v>
                </c:pt>
                <c:pt idx="27">
                  <c:v>246.5</c:v>
                </c:pt>
                <c:pt idx="28">
                  <c:v>246</c:v>
                </c:pt>
                <c:pt idx="29">
                  <c:v>245.5</c:v>
                </c:pt>
                <c:pt idx="30">
                  <c:v>245</c:v>
                </c:pt>
                <c:pt idx="31">
                  <c:v>244.5</c:v>
                </c:pt>
                <c:pt idx="32">
                  <c:v>244</c:v>
                </c:pt>
                <c:pt idx="33">
                  <c:v>243.5</c:v>
                </c:pt>
                <c:pt idx="34">
                  <c:v>243</c:v>
                </c:pt>
                <c:pt idx="35">
                  <c:v>242.5</c:v>
                </c:pt>
                <c:pt idx="36">
                  <c:v>242</c:v>
                </c:pt>
                <c:pt idx="37">
                  <c:v>241.5</c:v>
                </c:pt>
                <c:pt idx="38">
                  <c:v>241</c:v>
                </c:pt>
                <c:pt idx="39">
                  <c:v>240.5</c:v>
                </c:pt>
                <c:pt idx="40">
                  <c:v>240</c:v>
                </c:pt>
                <c:pt idx="41">
                  <c:v>239.5</c:v>
                </c:pt>
                <c:pt idx="42">
                  <c:v>239</c:v>
                </c:pt>
                <c:pt idx="43">
                  <c:v>238.5</c:v>
                </c:pt>
                <c:pt idx="44">
                  <c:v>238</c:v>
                </c:pt>
                <c:pt idx="45">
                  <c:v>237.5</c:v>
                </c:pt>
                <c:pt idx="46">
                  <c:v>237</c:v>
                </c:pt>
                <c:pt idx="47">
                  <c:v>236.5</c:v>
                </c:pt>
                <c:pt idx="48">
                  <c:v>236</c:v>
                </c:pt>
                <c:pt idx="49">
                  <c:v>235.5</c:v>
                </c:pt>
                <c:pt idx="50">
                  <c:v>235</c:v>
                </c:pt>
                <c:pt idx="51">
                  <c:v>234.5</c:v>
                </c:pt>
                <c:pt idx="52">
                  <c:v>234</c:v>
                </c:pt>
                <c:pt idx="53">
                  <c:v>233.5</c:v>
                </c:pt>
                <c:pt idx="54">
                  <c:v>233</c:v>
                </c:pt>
                <c:pt idx="55">
                  <c:v>232.5</c:v>
                </c:pt>
                <c:pt idx="56">
                  <c:v>232</c:v>
                </c:pt>
                <c:pt idx="57">
                  <c:v>231.5</c:v>
                </c:pt>
                <c:pt idx="58">
                  <c:v>231</c:v>
                </c:pt>
                <c:pt idx="59">
                  <c:v>230.5</c:v>
                </c:pt>
                <c:pt idx="60">
                  <c:v>230</c:v>
                </c:pt>
                <c:pt idx="61">
                  <c:v>229.5</c:v>
                </c:pt>
                <c:pt idx="62">
                  <c:v>229</c:v>
                </c:pt>
                <c:pt idx="63">
                  <c:v>228.5</c:v>
                </c:pt>
                <c:pt idx="64">
                  <c:v>228</c:v>
                </c:pt>
                <c:pt idx="65">
                  <c:v>227.5</c:v>
                </c:pt>
                <c:pt idx="66">
                  <c:v>227</c:v>
                </c:pt>
                <c:pt idx="67">
                  <c:v>226.5</c:v>
                </c:pt>
                <c:pt idx="68">
                  <c:v>226</c:v>
                </c:pt>
                <c:pt idx="69">
                  <c:v>225.5</c:v>
                </c:pt>
                <c:pt idx="70">
                  <c:v>225</c:v>
                </c:pt>
                <c:pt idx="71">
                  <c:v>224.5</c:v>
                </c:pt>
                <c:pt idx="72">
                  <c:v>224</c:v>
                </c:pt>
                <c:pt idx="73">
                  <c:v>223.5</c:v>
                </c:pt>
                <c:pt idx="74">
                  <c:v>223</c:v>
                </c:pt>
                <c:pt idx="75">
                  <c:v>222.5</c:v>
                </c:pt>
                <c:pt idx="76">
                  <c:v>222</c:v>
                </c:pt>
                <c:pt idx="77">
                  <c:v>221.5</c:v>
                </c:pt>
                <c:pt idx="78">
                  <c:v>221</c:v>
                </c:pt>
                <c:pt idx="79">
                  <c:v>220.5</c:v>
                </c:pt>
                <c:pt idx="80">
                  <c:v>220</c:v>
                </c:pt>
                <c:pt idx="81">
                  <c:v>219.5</c:v>
                </c:pt>
                <c:pt idx="82">
                  <c:v>219</c:v>
                </c:pt>
                <c:pt idx="83">
                  <c:v>218.5</c:v>
                </c:pt>
                <c:pt idx="84">
                  <c:v>218</c:v>
                </c:pt>
                <c:pt idx="85">
                  <c:v>217.5</c:v>
                </c:pt>
                <c:pt idx="86">
                  <c:v>217</c:v>
                </c:pt>
                <c:pt idx="87">
                  <c:v>216.5</c:v>
                </c:pt>
                <c:pt idx="88">
                  <c:v>216</c:v>
                </c:pt>
                <c:pt idx="89">
                  <c:v>215.5</c:v>
                </c:pt>
                <c:pt idx="90">
                  <c:v>215</c:v>
                </c:pt>
                <c:pt idx="91">
                  <c:v>214.5</c:v>
                </c:pt>
                <c:pt idx="92">
                  <c:v>214</c:v>
                </c:pt>
                <c:pt idx="93">
                  <c:v>213.5</c:v>
                </c:pt>
                <c:pt idx="94">
                  <c:v>213</c:v>
                </c:pt>
                <c:pt idx="95">
                  <c:v>212.5</c:v>
                </c:pt>
                <c:pt idx="96">
                  <c:v>212</c:v>
                </c:pt>
                <c:pt idx="97">
                  <c:v>211.5</c:v>
                </c:pt>
                <c:pt idx="98">
                  <c:v>211</c:v>
                </c:pt>
                <c:pt idx="99">
                  <c:v>210.5</c:v>
                </c:pt>
                <c:pt idx="100">
                  <c:v>210</c:v>
                </c:pt>
                <c:pt idx="101">
                  <c:v>209.5</c:v>
                </c:pt>
                <c:pt idx="102">
                  <c:v>209</c:v>
                </c:pt>
                <c:pt idx="103">
                  <c:v>208.5</c:v>
                </c:pt>
                <c:pt idx="104">
                  <c:v>208</c:v>
                </c:pt>
                <c:pt idx="105">
                  <c:v>207.5</c:v>
                </c:pt>
                <c:pt idx="106">
                  <c:v>207</c:v>
                </c:pt>
                <c:pt idx="107">
                  <c:v>206.5</c:v>
                </c:pt>
                <c:pt idx="108">
                  <c:v>206</c:v>
                </c:pt>
                <c:pt idx="109">
                  <c:v>205.5</c:v>
                </c:pt>
                <c:pt idx="110">
                  <c:v>205</c:v>
                </c:pt>
                <c:pt idx="111">
                  <c:v>204.5</c:v>
                </c:pt>
                <c:pt idx="112">
                  <c:v>204</c:v>
                </c:pt>
                <c:pt idx="113">
                  <c:v>203.5</c:v>
                </c:pt>
                <c:pt idx="114">
                  <c:v>203</c:v>
                </c:pt>
                <c:pt idx="115">
                  <c:v>202.5</c:v>
                </c:pt>
                <c:pt idx="116">
                  <c:v>202</c:v>
                </c:pt>
                <c:pt idx="117">
                  <c:v>201.5</c:v>
                </c:pt>
                <c:pt idx="118">
                  <c:v>201</c:v>
                </c:pt>
                <c:pt idx="119">
                  <c:v>200.5</c:v>
                </c:pt>
                <c:pt idx="120">
                  <c:v>200</c:v>
                </c:pt>
                <c:pt idx="121">
                  <c:v>199.5</c:v>
                </c:pt>
                <c:pt idx="122">
                  <c:v>199</c:v>
                </c:pt>
                <c:pt idx="123">
                  <c:v>198.5</c:v>
                </c:pt>
                <c:pt idx="124">
                  <c:v>198</c:v>
                </c:pt>
                <c:pt idx="125">
                  <c:v>197.5</c:v>
                </c:pt>
                <c:pt idx="126">
                  <c:v>197</c:v>
                </c:pt>
                <c:pt idx="127">
                  <c:v>196.5</c:v>
                </c:pt>
                <c:pt idx="128">
                  <c:v>196</c:v>
                </c:pt>
                <c:pt idx="129">
                  <c:v>195.5</c:v>
                </c:pt>
                <c:pt idx="130">
                  <c:v>195</c:v>
                </c:pt>
                <c:pt idx="131">
                  <c:v>194.5</c:v>
                </c:pt>
                <c:pt idx="132">
                  <c:v>194</c:v>
                </c:pt>
                <c:pt idx="133">
                  <c:v>193.5</c:v>
                </c:pt>
                <c:pt idx="134">
                  <c:v>193</c:v>
                </c:pt>
                <c:pt idx="135">
                  <c:v>192.5</c:v>
                </c:pt>
                <c:pt idx="136">
                  <c:v>192</c:v>
                </c:pt>
                <c:pt idx="137">
                  <c:v>191.5</c:v>
                </c:pt>
                <c:pt idx="138">
                  <c:v>191</c:v>
                </c:pt>
                <c:pt idx="139">
                  <c:v>190.5</c:v>
                </c:pt>
                <c:pt idx="140">
                  <c:v>190</c:v>
                </c:pt>
              </c:numCache>
            </c:numRef>
          </c:xVal>
          <c:yVal>
            <c:numRef>
              <c:f>'corrected data'!$AD$3:$AD$143</c:f>
              <c:numCache>
                <c:formatCode>General</c:formatCode>
                <c:ptCount val="141"/>
                <c:pt idx="0">
                  <c:v>4.0614065180102875E-2</c:v>
                </c:pt>
                <c:pt idx="1">
                  <c:v>3.0358376214980005E-2</c:v>
                </c:pt>
                <c:pt idx="2">
                  <c:v>1.9020240137221273E-2</c:v>
                </c:pt>
                <c:pt idx="3">
                  <c:v>1.7266781017724421E-2</c:v>
                </c:pt>
                <c:pt idx="4">
                  <c:v>2.3951972555746211E-2</c:v>
                </c:pt>
                <c:pt idx="5">
                  <c:v>5.7781589479702824E-3</c:v>
                </c:pt>
                <c:pt idx="6">
                  <c:v>1.0141795311606645E-2</c:v>
                </c:pt>
                <c:pt idx="7">
                  <c:v>8.6357918810749047E-4</c:v>
                </c:pt>
                <c:pt idx="8">
                  <c:v>-3.7205260148657029E-3</c:v>
                </c:pt>
                <c:pt idx="9">
                  <c:v>-3.2141795311607085E-3</c:v>
                </c:pt>
                <c:pt idx="10">
                  <c:v>2.8057175528874568E-3</c:v>
                </c:pt>
                <c:pt idx="11">
                  <c:v>2.1493424814179652E-3</c:v>
                </c:pt>
                <c:pt idx="12">
                  <c:v>-5.2681532304173764E-3</c:v>
                </c:pt>
                <c:pt idx="13">
                  <c:v>2.3736992567181246E-3</c:v>
                </c:pt>
                <c:pt idx="14">
                  <c:v>-1.5946026300743286E-2</c:v>
                </c:pt>
                <c:pt idx="15">
                  <c:v>-1.7406746712407103E-2</c:v>
                </c:pt>
                <c:pt idx="16">
                  <c:v>-1.763727844482562E-2</c:v>
                </c:pt>
                <c:pt idx="17">
                  <c:v>-3.1874899942824615E-2</c:v>
                </c:pt>
                <c:pt idx="18">
                  <c:v>-3.5387307032590055E-2</c:v>
                </c:pt>
                <c:pt idx="19">
                  <c:v>-5.9257175528873635E-2</c:v>
                </c:pt>
                <c:pt idx="20">
                  <c:v>-5.7451343624928528E-2</c:v>
                </c:pt>
                <c:pt idx="21">
                  <c:v>-6.8293882218410512E-2</c:v>
                </c:pt>
                <c:pt idx="22">
                  <c:v>-8.2447798742138312E-2</c:v>
                </c:pt>
                <c:pt idx="23">
                  <c:v>-0.12740949113779734</c:v>
                </c:pt>
                <c:pt idx="24">
                  <c:v>-0.15702069754145451</c:v>
                </c:pt>
                <c:pt idx="25">
                  <c:v>-0.19421360777587193</c:v>
                </c:pt>
                <c:pt idx="26">
                  <c:v>-0.23652875929102354</c:v>
                </c:pt>
                <c:pt idx="27">
                  <c:v>-0.28497404230989787</c:v>
                </c:pt>
                <c:pt idx="28">
                  <c:v>-0.31979050886221072</c:v>
                </c:pt>
                <c:pt idx="29">
                  <c:v>-0.37117941680961103</c:v>
                </c:pt>
                <c:pt idx="30">
                  <c:v>-0.43920045740423108</c:v>
                </c:pt>
                <c:pt idx="31">
                  <c:v>-0.48405237278445667</c:v>
                </c:pt>
                <c:pt idx="32">
                  <c:v>-0.54780651801029168</c:v>
                </c:pt>
                <c:pt idx="33">
                  <c:v>-0.63827398513436251</c:v>
                </c:pt>
                <c:pt idx="34">
                  <c:v>-0.71734202401372205</c:v>
                </c:pt>
                <c:pt idx="35">
                  <c:v>-0.82140560320183065</c:v>
                </c:pt>
                <c:pt idx="36">
                  <c:v>-0.9355451114922817</c:v>
                </c:pt>
                <c:pt idx="37">
                  <c:v>-1.0418765008576318</c:v>
                </c:pt>
                <c:pt idx="38">
                  <c:v>-1.1761353916523727</c:v>
                </c:pt>
                <c:pt idx="39">
                  <c:v>-1.3180923956546498</c:v>
                </c:pt>
                <c:pt idx="40">
                  <c:v>-1.4773525443110525</c:v>
                </c:pt>
                <c:pt idx="41">
                  <c:v>-1.6624237850200116</c:v>
                </c:pt>
                <c:pt idx="42">
                  <c:v>-1.8445868496283735</c:v>
                </c:pt>
                <c:pt idx="43">
                  <c:v>-2.0528997141223559</c:v>
                </c:pt>
                <c:pt idx="44">
                  <c:v>-2.2822389937106777</c:v>
                </c:pt>
                <c:pt idx="45">
                  <c:v>-2.5365246426529904</c:v>
                </c:pt>
                <c:pt idx="46">
                  <c:v>-2.7818787878787878</c:v>
                </c:pt>
                <c:pt idx="47">
                  <c:v>-3.0669726700971984</c:v>
                </c:pt>
                <c:pt idx="48">
                  <c:v>-3.3628624356774859</c:v>
                </c:pt>
                <c:pt idx="49">
                  <c:v>-3.6504555746140577</c:v>
                </c:pt>
                <c:pt idx="50">
                  <c:v>-3.9808519153802173</c:v>
                </c:pt>
                <c:pt idx="51">
                  <c:v>-4.3110447112635804</c:v>
                </c:pt>
                <c:pt idx="52">
                  <c:v>-4.6687780445969045</c:v>
                </c:pt>
                <c:pt idx="53">
                  <c:v>-5.0245616923956558</c:v>
                </c:pt>
                <c:pt idx="54">
                  <c:v>-5.3762508862206984</c:v>
                </c:pt>
                <c:pt idx="55">
                  <c:v>-5.7776347627215552</c:v>
                </c:pt>
                <c:pt idx="56">
                  <c:v>-6.1385045168666732</c:v>
                </c:pt>
                <c:pt idx="57">
                  <c:v>-6.5088212692967256</c:v>
                </c:pt>
                <c:pt idx="58">
                  <c:v>-6.9077100057175516</c:v>
                </c:pt>
                <c:pt idx="59">
                  <c:v>-7.2895439679817038</c:v>
                </c:pt>
                <c:pt idx="60">
                  <c:v>-7.6522094911377936</c:v>
                </c:pt>
                <c:pt idx="61">
                  <c:v>-8.0258797026872504</c:v>
                </c:pt>
                <c:pt idx="62">
                  <c:v>-8.3986213836478019</c:v>
                </c:pt>
                <c:pt idx="63">
                  <c:v>-8.7447066895368639</c:v>
                </c:pt>
                <c:pt idx="64">
                  <c:v>-9.06551629502599</c:v>
                </c:pt>
                <c:pt idx="65">
                  <c:v>-9.3779734705545419</c:v>
                </c:pt>
                <c:pt idx="66">
                  <c:v>-9.687641166380768</c:v>
                </c:pt>
                <c:pt idx="67">
                  <c:v>-9.9658991423670766</c:v>
                </c:pt>
                <c:pt idx="68">
                  <c:v>-10.210083933676387</c:v>
                </c:pt>
                <c:pt idx="69">
                  <c:v>-10.457327158376216</c:v>
                </c:pt>
                <c:pt idx="70">
                  <c:v>-10.672873184676948</c:v>
                </c:pt>
                <c:pt idx="71">
                  <c:v>-10.836436363636476</c:v>
                </c:pt>
                <c:pt idx="72">
                  <c:v>-11.000379874213833</c:v>
                </c:pt>
                <c:pt idx="73">
                  <c:v>-11.139342481417948</c:v>
                </c:pt>
                <c:pt idx="74">
                  <c:v>-11.244970840480248</c:v>
                </c:pt>
                <c:pt idx="75">
                  <c:v>-11.339084505431726</c:v>
                </c:pt>
                <c:pt idx="76">
                  <c:v>-11.412146826758176</c:v>
                </c:pt>
                <c:pt idx="77">
                  <c:v>-11.468512292738724</c:v>
                </c:pt>
                <c:pt idx="78">
                  <c:v>-11.526094682675815</c:v>
                </c:pt>
                <c:pt idx="79">
                  <c:v>-11.574094911377976</c:v>
                </c:pt>
                <c:pt idx="80">
                  <c:v>-11.59955448827902</c:v>
                </c:pt>
                <c:pt idx="81">
                  <c:v>-11.644020125786048</c:v>
                </c:pt>
                <c:pt idx="82">
                  <c:v>-11.635120411663808</c:v>
                </c:pt>
                <c:pt idx="83">
                  <c:v>-11.616137221269376</c:v>
                </c:pt>
                <c:pt idx="84">
                  <c:v>-11.628440480274348</c:v>
                </c:pt>
                <c:pt idx="85">
                  <c:v>-11.623468724985701</c:v>
                </c:pt>
                <c:pt idx="86">
                  <c:v>-11.614872727272648</c:v>
                </c:pt>
                <c:pt idx="87">
                  <c:v>-11.639530245854774</c:v>
                </c:pt>
                <c:pt idx="88">
                  <c:v>-11.648963522012341</c:v>
                </c:pt>
                <c:pt idx="89">
                  <c:v>-11.656511377930252</c:v>
                </c:pt>
                <c:pt idx="90">
                  <c:v>-11.685257404230988</c:v>
                </c:pt>
                <c:pt idx="91">
                  <c:v>-11.709407204116674</c:v>
                </c:pt>
                <c:pt idx="92">
                  <c:v>-11.746046883933673</c:v>
                </c:pt>
                <c:pt idx="93">
                  <c:v>-11.7796</c:v>
                </c:pt>
                <c:pt idx="94">
                  <c:v>-11.842584791309507</c:v>
                </c:pt>
                <c:pt idx="95">
                  <c:v>-11.919537793024586</c:v>
                </c:pt>
                <c:pt idx="96">
                  <c:v>-12.038008919382499</c:v>
                </c:pt>
                <c:pt idx="97">
                  <c:v>-12.167648027444256</c:v>
                </c:pt>
                <c:pt idx="98">
                  <c:v>-12.271534819897264</c:v>
                </c:pt>
                <c:pt idx="99">
                  <c:v>-12.348340080045718</c:v>
                </c:pt>
                <c:pt idx="100">
                  <c:v>-12.392771640937681</c:v>
                </c:pt>
                <c:pt idx="101">
                  <c:v>-12.402842081189409</c:v>
                </c:pt>
                <c:pt idx="102">
                  <c:v>-12.363052029731326</c:v>
                </c:pt>
                <c:pt idx="103">
                  <c:v>-12.295295368782162</c:v>
                </c:pt>
                <c:pt idx="104">
                  <c:v>-12.094693882218412</c:v>
                </c:pt>
                <c:pt idx="105">
                  <c:v>-11.847111492281298</c:v>
                </c:pt>
                <c:pt idx="106">
                  <c:v>-11.565119039451124</c:v>
                </c:pt>
                <c:pt idx="107">
                  <c:v>-11.095927272727376</c:v>
                </c:pt>
                <c:pt idx="108">
                  <c:v>-10.595532304173824</c:v>
                </c:pt>
                <c:pt idx="109">
                  <c:v>-9.9579252144083767</c:v>
                </c:pt>
                <c:pt idx="110">
                  <c:v>-9.2056482561464268</c:v>
                </c:pt>
                <c:pt idx="111">
                  <c:v>-8.3460944539736968</c:v>
                </c:pt>
                <c:pt idx="112">
                  <c:v>-7.4148606060606062</c:v>
                </c:pt>
                <c:pt idx="113">
                  <c:v>-6.34620240137229</c:v>
                </c:pt>
                <c:pt idx="114">
                  <c:v>-5.1662396798170365</c:v>
                </c:pt>
                <c:pt idx="115">
                  <c:v>-3.7682925100057192</c:v>
                </c:pt>
                <c:pt idx="116">
                  <c:v>-2.3376121212121177</c:v>
                </c:pt>
                <c:pt idx="117">
                  <c:v>-0.84368118925100066</c:v>
                </c:pt>
                <c:pt idx="118">
                  <c:v>0.6394133790737565</c:v>
                </c:pt>
                <c:pt idx="119">
                  <c:v>2.2919805603201842</c:v>
                </c:pt>
                <c:pt idx="120">
                  <c:v>3.9801724413950832</c:v>
                </c:pt>
                <c:pt idx="121">
                  <c:v>5.6871325328758395</c:v>
                </c:pt>
                <c:pt idx="122">
                  <c:v>7.4059718696397745</c:v>
                </c:pt>
                <c:pt idx="123">
                  <c:v>9.1569722126929705</c:v>
                </c:pt>
                <c:pt idx="124">
                  <c:v>10.802211549456832</c:v>
                </c:pt>
                <c:pt idx="125">
                  <c:v>12.491836249285482</c:v>
                </c:pt>
                <c:pt idx="126">
                  <c:v>13.945866895368876</c:v>
                </c:pt>
                <c:pt idx="127">
                  <c:v>15.16567913093197</c:v>
                </c:pt>
                <c:pt idx="128">
                  <c:v>16.24402790165809</c:v>
                </c:pt>
                <c:pt idx="129">
                  <c:v>17.109115151515148</c:v>
                </c:pt>
                <c:pt idx="130">
                  <c:v>17.806829731275009</c:v>
                </c:pt>
                <c:pt idx="131">
                  <c:v>18.623370611778157</c:v>
                </c:pt>
                <c:pt idx="132">
                  <c:v>18.942060606060586</c:v>
                </c:pt>
                <c:pt idx="133">
                  <c:v>19.251824882790164</c:v>
                </c:pt>
                <c:pt idx="134">
                  <c:v>19.193381589479703</c:v>
                </c:pt>
                <c:pt idx="135">
                  <c:v>19.217833047455695</c:v>
                </c:pt>
                <c:pt idx="136">
                  <c:v>18.792306232132123</c:v>
                </c:pt>
                <c:pt idx="137">
                  <c:v>18.421960617495731</c:v>
                </c:pt>
                <c:pt idx="138">
                  <c:v>17.125636363636289</c:v>
                </c:pt>
                <c:pt idx="139">
                  <c:v>16.194309662664381</c:v>
                </c:pt>
                <c:pt idx="140">
                  <c:v>14.709622870211549</c:v>
                </c:pt>
              </c:numCache>
            </c:numRef>
          </c:yVal>
          <c:smooth val="1"/>
          <c:extLst>
            <c:ext xmlns:c16="http://schemas.microsoft.com/office/drawing/2014/chart" uri="{C3380CC4-5D6E-409C-BE32-E72D297353CC}">
              <c16:uniqueId val="{00000001-08C4-4E9B-9980-63F9065A9098}"/>
            </c:ext>
          </c:extLst>
        </c:ser>
        <c:dLbls>
          <c:showLegendKey val="0"/>
          <c:showVal val="0"/>
          <c:showCatName val="0"/>
          <c:showSerName val="0"/>
          <c:showPercent val="0"/>
          <c:showBubbleSize val="0"/>
        </c:dLbls>
        <c:axId val="177124864"/>
        <c:axId val="177126784"/>
      </c:scatterChart>
      <c:valAx>
        <c:axId val="177124864"/>
        <c:scaling>
          <c:orientation val="minMax"/>
          <c:max val="300"/>
          <c:min val="150"/>
        </c:scaling>
        <c:delete val="0"/>
        <c:axPos val="b"/>
        <c:title>
          <c:tx>
            <c:rich>
              <a:bodyPr/>
              <a:lstStyle/>
              <a:p>
                <a:pPr>
                  <a:defRPr/>
                </a:pPr>
                <a:r>
                  <a:rPr lang="en-GB"/>
                  <a:t>Wavelength (nm)</a:t>
                </a:r>
              </a:p>
            </c:rich>
          </c:tx>
          <c:overlay val="0"/>
        </c:title>
        <c:numFmt formatCode="General" sourceLinked="1"/>
        <c:majorTickMark val="cross"/>
        <c:minorTickMark val="none"/>
        <c:tickLblPos val="nextTo"/>
        <c:txPr>
          <a:bodyPr/>
          <a:lstStyle/>
          <a:p>
            <a:pPr>
              <a:defRPr b="1" i="0" baseline="0"/>
            </a:pPr>
            <a:endParaRPr lang="en-US"/>
          </a:p>
        </c:txPr>
        <c:crossAx val="177126784"/>
        <c:crossesAt val="-20"/>
        <c:crossBetween val="midCat"/>
        <c:majorUnit val="50"/>
        <c:minorUnit val="10"/>
      </c:valAx>
      <c:valAx>
        <c:axId val="177126784"/>
        <c:scaling>
          <c:orientation val="minMax"/>
        </c:scaling>
        <c:delete val="0"/>
        <c:axPos val="l"/>
        <c:title>
          <c:tx>
            <c:rich>
              <a:bodyPr rot="-5400000" vert="horz"/>
              <a:lstStyle/>
              <a:p>
                <a:pPr>
                  <a:defRPr/>
                </a:pPr>
                <a:r>
                  <a:rPr lang="el-GR"/>
                  <a:t>θ</a:t>
                </a:r>
                <a:r>
                  <a:rPr lang="en-GB"/>
                  <a:t> (deg.cm</a:t>
                </a:r>
                <a:r>
                  <a:rPr lang="en-GB" baseline="30000"/>
                  <a:t>2</a:t>
                </a:r>
                <a:r>
                  <a:rPr lang="en-GB"/>
                  <a:t>.dmol</a:t>
                </a:r>
                <a:r>
                  <a:rPr lang="en-GB" baseline="30000"/>
                  <a:t>-1</a:t>
                </a:r>
                <a:r>
                  <a:rPr lang="en-GB"/>
                  <a:t>) ×10</a:t>
                </a:r>
                <a:r>
                  <a:rPr lang="en-GB" baseline="30000"/>
                  <a:t>4</a:t>
                </a:r>
              </a:p>
              <a:p>
                <a:pPr>
                  <a:defRPr/>
                </a:pPr>
                <a:endParaRPr lang="en-GB"/>
              </a:p>
            </c:rich>
          </c:tx>
          <c:layout>
            <c:manualLayout>
              <c:xMode val="edge"/>
              <c:yMode val="edge"/>
              <c:x val="2.0286341076531642E-3"/>
              <c:y val="0.27116454313464888"/>
            </c:manualLayout>
          </c:layout>
          <c:overlay val="0"/>
        </c:title>
        <c:numFmt formatCode="General" sourceLinked="1"/>
        <c:majorTickMark val="cross"/>
        <c:minorTickMark val="none"/>
        <c:tickLblPos val="nextTo"/>
        <c:txPr>
          <a:bodyPr/>
          <a:lstStyle/>
          <a:p>
            <a:pPr>
              <a:defRPr b="1" i="0" baseline="0"/>
            </a:pPr>
            <a:endParaRPr lang="en-US"/>
          </a:p>
        </c:txPr>
        <c:crossAx val="177124864"/>
        <c:crosses val="autoZero"/>
        <c:crossBetween val="midCat"/>
      </c:valAx>
      <c:spPr>
        <a:noFill/>
        <a:ln>
          <a:solidFill>
            <a:schemeClr val="tx1">
              <a:lumMod val="50000"/>
              <a:lumOff val="50000"/>
            </a:schemeClr>
          </a:solidFill>
        </a:ln>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xVal>
            <c:numRef>
              <c:f>Sheet1!$A$1:$A$9</c:f>
              <c:numCache>
                <c:formatCode>General</c:formatCode>
                <c:ptCount val="9"/>
                <c:pt idx="0">
                  <c:v>0</c:v>
                </c:pt>
                <c:pt idx="1">
                  <c:v>0.13420000000000001</c:v>
                </c:pt>
                <c:pt idx="2">
                  <c:v>0.2697</c:v>
                </c:pt>
                <c:pt idx="3">
                  <c:v>0.40630000000000038</c:v>
                </c:pt>
                <c:pt idx="4">
                  <c:v>0.54420000000000002</c:v>
                </c:pt>
                <c:pt idx="5">
                  <c:v>0.68320000000000081</c:v>
                </c:pt>
                <c:pt idx="6">
                  <c:v>0.8236000000000131</c:v>
                </c:pt>
                <c:pt idx="7">
                  <c:v>0.96519999999999995</c:v>
                </c:pt>
                <c:pt idx="8">
                  <c:v>1.1080000000000001</c:v>
                </c:pt>
              </c:numCache>
            </c:numRef>
          </c:xVal>
          <c:yVal>
            <c:numRef>
              <c:f>Sheet1!$B$1:$B$9</c:f>
              <c:numCache>
                <c:formatCode>General</c:formatCode>
                <c:ptCount val="9"/>
                <c:pt idx="0">
                  <c:v>0</c:v>
                </c:pt>
                <c:pt idx="1">
                  <c:v>0</c:v>
                </c:pt>
                <c:pt idx="2">
                  <c:v>3.0000000000000252E-3</c:v>
                </c:pt>
                <c:pt idx="3">
                  <c:v>8.0000000000000227E-3</c:v>
                </c:pt>
                <c:pt idx="4">
                  <c:v>1.4000000000000005E-2</c:v>
                </c:pt>
                <c:pt idx="5">
                  <c:v>0.20300000000000001</c:v>
                </c:pt>
                <c:pt idx="6">
                  <c:v>0.61800000000000765</c:v>
                </c:pt>
                <c:pt idx="7">
                  <c:v>1.2549999999999706</c:v>
                </c:pt>
                <c:pt idx="8">
                  <c:v>1.869</c:v>
                </c:pt>
              </c:numCache>
            </c:numRef>
          </c:yVal>
          <c:smooth val="0"/>
          <c:extLst>
            <c:ext xmlns:c16="http://schemas.microsoft.com/office/drawing/2014/chart" uri="{C3380CC4-5D6E-409C-BE32-E72D297353CC}">
              <c16:uniqueId val="{00000000-D25C-4BE6-A0CF-47492BDD8C12}"/>
            </c:ext>
          </c:extLst>
        </c:ser>
        <c:ser>
          <c:idx val="1"/>
          <c:order val="1"/>
          <c:spPr>
            <a:ln w="28575">
              <a:noFill/>
            </a:ln>
          </c:spPr>
          <c:marker>
            <c:symbol val="square"/>
            <c:size val="7"/>
            <c:spPr>
              <a:noFill/>
            </c:spPr>
          </c:marker>
          <c:xVal>
            <c:numRef>
              <c:f>Sheet1!$A$1:$A$10</c:f>
              <c:numCache>
                <c:formatCode>General</c:formatCode>
                <c:ptCount val="10"/>
                <c:pt idx="0">
                  <c:v>0</c:v>
                </c:pt>
                <c:pt idx="1">
                  <c:v>0.13420000000000001</c:v>
                </c:pt>
                <c:pt idx="2">
                  <c:v>0.2697</c:v>
                </c:pt>
                <c:pt idx="3">
                  <c:v>0.40630000000000038</c:v>
                </c:pt>
                <c:pt idx="4">
                  <c:v>0.54420000000000002</c:v>
                </c:pt>
                <c:pt idx="5">
                  <c:v>0.68320000000000081</c:v>
                </c:pt>
                <c:pt idx="6">
                  <c:v>0.8236000000000131</c:v>
                </c:pt>
                <c:pt idx="7">
                  <c:v>0.96519999999999995</c:v>
                </c:pt>
                <c:pt idx="8">
                  <c:v>1.1080000000000001</c:v>
                </c:pt>
                <c:pt idx="9">
                  <c:v>1.252</c:v>
                </c:pt>
              </c:numCache>
            </c:numRef>
          </c:xVal>
          <c:yVal>
            <c:numRef>
              <c:f>Sheet1!$C$1:$C$10</c:f>
              <c:numCache>
                <c:formatCode>General</c:formatCode>
                <c:ptCount val="10"/>
                <c:pt idx="0">
                  <c:v>0</c:v>
                </c:pt>
                <c:pt idx="1">
                  <c:v>1.0000000000000041E-3</c:v>
                </c:pt>
                <c:pt idx="2">
                  <c:v>0</c:v>
                </c:pt>
                <c:pt idx="3">
                  <c:v>1.0000000000000041E-3</c:v>
                </c:pt>
                <c:pt idx="4">
                  <c:v>2.0000000000000052E-3</c:v>
                </c:pt>
                <c:pt idx="5">
                  <c:v>0</c:v>
                </c:pt>
                <c:pt idx="6">
                  <c:v>2.0000000000000052E-3</c:v>
                </c:pt>
                <c:pt idx="7">
                  <c:v>1.0000000000000041E-3</c:v>
                </c:pt>
                <c:pt idx="8">
                  <c:v>2.0000000000000052E-3</c:v>
                </c:pt>
                <c:pt idx="9">
                  <c:v>2.0000000000000052E-3</c:v>
                </c:pt>
              </c:numCache>
            </c:numRef>
          </c:yVal>
          <c:smooth val="0"/>
          <c:extLst>
            <c:ext xmlns:c16="http://schemas.microsoft.com/office/drawing/2014/chart" uri="{C3380CC4-5D6E-409C-BE32-E72D297353CC}">
              <c16:uniqueId val="{00000001-D25C-4BE6-A0CF-47492BDD8C12}"/>
            </c:ext>
          </c:extLst>
        </c:ser>
        <c:dLbls>
          <c:showLegendKey val="0"/>
          <c:showVal val="0"/>
          <c:showCatName val="0"/>
          <c:showSerName val="0"/>
          <c:showPercent val="0"/>
          <c:showBubbleSize val="0"/>
        </c:dLbls>
        <c:axId val="177163648"/>
        <c:axId val="177165824"/>
      </c:scatterChart>
      <c:valAx>
        <c:axId val="177163648"/>
        <c:scaling>
          <c:orientation val="minMax"/>
        </c:scaling>
        <c:delete val="0"/>
        <c:axPos val="b"/>
        <c:title>
          <c:tx>
            <c:rich>
              <a:bodyPr/>
              <a:lstStyle/>
              <a:p>
                <a:pPr>
                  <a:defRPr/>
                </a:pPr>
                <a:r>
                  <a:rPr lang="en-GB"/>
                  <a:t>Molar</a:t>
                </a:r>
                <a:r>
                  <a:rPr lang="en-GB" baseline="0"/>
                  <a:t> ratio</a:t>
                </a:r>
                <a:endParaRPr lang="en-GB"/>
              </a:p>
            </c:rich>
          </c:tx>
          <c:overlay val="0"/>
        </c:title>
        <c:numFmt formatCode="General" sourceLinked="1"/>
        <c:majorTickMark val="out"/>
        <c:minorTickMark val="none"/>
        <c:tickLblPos val="nextTo"/>
        <c:crossAx val="177165824"/>
        <c:crosses val="autoZero"/>
        <c:crossBetween val="midCat"/>
      </c:valAx>
      <c:valAx>
        <c:axId val="177165824"/>
        <c:scaling>
          <c:orientation val="minMax"/>
        </c:scaling>
        <c:delete val="0"/>
        <c:axPos val="l"/>
        <c:title>
          <c:tx>
            <c:rich>
              <a:bodyPr rot="-5400000" vert="horz"/>
              <a:lstStyle/>
              <a:p>
                <a:pPr>
                  <a:defRPr/>
                </a:pPr>
                <a:r>
                  <a:rPr lang="en-GB"/>
                  <a:t>Abs (no units)</a:t>
                </a:r>
              </a:p>
            </c:rich>
          </c:tx>
          <c:overlay val="0"/>
        </c:title>
        <c:numFmt formatCode="General" sourceLinked="1"/>
        <c:majorTickMark val="out"/>
        <c:minorTickMark val="none"/>
        <c:tickLblPos val="nextTo"/>
        <c:crossAx val="177163648"/>
        <c:crosses val="autoZero"/>
        <c:crossBetween val="midCat"/>
      </c:valAx>
      <c:spPr>
        <a:noFill/>
        <a:ln w="15875">
          <a:solidFill>
            <a:sysClr val="windowText" lastClr="000000">
              <a:lumMod val="50000"/>
              <a:lumOff val="50000"/>
            </a:sysClr>
          </a:solid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63C7C-A457-4CF6-AD47-760B904F3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140833</Words>
  <Characters>802754</Characters>
  <Application>Microsoft Office Word</Application>
  <DocSecurity>0</DocSecurity>
  <Lines>6689</Lines>
  <Paragraphs>1883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Samuel Darby</cp:lastModifiedBy>
  <cp:revision>2</cp:revision>
  <cp:lastPrinted>2016-02-23T13:56:00Z</cp:lastPrinted>
  <dcterms:created xsi:type="dcterms:W3CDTF">2016-08-16T16:12:00Z</dcterms:created>
  <dcterms:modified xsi:type="dcterms:W3CDTF">2016-08-16T16:12:00Z</dcterms:modified>
</cp:coreProperties>
</file>